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2415A53A" w14:textId="77777777" w:rsidR="00035851" w:rsidRPr="00E74967" w:rsidRDefault="007D1E76" w:rsidP="00035851">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 xml:space="preserve">se informan y explican las condiciones relacionadas con la información financiera de </w:t>
      </w:r>
      <w:r w:rsidR="00035851" w:rsidRPr="00295B72">
        <w:rPr>
          <w:rFonts w:cs="Calibri"/>
        </w:rPr>
        <w:t>de cada período de gestión; además, de exponer aquellas políticas que podrían afectar la toma de decisiones en períodos posteriores.</w:t>
      </w:r>
      <w:r w:rsidR="00035851">
        <w:rPr>
          <w:rFonts w:cs="Calibri"/>
        </w:rPr>
        <w:t xml:space="preserve"> (</w:t>
      </w:r>
      <w:r w:rsidR="00035851" w:rsidRPr="00C93C67">
        <w:rPr>
          <w:rFonts w:cs="Calibri"/>
          <w:color w:val="2F5496" w:themeColor="accent5" w:themeShade="BF"/>
        </w:rPr>
        <w:t>DOF 06-12-2022</w:t>
      </w:r>
      <w:r w:rsidR="00035851">
        <w:rPr>
          <w:rFonts w:cs="Calibri"/>
        </w:rPr>
        <w:t>)</w:t>
      </w:r>
    </w:p>
    <w:p w14:paraId="559642E6" w14:textId="6D70764A" w:rsidR="007D1E76" w:rsidRPr="00E74967" w:rsidRDefault="007D1E76" w:rsidP="00703210">
      <w:pPr>
        <w:tabs>
          <w:tab w:val="left" w:leader="underscore" w:pos="9639"/>
        </w:tabs>
        <w:spacing w:after="0" w:line="240" w:lineRule="auto"/>
        <w:ind w:left="9639" w:hanging="9639"/>
        <w:jc w:val="both"/>
        <w:rPr>
          <w:rFonts w:cs="Calibri"/>
        </w:rPr>
      </w:pP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285DC0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575967" w14:textId="09BF8276" w:rsidR="007D1E76" w:rsidRPr="00D90E51" w:rsidRDefault="007E38A2" w:rsidP="000C3365">
      <w:pPr>
        <w:pStyle w:val="Ttulo2"/>
        <w:rPr>
          <w:rFonts w:asciiTheme="minorHAnsi" w:hAnsiTheme="minorHAnsi" w:cstheme="minorHAnsi"/>
          <w:b/>
          <w:color w:val="auto"/>
          <w:sz w:val="22"/>
          <w:szCs w:val="22"/>
        </w:rPr>
      </w:pPr>
      <w:bookmarkStart w:id="0" w:name="_Toc161472866"/>
      <w:r w:rsidRPr="00D90E51">
        <w:rPr>
          <w:rFonts w:asciiTheme="minorHAnsi" w:hAnsiTheme="minorHAnsi" w:cstheme="minorHAnsi"/>
          <w:b/>
          <w:color w:val="auto"/>
          <w:sz w:val="22"/>
          <w:szCs w:val="22"/>
        </w:rPr>
        <w:t>1</w:t>
      </w:r>
      <w:r w:rsidR="007D1E76" w:rsidRPr="00D90E51">
        <w:rPr>
          <w:rFonts w:asciiTheme="minorHAnsi" w:hAnsiTheme="minorHAnsi" w:cstheme="minorHAnsi"/>
          <w:b/>
          <w:color w:val="auto"/>
          <w:sz w:val="22"/>
          <w:szCs w:val="22"/>
        </w:rPr>
        <w:t>. Autoriza</w:t>
      </w:r>
      <w:r w:rsidR="00E00323" w:rsidRPr="00D90E51">
        <w:rPr>
          <w:rFonts w:asciiTheme="minorHAnsi" w:hAnsiTheme="minorHAnsi" w:cstheme="minorHAnsi"/>
          <w:b/>
          <w:color w:val="auto"/>
          <w:sz w:val="22"/>
          <w:szCs w:val="22"/>
        </w:rPr>
        <w:t>ción e Historia:</w:t>
      </w:r>
      <w:bookmarkEnd w:id="0"/>
    </w:p>
    <w:p w14:paraId="360DA23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41574C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062E74E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F477DA3" w14:textId="72F8AFA1"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Fecha de creación del ente</w:t>
      </w:r>
      <w:r w:rsidR="00F43AC5" w:rsidRPr="00D90E51">
        <w:rPr>
          <w:rFonts w:asciiTheme="minorHAnsi" w:hAnsiTheme="minorHAnsi" w:cstheme="minorHAnsi"/>
        </w:rPr>
        <w:t xml:space="preserve"> público.</w:t>
      </w:r>
    </w:p>
    <w:p w14:paraId="4F52E4E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3958F2A" w14:textId="5E9EC8D9" w:rsidR="00090DB2" w:rsidRPr="00D90E51" w:rsidRDefault="00090DB2"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El 13 de febrero de 1996 se firmó en la ciudad de Celaya, Gto. el contrato de Fideicomiso Irrevocable de Inversión y Administración para la ejecución de los programas Alianza para el Campo “ALCAMPO”, entre el Gobierno del Estado de Guanajuato y el Gobierno Federal, así como el Banco de Crédito  Rural del Centro  S . N.C.</w:t>
      </w:r>
    </w:p>
    <w:p w14:paraId="25D61D8F" w14:textId="77777777" w:rsidR="00090DB2" w:rsidRPr="00D90E51" w:rsidRDefault="00090DB2" w:rsidP="00CB41C4">
      <w:pPr>
        <w:tabs>
          <w:tab w:val="left" w:leader="underscore" w:pos="9639"/>
        </w:tabs>
        <w:spacing w:after="0" w:line="240" w:lineRule="auto"/>
        <w:jc w:val="both"/>
        <w:rPr>
          <w:rFonts w:asciiTheme="minorHAnsi" w:hAnsiTheme="minorHAnsi" w:cstheme="minorHAnsi"/>
        </w:rPr>
      </w:pPr>
    </w:p>
    <w:p w14:paraId="3A2353B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Principales cambios en su estructura (interna históricamente).</w:t>
      </w:r>
    </w:p>
    <w:p w14:paraId="47822FF4" w14:textId="18B4AD6A" w:rsidR="00090DB2" w:rsidRPr="00D90E51" w:rsidRDefault="00090DB2" w:rsidP="00090DB2">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Con fecha 31 de marzo de 2005. "EL FIDEICOMITENTE" celebró convenio de sustitución fiduciaria con Banco del Bajío SA en su carácter de Institución Fiduciaria sustituyera al anterior fiduciario el Banco de Crédito Rural del Centro, S N.C. en liquidación.</w:t>
      </w:r>
    </w:p>
    <w:p w14:paraId="3843474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6A215A1" w14:textId="77777777" w:rsidR="00516A8F" w:rsidRPr="00D90E51" w:rsidRDefault="00516A8F" w:rsidP="00516A8F">
      <w:pPr>
        <w:tabs>
          <w:tab w:val="left" w:leader="underscore" w:pos="9639"/>
        </w:tabs>
        <w:spacing w:after="0" w:line="240" w:lineRule="auto"/>
        <w:jc w:val="both"/>
        <w:rPr>
          <w:rFonts w:asciiTheme="minorHAnsi" w:hAnsiTheme="minorHAnsi" w:cstheme="minorHAnsi"/>
        </w:rPr>
      </w:pPr>
    </w:p>
    <w:p w14:paraId="5A494C73" w14:textId="7B672A6D" w:rsidR="00BE02EB" w:rsidRPr="00D90E51" w:rsidRDefault="00BE02EB" w:rsidP="000C3365">
      <w:pPr>
        <w:pStyle w:val="Ttulo2"/>
        <w:rPr>
          <w:rFonts w:asciiTheme="minorHAnsi" w:hAnsiTheme="minorHAnsi" w:cstheme="minorHAnsi"/>
          <w:b/>
          <w:color w:val="auto"/>
          <w:sz w:val="22"/>
          <w:szCs w:val="22"/>
        </w:rPr>
      </w:pPr>
      <w:bookmarkStart w:id="1" w:name="_Toc161472867"/>
      <w:r w:rsidRPr="00D90E51">
        <w:rPr>
          <w:rFonts w:asciiTheme="minorHAnsi" w:hAnsiTheme="minorHAnsi" w:cstheme="minorHAnsi"/>
          <w:b/>
          <w:color w:val="auto"/>
          <w:sz w:val="22"/>
          <w:szCs w:val="22"/>
        </w:rPr>
        <w:t xml:space="preserve">2. </w:t>
      </w:r>
      <w:r w:rsidR="00B6368B" w:rsidRPr="00D90E51">
        <w:rPr>
          <w:rFonts w:asciiTheme="minorHAnsi" w:hAnsiTheme="minorHAnsi" w:cstheme="minorHAnsi"/>
          <w:b/>
          <w:color w:val="auto"/>
          <w:sz w:val="22"/>
          <w:szCs w:val="22"/>
        </w:rPr>
        <w:t>Panorama Económico y Financiero</w:t>
      </w:r>
      <w:bookmarkEnd w:id="1"/>
    </w:p>
    <w:p w14:paraId="2DD54D9E" w14:textId="32C6A580" w:rsidR="00126188" w:rsidRPr="009C4B27" w:rsidRDefault="00126188" w:rsidP="00126188">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panorama económico contemplado para el ejercicio 202</w:t>
      </w:r>
      <w:r w:rsidR="00703210">
        <w:rPr>
          <w:rFonts w:asciiTheme="minorHAnsi" w:hAnsiTheme="minorHAnsi" w:cstheme="minorHAnsi"/>
        </w:rPr>
        <w:t>5</w:t>
      </w:r>
      <w:r w:rsidRPr="009C4B27">
        <w:rPr>
          <w:rFonts w:asciiTheme="minorHAnsi" w:hAnsiTheme="minorHAnsi" w:cstheme="minorHAnsi"/>
        </w:rPr>
        <w:t xml:space="preserve"> de acuerdo a los Criterios Generales de Política </w:t>
      </w:r>
      <w:r w:rsidR="004746E3" w:rsidRPr="009C4B27">
        <w:rPr>
          <w:rFonts w:asciiTheme="minorHAnsi" w:hAnsiTheme="minorHAnsi" w:cstheme="minorHAnsi"/>
        </w:rPr>
        <w:t>Económica prevé</w:t>
      </w:r>
      <w:r w:rsidRPr="009C4B27">
        <w:rPr>
          <w:rFonts w:asciiTheme="minorHAnsi" w:hAnsiTheme="minorHAnsi" w:cstheme="minorHAnsi"/>
        </w:rPr>
        <w:t xml:space="preserve"> un crecimiento del </w:t>
      </w:r>
      <w:r w:rsidR="00106425">
        <w:rPr>
          <w:rFonts w:asciiTheme="minorHAnsi" w:hAnsiTheme="minorHAnsi" w:cstheme="minorHAnsi"/>
        </w:rPr>
        <w:t>1.4</w:t>
      </w:r>
      <w:r w:rsidRPr="009C4B27">
        <w:rPr>
          <w:rFonts w:asciiTheme="minorHAnsi" w:hAnsiTheme="minorHAnsi" w:cstheme="minorHAnsi"/>
        </w:rPr>
        <w:t xml:space="preserve"> % con relación al PIB, y una inflación del </w:t>
      </w:r>
      <w:r w:rsidR="00035851">
        <w:rPr>
          <w:rFonts w:asciiTheme="minorHAnsi" w:hAnsiTheme="minorHAnsi" w:cstheme="minorHAnsi"/>
        </w:rPr>
        <w:t>3.75</w:t>
      </w:r>
      <w:r w:rsidRPr="009C4B27">
        <w:rPr>
          <w:rFonts w:asciiTheme="minorHAnsi" w:hAnsiTheme="minorHAnsi" w:cstheme="minorHAnsi"/>
        </w:rPr>
        <w:t>%.</w:t>
      </w:r>
    </w:p>
    <w:p w14:paraId="112AA316" w14:textId="77777777" w:rsidR="00090DB2" w:rsidRPr="00D90E51" w:rsidRDefault="00090DB2" w:rsidP="00516A8F">
      <w:pPr>
        <w:tabs>
          <w:tab w:val="left" w:leader="underscore" w:pos="9639"/>
        </w:tabs>
        <w:spacing w:after="0" w:line="240" w:lineRule="auto"/>
        <w:jc w:val="both"/>
        <w:rPr>
          <w:rFonts w:asciiTheme="minorHAnsi" w:hAnsiTheme="minorHAnsi" w:cstheme="minorHAnsi"/>
        </w:rPr>
      </w:pPr>
    </w:p>
    <w:p w14:paraId="0305CEA0" w14:textId="77777777" w:rsidR="0012493A" w:rsidRPr="00D90E51" w:rsidRDefault="0012493A" w:rsidP="00516A8F">
      <w:pPr>
        <w:tabs>
          <w:tab w:val="left" w:leader="underscore" w:pos="9639"/>
        </w:tabs>
        <w:spacing w:after="0" w:line="240" w:lineRule="auto"/>
        <w:jc w:val="both"/>
        <w:rPr>
          <w:rFonts w:asciiTheme="minorHAnsi" w:hAnsiTheme="minorHAnsi" w:cstheme="minorHAnsi"/>
        </w:rPr>
      </w:pPr>
    </w:p>
    <w:p w14:paraId="08136E94" w14:textId="2B775A1C" w:rsidR="007D1E76" w:rsidRPr="00D90E51" w:rsidRDefault="009736CB" w:rsidP="000C3365">
      <w:pPr>
        <w:pStyle w:val="Ttulo2"/>
        <w:rPr>
          <w:rFonts w:asciiTheme="minorHAnsi" w:hAnsiTheme="minorHAnsi" w:cstheme="minorHAnsi"/>
          <w:b/>
          <w:color w:val="auto"/>
          <w:sz w:val="22"/>
          <w:szCs w:val="22"/>
        </w:rPr>
      </w:pPr>
      <w:bookmarkStart w:id="2" w:name="_Toc161472868"/>
      <w:r w:rsidRPr="00D90E51">
        <w:rPr>
          <w:rFonts w:asciiTheme="minorHAnsi" w:hAnsiTheme="minorHAnsi" w:cstheme="minorHAnsi"/>
          <w:b/>
          <w:color w:val="auto"/>
          <w:sz w:val="22"/>
          <w:szCs w:val="22"/>
        </w:rPr>
        <w:t>3</w:t>
      </w:r>
      <w:r w:rsidR="007D1E76" w:rsidRPr="00D90E51">
        <w:rPr>
          <w:rFonts w:asciiTheme="minorHAnsi" w:hAnsiTheme="minorHAnsi" w:cstheme="minorHAnsi"/>
          <w:b/>
          <w:color w:val="auto"/>
          <w:sz w:val="22"/>
          <w:szCs w:val="22"/>
        </w:rPr>
        <w:t xml:space="preserve">. </w:t>
      </w:r>
      <w:r w:rsidR="00E00323" w:rsidRPr="00D90E51">
        <w:rPr>
          <w:rFonts w:asciiTheme="minorHAnsi" w:hAnsiTheme="minorHAnsi" w:cstheme="minorHAnsi"/>
          <w:b/>
          <w:color w:val="auto"/>
          <w:sz w:val="22"/>
          <w:szCs w:val="22"/>
        </w:rPr>
        <w:t>Organización y Objeto Social:</w:t>
      </w:r>
      <w:bookmarkEnd w:id="2"/>
    </w:p>
    <w:p w14:paraId="6C85E52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A7F2587" w14:textId="77777777" w:rsidR="007D1E76" w:rsidRPr="00B003D9" w:rsidRDefault="007D1E76" w:rsidP="00CB41C4">
      <w:pPr>
        <w:tabs>
          <w:tab w:val="left" w:leader="underscore" w:pos="9639"/>
        </w:tabs>
        <w:spacing w:after="0" w:line="240" w:lineRule="auto"/>
        <w:jc w:val="both"/>
        <w:rPr>
          <w:rFonts w:asciiTheme="minorHAnsi" w:hAnsiTheme="minorHAnsi" w:cstheme="minorHAnsi"/>
        </w:rPr>
      </w:pPr>
      <w:r w:rsidRPr="00B003D9">
        <w:rPr>
          <w:rFonts w:asciiTheme="minorHAnsi" w:hAnsiTheme="minorHAnsi" w:cstheme="minorHAnsi"/>
          <w:b/>
        </w:rPr>
        <w:t>a)</w:t>
      </w:r>
      <w:r w:rsidRPr="00B003D9">
        <w:rPr>
          <w:rFonts w:asciiTheme="minorHAnsi" w:hAnsiTheme="minorHAnsi" w:cstheme="minorHAnsi"/>
        </w:rPr>
        <w:t xml:space="preserve"> Objeto social.</w:t>
      </w:r>
    </w:p>
    <w:p w14:paraId="43C65E00" w14:textId="77777777" w:rsidR="007D1E76" w:rsidRDefault="007D1E76" w:rsidP="00CB41C4">
      <w:pPr>
        <w:tabs>
          <w:tab w:val="left" w:leader="underscore" w:pos="9639"/>
        </w:tabs>
        <w:spacing w:after="0" w:line="240" w:lineRule="auto"/>
        <w:jc w:val="both"/>
        <w:rPr>
          <w:rFonts w:asciiTheme="minorHAnsi" w:hAnsiTheme="minorHAnsi" w:cstheme="minorHAnsi"/>
          <w:color w:val="FF0000"/>
        </w:rPr>
      </w:pPr>
    </w:p>
    <w:p w14:paraId="7B59B7DC" w14:textId="68649887" w:rsidR="00B20A50" w:rsidRDefault="00B20A50" w:rsidP="00B20A50">
      <w:pPr>
        <w:tabs>
          <w:tab w:val="left" w:leader="underscore" w:pos="9639"/>
        </w:tabs>
        <w:spacing w:after="0" w:line="240" w:lineRule="auto"/>
        <w:jc w:val="both"/>
        <w:rPr>
          <w:rFonts w:asciiTheme="minorHAnsi" w:hAnsiTheme="minorHAnsi" w:cstheme="minorHAnsi"/>
        </w:rPr>
      </w:pPr>
      <w:r w:rsidRPr="00B20A50">
        <w:rPr>
          <w:rFonts w:asciiTheme="minorHAnsi" w:hAnsiTheme="minorHAnsi" w:cstheme="minorHAnsi"/>
        </w:rPr>
        <w:t xml:space="preserve">Que  " El  Fiduciario"  en  cumplimiento  de  las  instrucciones  que  reciba  por  escrito </w:t>
      </w:r>
      <w:r w:rsidR="004854EE" w:rsidRPr="00B20A50">
        <w:rPr>
          <w:rFonts w:asciiTheme="minorHAnsi" w:hAnsiTheme="minorHAnsi" w:cstheme="minorHAnsi"/>
        </w:rPr>
        <w:t>del Comité</w:t>
      </w:r>
      <w:r w:rsidRPr="00B20A50">
        <w:rPr>
          <w:rFonts w:asciiTheme="minorHAnsi" w:hAnsiTheme="minorHAnsi" w:cstheme="minorHAnsi"/>
        </w:rPr>
        <w:t xml:space="preserve">  Técnico,  entregue  a  " Los FIDEICOMISARIOS",  o   haga   la   aplicación   de   los  recursos   en   numerario   que   el  mismo  cuerpo   colegiado   determine  para   el  apoyo   y   fomento   de   actividades   previstas  en   los  Anexos   Técnicos   del  "Acuerdo" ,   sin   que   pueda   utilizar   los recursos  en  otra  finalidad.  </w:t>
      </w:r>
    </w:p>
    <w:p w14:paraId="68D6FDF2" w14:textId="77777777" w:rsidR="00B20A50" w:rsidRPr="00B20A50" w:rsidRDefault="00B20A50" w:rsidP="00B20A50">
      <w:pPr>
        <w:tabs>
          <w:tab w:val="left" w:leader="underscore" w:pos="9639"/>
        </w:tabs>
        <w:spacing w:after="0" w:line="240" w:lineRule="auto"/>
        <w:jc w:val="both"/>
        <w:rPr>
          <w:rFonts w:asciiTheme="minorHAnsi" w:hAnsiTheme="minorHAnsi" w:cstheme="minorHAnsi"/>
        </w:rPr>
      </w:pPr>
    </w:p>
    <w:p w14:paraId="0D7C3338" w14:textId="77777777" w:rsidR="00B20A50" w:rsidRPr="00B20A50" w:rsidRDefault="00B20A50" w:rsidP="00B20A50">
      <w:pPr>
        <w:spacing w:after="0" w:line="240" w:lineRule="auto"/>
        <w:jc w:val="both"/>
        <w:rPr>
          <w:rFonts w:asciiTheme="minorHAnsi" w:hAnsiTheme="minorHAnsi" w:cstheme="minorHAnsi"/>
        </w:rPr>
      </w:pPr>
      <w:r w:rsidRPr="00B20A50">
        <w:rPr>
          <w:rFonts w:asciiTheme="minorHAnsi" w:hAnsiTheme="minorHAnsi" w:cstheme="minorHAnsi"/>
        </w:rPr>
        <w:t>Que  el  Fiduciario  administre  e  invierta  el  patrimonio  fideicomitido  en  plazos  no  mayores  a  7  días  hábiles  bancarios ,  en certificados   de   la  Tesorería   de   la   Federación   (CETES)   emitidos  por  el   Banco  de   México.  preferentemente   en   papel bancario  y/ o  gubernamental ,  o  en  general  en  cualquier  instrumento  gubernamental  de  inversión ,  y  operados  por  Banco del  Bajío Sociedad  Anónima de  Banca  Múltiple.</w:t>
      </w:r>
    </w:p>
    <w:p w14:paraId="10281943" w14:textId="77777777" w:rsidR="00B20A50" w:rsidRPr="00167530" w:rsidRDefault="00B20A50" w:rsidP="00CB41C4">
      <w:pPr>
        <w:tabs>
          <w:tab w:val="left" w:leader="underscore" w:pos="9639"/>
        </w:tabs>
        <w:spacing w:after="0" w:line="240" w:lineRule="auto"/>
        <w:jc w:val="both"/>
        <w:rPr>
          <w:rFonts w:asciiTheme="minorHAnsi" w:hAnsiTheme="minorHAnsi" w:cstheme="minorHAnsi"/>
          <w:color w:val="FF0000"/>
        </w:rPr>
      </w:pPr>
    </w:p>
    <w:p w14:paraId="2C110A08" w14:textId="77777777" w:rsidR="007D1E76" w:rsidRPr="00B003D9" w:rsidRDefault="007D1E76" w:rsidP="00CB41C4">
      <w:pPr>
        <w:tabs>
          <w:tab w:val="left" w:leader="underscore" w:pos="9639"/>
        </w:tabs>
        <w:spacing w:after="0" w:line="240" w:lineRule="auto"/>
        <w:jc w:val="both"/>
        <w:rPr>
          <w:rFonts w:asciiTheme="minorHAnsi" w:hAnsiTheme="minorHAnsi" w:cstheme="minorHAnsi"/>
        </w:rPr>
      </w:pPr>
      <w:r w:rsidRPr="00B003D9">
        <w:rPr>
          <w:rFonts w:asciiTheme="minorHAnsi" w:hAnsiTheme="minorHAnsi" w:cstheme="minorHAnsi"/>
          <w:b/>
        </w:rPr>
        <w:t>b)</w:t>
      </w:r>
      <w:r w:rsidRPr="00B003D9">
        <w:rPr>
          <w:rFonts w:asciiTheme="minorHAnsi" w:hAnsiTheme="minorHAnsi" w:cstheme="minorHAnsi"/>
        </w:rPr>
        <w:t xml:space="preserve"> Principal actividad.</w:t>
      </w:r>
    </w:p>
    <w:p w14:paraId="3234B0F0" w14:textId="77777777" w:rsidR="00167530" w:rsidRDefault="00167530" w:rsidP="00CB41C4">
      <w:pPr>
        <w:tabs>
          <w:tab w:val="left" w:leader="underscore" w:pos="9639"/>
        </w:tabs>
        <w:spacing w:after="0" w:line="240" w:lineRule="auto"/>
        <w:jc w:val="both"/>
        <w:rPr>
          <w:rFonts w:asciiTheme="minorHAnsi" w:hAnsiTheme="minorHAnsi" w:cstheme="minorHAnsi"/>
        </w:rPr>
      </w:pPr>
    </w:p>
    <w:p w14:paraId="2A6118FE" w14:textId="77777777" w:rsidR="00B20A50" w:rsidRDefault="00B20A50" w:rsidP="00B20A50">
      <w:pPr>
        <w:spacing w:after="0" w:line="240" w:lineRule="auto"/>
        <w:jc w:val="both"/>
        <w:rPr>
          <w:rFonts w:asciiTheme="minorHAnsi" w:hAnsiTheme="minorHAnsi" w:cstheme="minorHAnsi"/>
        </w:rPr>
      </w:pPr>
      <w:r w:rsidRPr="00704370">
        <w:rPr>
          <w:rFonts w:asciiTheme="minorHAnsi" w:hAnsiTheme="minorHAnsi" w:cstheme="minorHAnsi"/>
        </w:rPr>
        <w:t xml:space="preserve">Otorgar  apoyos  a  todas las personas </w:t>
      </w:r>
      <w:bookmarkStart w:id="3" w:name="_Hlk164675575"/>
      <w:r w:rsidRPr="00704370">
        <w:rPr>
          <w:rFonts w:asciiTheme="minorHAnsi" w:hAnsiTheme="minorHAnsi" w:cstheme="minorHAnsi"/>
        </w:rPr>
        <w:t>físicas y morales dedicadas a las actividades productivas en el medio rural de la entidad</w:t>
      </w:r>
    </w:p>
    <w:p w14:paraId="33617A83" w14:textId="77777777" w:rsidR="00704370" w:rsidRDefault="00704370" w:rsidP="00B20A50">
      <w:pPr>
        <w:spacing w:after="0" w:line="240" w:lineRule="auto"/>
        <w:jc w:val="both"/>
        <w:rPr>
          <w:rFonts w:asciiTheme="minorHAnsi" w:hAnsiTheme="minorHAnsi" w:cstheme="minorHAnsi"/>
        </w:rPr>
      </w:pPr>
    </w:p>
    <w:p w14:paraId="69D926D9" w14:textId="77777777" w:rsidR="00704370" w:rsidRPr="00704370" w:rsidRDefault="00704370" w:rsidP="00B20A50">
      <w:pPr>
        <w:spacing w:after="0" w:line="240" w:lineRule="auto"/>
        <w:jc w:val="both"/>
        <w:rPr>
          <w:rFonts w:asciiTheme="minorHAnsi" w:hAnsiTheme="minorHAnsi" w:cstheme="minorHAnsi"/>
        </w:rPr>
      </w:pPr>
    </w:p>
    <w:bookmarkEnd w:id="3"/>
    <w:p w14:paraId="25B8E3F6" w14:textId="381FCA8B" w:rsidR="00704370" w:rsidRPr="00704370" w:rsidRDefault="00704370" w:rsidP="00704370">
      <w:pPr>
        <w:spacing w:after="0" w:line="240" w:lineRule="auto"/>
        <w:jc w:val="both"/>
        <w:rPr>
          <w:rFonts w:asciiTheme="minorHAnsi" w:hAnsiTheme="minorHAnsi" w:cstheme="minorHAnsi"/>
        </w:rPr>
      </w:pPr>
      <w:r>
        <w:rPr>
          <w:rFonts w:asciiTheme="minorHAnsi" w:hAnsiTheme="minorHAnsi" w:cstheme="minorHAnsi"/>
          <w:bCs/>
        </w:rPr>
        <w:lastRenderedPageBreak/>
        <w:t xml:space="preserve">Si bien la actividad principal es la de otorgar apoyos a todas las personas </w:t>
      </w:r>
      <w:r w:rsidRPr="00704370">
        <w:rPr>
          <w:rFonts w:asciiTheme="minorHAnsi" w:hAnsiTheme="minorHAnsi" w:cstheme="minorHAnsi"/>
        </w:rPr>
        <w:t>físicas y morales dedicadas a las actividades productivas en el medio rural de la entidad</w:t>
      </w:r>
      <w:r>
        <w:rPr>
          <w:rFonts w:asciiTheme="minorHAnsi" w:hAnsiTheme="minorHAnsi" w:cstheme="minorHAnsi"/>
        </w:rPr>
        <w:t>, por este ejercicio solo somos instancia dispersora de recursos a los organismos auxiliares del comité técnico del Fideicomiso Alianza para el Campo de Guanajuato “ALCAMPO”</w:t>
      </w:r>
    </w:p>
    <w:p w14:paraId="6B525789" w14:textId="410E26DD" w:rsidR="00167530" w:rsidRPr="00704370" w:rsidRDefault="00167530" w:rsidP="00CB41C4">
      <w:pPr>
        <w:tabs>
          <w:tab w:val="left" w:leader="underscore" w:pos="9639"/>
        </w:tabs>
        <w:spacing w:after="0" w:line="240" w:lineRule="auto"/>
        <w:jc w:val="both"/>
        <w:rPr>
          <w:rFonts w:asciiTheme="minorHAnsi" w:hAnsiTheme="minorHAnsi" w:cstheme="minorHAnsi"/>
          <w:bCs/>
        </w:rPr>
      </w:pPr>
    </w:p>
    <w:p w14:paraId="0B6C3991" w14:textId="2EDD0A53" w:rsidR="00126188" w:rsidRDefault="00AD35A9" w:rsidP="00CB41C4">
      <w:pPr>
        <w:tabs>
          <w:tab w:val="left" w:leader="underscore" w:pos="9639"/>
        </w:tabs>
        <w:spacing w:after="0" w:line="240" w:lineRule="auto"/>
        <w:jc w:val="both"/>
        <w:rPr>
          <w:rFonts w:asciiTheme="minorHAnsi" w:hAnsiTheme="minorHAnsi" w:cstheme="minorHAnsi"/>
          <w:b/>
        </w:rPr>
      </w:pPr>
      <w:r w:rsidRPr="00AD35A9">
        <w:drawing>
          <wp:inline distT="0" distB="0" distL="0" distR="0" wp14:anchorId="6BF7B3C1" wp14:editId="575C6EE5">
            <wp:extent cx="6151880" cy="1318895"/>
            <wp:effectExtent l="0" t="0" r="1270" b="0"/>
            <wp:docPr id="514964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318895"/>
                    </a:xfrm>
                    <a:prstGeom prst="rect">
                      <a:avLst/>
                    </a:prstGeom>
                    <a:noFill/>
                    <a:ln>
                      <a:noFill/>
                    </a:ln>
                  </pic:spPr>
                </pic:pic>
              </a:graphicData>
            </a:graphic>
          </wp:inline>
        </w:drawing>
      </w:r>
    </w:p>
    <w:p w14:paraId="2A433CE5" w14:textId="77777777" w:rsidR="003748BD" w:rsidRDefault="003748BD" w:rsidP="00CB41C4">
      <w:pPr>
        <w:tabs>
          <w:tab w:val="left" w:leader="underscore" w:pos="9639"/>
        </w:tabs>
        <w:spacing w:after="0" w:line="240" w:lineRule="auto"/>
        <w:jc w:val="both"/>
        <w:rPr>
          <w:rFonts w:asciiTheme="minorHAnsi" w:hAnsiTheme="minorHAnsi" w:cstheme="minorHAnsi"/>
          <w:b/>
        </w:rPr>
      </w:pPr>
    </w:p>
    <w:p w14:paraId="0B20BF0D" w14:textId="77777777" w:rsidR="003748BD" w:rsidRDefault="003748BD" w:rsidP="00CB41C4">
      <w:pPr>
        <w:tabs>
          <w:tab w:val="left" w:leader="underscore" w:pos="9639"/>
        </w:tabs>
        <w:spacing w:after="0" w:line="240" w:lineRule="auto"/>
        <w:jc w:val="both"/>
        <w:rPr>
          <w:rFonts w:asciiTheme="minorHAnsi" w:hAnsiTheme="minorHAnsi" w:cstheme="minorHAnsi"/>
          <w:b/>
        </w:rPr>
      </w:pPr>
    </w:p>
    <w:p w14:paraId="2D21CE61" w14:textId="6D6F76B5"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Ejercicio fiscal  enero a diciembre de 20</w:t>
      </w:r>
      <w:r w:rsidR="009736CB" w:rsidRPr="00D90E51">
        <w:rPr>
          <w:rFonts w:asciiTheme="minorHAnsi" w:hAnsiTheme="minorHAnsi" w:cstheme="minorHAnsi"/>
        </w:rPr>
        <w:t>2</w:t>
      </w:r>
      <w:r w:rsidR="00703210">
        <w:rPr>
          <w:rFonts w:asciiTheme="minorHAnsi" w:hAnsiTheme="minorHAnsi" w:cstheme="minorHAnsi"/>
        </w:rPr>
        <w:t>5</w:t>
      </w:r>
      <w:r w:rsidRPr="00D90E51">
        <w:rPr>
          <w:rFonts w:asciiTheme="minorHAnsi" w:hAnsiTheme="minorHAnsi" w:cstheme="minorHAnsi"/>
        </w:rPr>
        <w:t>).</w:t>
      </w:r>
    </w:p>
    <w:p w14:paraId="64577E24" w14:textId="77777777" w:rsidR="00167530" w:rsidRDefault="00167530" w:rsidP="00CB41C4">
      <w:pPr>
        <w:tabs>
          <w:tab w:val="left" w:leader="underscore" w:pos="9639"/>
        </w:tabs>
        <w:spacing w:after="0" w:line="240" w:lineRule="auto"/>
        <w:jc w:val="both"/>
        <w:rPr>
          <w:rFonts w:asciiTheme="minorHAnsi" w:hAnsiTheme="minorHAnsi" w:cstheme="minorHAnsi"/>
          <w:b/>
        </w:rPr>
      </w:pPr>
    </w:p>
    <w:p w14:paraId="0A1E0D24" w14:textId="77777777" w:rsidR="00167530" w:rsidRDefault="00167530" w:rsidP="00CB41C4">
      <w:pPr>
        <w:tabs>
          <w:tab w:val="left" w:leader="underscore" w:pos="9639"/>
        </w:tabs>
        <w:spacing w:after="0" w:line="240" w:lineRule="auto"/>
        <w:jc w:val="both"/>
        <w:rPr>
          <w:rFonts w:asciiTheme="minorHAnsi" w:hAnsiTheme="minorHAnsi" w:cstheme="minorHAnsi"/>
          <w:b/>
        </w:rPr>
      </w:pPr>
    </w:p>
    <w:p w14:paraId="6B13C93F" w14:textId="0B8F0E2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Régimen jurídico (Forma como está dada de alta la entidad ante la S.H.C.P., ejemplos: S.C., S.A., Personas morales sin fines de lucro, etc.).</w:t>
      </w:r>
    </w:p>
    <w:p w14:paraId="69821CBE" w14:textId="183568C4" w:rsidR="005A67DE" w:rsidRPr="00D90E51" w:rsidRDefault="005A67DE" w:rsidP="005A67DE">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El régimen legal del    contrato de Fideicomiso  se  encuentra   regulado  en  los  artículos   350.   353,  354   y   355  de  la   Ley General  de  Títulos  y  Operaciones  de  Crédito ,  así  como  lo  dispuesto  en  los  artículos  46,  fracción  XV.  80, 81 y 85 de la Ley  de  instituciones  de  crédito se  considera  una  Persona  Moral sin  fines  de  lucro.</w:t>
      </w:r>
    </w:p>
    <w:p w14:paraId="68B2272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2D7636A" w14:textId="77777777" w:rsidR="005A67DE" w:rsidRPr="00D90E51" w:rsidRDefault="005A67DE" w:rsidP="00CB41C4">
      <w:pPr>
        <w:tabs>
          <w:tab w:val="left" w:leader="underscore" w:pos="9639"/>
        </w:tabs>
        <w:spacing w:after="0" w:line="240" w:lineRule="auto"/>
        <w:jc w:val="both"/>
        <w:rPr>
          <w:rFonts w:asciiTheme="minorHAnsi" w:hAnsiTheme="minorHAnsi" w:cstheme="minorHAnsi"/>
        </w:rPr>
      </w:pPr>
    </w:p>
    <w:p w14:paraId="1594896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Consideraciones fiscales del ente: </w:t>
      </w:r>
      <w:r w:rsidR="00657009" w:rsidRPr="00D90E51">
        <w:rPr>
          <w:rFonts w:asciiTheme="minorHAnsi" w:hAnsiTheme="minorHAnsi" w:cstheme="minorHAnsi"/>
        </w:rPr>
        <w:t>R</w:t>
      </w:r>
      <w:r w:rsidRPr="00D90E51">
        <w:rPr>
          <w:rFonts w:asciiTheme="minorHAnsi" w:hAnsiTheme="minorHAnsi" w:cstheme="minorHAnsi"/>
        </w:rPr>
        <w:t>evelar el tipo de contribuciones que esté obligado a pagar o retener.</w:t>
      </w:r>
    </w:p>
    <w:p w14:paraId="6268EF7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F3EC1C3" w14:textId="619FADC1" w:rsidR="005A67DE" w:rsidRPr="00D90E51" w:rsidRDefault="005A67DE" w:rsidP="005A67DE">
      <w:pPr>
        <w:spacing w:after="0" w:line="240" w:lineRule="auto"/>
        <w:jc w:val="both"/>
        <w:rPr>
          <w:rFonts w:asciiTheme="minorHAnsi" w:hAnsiTheme="minorHAnsi" w:cstheme="minorHAnsi"/>
        </w:rPr>
      </w:pPr>
      <w:r w:rsidRPr="00D90E51">
        <w:rPr>
          <w:rFonts w:asciiTheme="minorHAnsi" w:hAnsiTheme="minorHAnsi" w:cstheme="minorHAnsi"/>
        </w:rPr>
        <w:t>IMPUESTO SOBRE</w:t>
      </w:r>
      <w:r w:rsidRPr="005A67DE">
        <w:rPr>
          <w:rFonts w:asciiTheme="minorHAnsi" w:hAnsiTheme="minorHAnsi" w:cstheme="minorHAnsi"/>
        </w:rPr>
        <w:t xml:space="preserve">  LA  RENTA</w:t>
      </w:r>
    </w:p>
    <w:p w14:paraId="2316DA32" w14:textId="3F2F118F" w:rsidR="005A67DE" w:rsidRPr="00D90E51" w:rsidRDefault="005A67DE" w:rsidP="005A67DE">
      <w:pPr>
        <w:spacing w:after="0" w:line="240" w:lineRule="auto"/>
        <w:jc w:val="both"/>
        <w:rPr>
          <w:rFonts w:asciiTheme="minorHAnsi" w:hAnsiTheme="minorHAnsi" w:cstheme="minorHAnsi"/>
        </w:rPr>
      </w:pPr>
      <w:r w:rsidRPr="00D90E51">
        <w:rPr>
          <w:rFonts w:asciiTheme="minorHAnsi" w:hAnsiTheme="minorHAnsi" w:cstheme="minorHAnsi"/>
        </w:rPr>
        <w:t>Persona Moral</w:t>
      </w:r>
      <w:r w:rsidRPr="005A67DE">
        <w:rPr>
          <w:rFonts w:asciiTheme="minorHAnsi" w:hAnsiTheme="minorHAnsi" w:cstheme="minorHAnsi"/>
        </w:rPr>
        <w:t xml:space="preserve">  no  contribuyente  por  la  percepción  de  sus  ingresos.  de  conformidad  con  los  artículos  93 ,  94  y   102  de  la Ley  del  Impuesto  Sobre  la  Renta.</w:t>
      </w:r>
    </w:p>
    <w:p w14:paraId="71F53C89"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IMPUESTO  AL  VALOR  AGREGADO</w:t>
      </w:r>
    </w:p>
    <w:p w14:paraId="72795658"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Contribuyente pero en todo caso la mayor parte está gravada a la tasa del 0%, conforme al artículo 2-A, fracción  11  inciso h) de la Ley del Impuesto al Valor  Agregado</w:t>
      </w:r>
    </w:p>
    <w:p w14:paraId="2BFCB5C7"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IMPUESTO  LOCAL CEDULAR</w:t>
      </w:r>
    </w:p>
    <w:p w14:paraId="0018A6C3"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Retenedor por  los pagos efectuados  por  servicios  personales independientes  conforme  al artículo  9, 13 y 16 de la Ley de Hacienda para el Estado de Guanajuato.</w:t>
      </w:r>
    </w:p>
    <w:p w14:paraId="2A9EE372"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Retenedor por los pagos efectuados por arrendamiento conforme al artículo 9, 19 y 21 de la  Ley de Hacienda  para el Estado de  Guanajuato</w:t>
      </w:r>
    </w:p>
    <w:p w14:paraId="17A19B72" w14:textId="77777777" w:rsidR="005A67DE" w:rsidRPr="002A1527" w:rsidRDefault="005A67DE" w:rsidP="005A67DE">
      <w:pPr>
        <w:spacing w:after="0" w:line="240" w:lineRule="auto"/>
        <w:jc w:val="both"/>
        <w:rPr>
          <w:rFonts w:asciiTheme="minorHAnsi" w:hAnsiTheme="minorHAnsi" w:cstheme="minorHAnsi"/>
          <w:color w:val="000000" w:themeColor="text1"/>
        </w:rPr>
      </w:pPr>
    </w:p>
    <w:p w14:paraId="6EB77A6D" w14:textId="77777777" w:rsidR="007D1E76" w:rsidRPr="002A1527" w:rsidRDefault="007D1E76" w:rsidP="00CB41C4">
      <w:pPr>
        <w:tabs>
          <w:tab w:val="left" w:leader="underscore" w:pos="9639"/>
        </w:tabs>
        <w:spacing w:after="0" w:line="240" w:lineRule="auto"/>
        <w:jc w:val="both"/>
        <w:rPr>
          <w:rFonts w:asciiTheme="minorHAnsi" w:hAnsiTheme="minorHAnsi" w:cstheme="minorHAnsi"/>
          <w:color w:val="000000" w:themeColor="text1"/>
        </w:rPr>
      </w:pPr>
      <w:r w:rsidRPr="002A1527">
        <w:rPr>
          <w:rFonts w:asciiTheme="minorHAnsi" w:hAnsiTheme="minorHAnsi" w:cstheme="minorHAnsi"/>
          <w:b/>
          <w:color w:val="000000" w:themeColor="text1"/>
        </w:rPr>
        <w:t>f)</w:t>
      </w:r>
      <w:r w:rsidRPr="002A1527">
        <w:rPr>
          <w:rFonts w:asciiTheme="minorHAnsi" w:hAnsiTheme="minorHAnsi" w:cstheme="minorHAnsi"/>
          <w:color w:val="000000" w:themeColor="text1"/>
        </w:rPr>
        <w:t xml:space="preserve"> Estructura organizacional básica.</w:t>
      </w:r>
    </w:p>
    <w:p w14:paraId="0FE08B68" w14:textId="77777777" w:rsidR="007D1E76" w:rsidRPr="002A1527" w:rsidRDefault="007D1E76" w:rsidP="00CB41C4">
      <w:pPr>
        <w:tabs>
          <w:tab w:val="left" w:leader="underscore" w:pos="9639"/>
        </w:tabs>
        <w:spacing w:after="0" w:line="240" w:lineRule="auto"/>
        <w:ind w:firstLine="708"/>
        <w:jc w:val="both"/>
        <w:rPr>
          <w:rFonts w:asciiTheme="minorHAnsi" w:hAnsiTheme="minorHAnsi" w:cstheme="minorHAnsi"/>
          <w:color w:val="000000" w:themeColor="text1"/>
        </w:rPr>
      </w:pPr>
      <w:r w:rsidRPr="002A1527">
        <w:rPr>
          <w:rFonts w:asciiTheme="minorHAnsi" w:hAnsiTheme="minorHAnsi" w:cstheme="minorHAnsi"/>
          <w:color w:val="000000" w:themeColor="text1"/>
        </w:rPr>
        <w:t>*Anexar organigrama de la entidad.</w:t>
      </w:r>
    </w:p>
    <w:p w14:paraId="02A5DD3A" w14:textId="67F25C0E" w:rsidR="002A1527" w:rsidRPr="002A1527" w:rsidRDefault="002A1527" w:rsidP="00CB41C4">
      <w:pPr>
        <w:tabs>
          <w:tab w:val="left" w:leader="underscore" w:pos="9639"/>
        </w:tabs>
        <w:spacing w:after="0" w:line="240" w:lineRule="auto"/>
        <w:ind w:firstLine="708"/>
        <w:jc w:val="both"/>
        <w:rPr>
          <w:rFonts w:asciiTheme="minorHAnsi" w:hAnsiTheme="minorHAnsi" w:cstheme="minorHAnsi"/>
          <w:color w:val="000000" w:themeColor="text1"/>
        </w:rPr>
      </w:pPr>
      <w:r w:rsidRPr="002A1527">
        <w:rPr>
          <w:rFonts w:asciiTheme="minorHAnsi" w:hAnsiTheme="minorHAnsi" w:cstheme="minorHAnsi"/>
          <w:color w:val="000000" w:themeColor="text1"/>
        </w:rPr>
        <w:t xml:space="preserve">No cuenta con organigrama </w:t>
      </w:r>
    </w:p>
    <w:p w14:paraId="45085FA9" w14:textId="77777777" w:rsidR="0054701E" w:rsidRPr="00D90E51" w:rsidRDefault="0054701E" w:rsidP="00CB41C4">
      <w:pPr>
        <w:tabs>
          <w:tab w:val="left" w:leader="underscore" w:pos="9639"/>
        </w:tabs>
        <w:spacing w:after="0" w:line="240" w:lineRule="auto"/>
        <w:jc w:val="both"/>
        <w:rPr>
          <w:rFonts w:asciiTheme="minorHAnsi" w:hAnsiTheme="minorHAnsi" w:cstheme="minorHAnsi"/>
        </w:rPr>
      </w:pPr>
    </w:p>
    <w:p w14:paraId="19CEE146" w14:textId="0080C658"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w:t>
      </w:r>
      <w:r w:rsidR="00396D53" w:rsidRPr="00D90E51">
        <w:rPr>
          <w:rFonts w:asciiTheme="minorHAnsi" w:hAnsiTheme="minorHAnsi" w:cstheme="minorHAnsi"/>
        </w:rPr>
        <w:t xml:space="preserve">Fideicomisos de los cuales es </w:t>
      </w:r>
      <w:bookmarkStart w:id="4" w:name="_Hlk164083074"/>
      <w:r w:rsidR="00396D53" w:rsidRPr="00D90E51">
        <w:rPr>
          <w:rFonts w:asciiTheme="minorHAnsi" w:hAnsiTheme="minorHAnsi" w:cstheme="minorHAnsi"/>
        </w:rPr>
        <w:t>fideicomitente o fideicomisario, y contratos análogos, incluyendo mandatos de los cuales es parte.</w:t>
      </w:r>
    </w:p>
    <w:bookmarkEnd w:id="4"/>
    <w:p w14:paraId="64D83F89" w14:textId="77777777" w:rsidR="00167530" w:rsidRPr="00D90E51" w:rsidRDefault="00167530" w:rsidP="00167530">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El Fideicomiso no es </w:t>
      </w:r>
      <w:r w:rsidRPr="00D90E51">
        <w:rPr>
          <w:rFonts w:asciiTheme="minorHAnsi" w:hAnsiTheme="minorHAnsi" w:cstheme="minorHAnsi"/>
        </w:rPr>
        <w:t>fideicomitente o fideicomisario, y contratos análogos, incluyendo mandatos de los cuales es parte.</w:t>
      </w:r>
    </w:p>
    <w:p w14:paraId="4241EF36" w14:textId="570A5564"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42A4B90" w14:textId="77777777" w:rsidR="00CB41C4" w:rsidRPr="00D90E51" w:rsidRDefault="00CB41C4" w:rsidP="00CB41C4">
      <w:pPr>
        <w:tabs>
          <w:tab w:val="left" w:leader="underscore" w:pos="9639"/>
        </w:tabs>
        <w:spacing w:after="0" w:line="240" w:lineRule="auto"/>
        <w:jc w:val="both"/>
        <w:rPr>
          <w:rFonts w:asciiTheme="minorHAnsi" w:hAnsiTheme="minorHAnsi" w:cstheme="minorHAnsi"/>
        </w:rPr>
      </w:pPr>
    </w:p>
    <w:p w14:paraId="12E280BB" w14:textId="61B6566F" w:rsidR="007D1E76" w:rsidRPr="00D90E51" w:rsidRDefault="006F77A8" w:rsidP="000C3365">
      <w:pPr>
        <w:pStyle w:val="Ttulo2"/>
        <w:rPr>
          <w:rFonts w:asciiTheme="minorHAnsi" w:hAnsiTheme="minorHAnsi" w:cstheme="minorHAnsi"/>
          <w:b/>
          <w:color w:val="auto"/>
          <w:sz w:val="22"/>
          <w:szCs w:val="22"/>
        </w:rPr>
      </w:pPr>
      <w:bookmarkStart w:id="5" w:name="_Toc161472869"/>
      <w:r w:rsidRPr="00D90E51">
        <w:rPr>
          <w:rFonts w:asciiTheme="minorHAnsi" w:hAnsiTheme="minorHAnsi" w:cstheme="minorHAnsi"/>
          <w:b/>
          <w:color w:val="auto"/>
          <w:sz w:val="22"/>
          <w:szCs w:val="22"/>
        </w:rPr>
        <w:t>4</w:t>
      </w:r>
      <w:r w:rsidR="007D1E76" w:rsidRPr="00D90E51">
        <w:rPr>
          <w:rFonts w:asciiTheme="minorHAnsi" w:hAnsiTheme="minorHAnsi" w:cstheme="minorHAnsi"/>
          <w:b/>
          <w:color w:val="auto"/>
          <w:sz w:val="22"/>
          <w:szCs w:val="22"/>
        </w:rPr>
        <w:t>. Bases de Preparació</w:t>
      </w:r>
      <w:r w:rsidR="00E00323" w:rsidRPr="00D90E51">
        <w:rPr>
          <w:rFonts w:asciiTheme="minorHAnsi" w:hAnsiTheme="minorHAnsi" w:cstheme="minorHAnsi"/>
          <w:b/>
          <w:color w:val="auto"/>
          <w:sz w:val="22"/>
          <w:szCs w:val="22"/>
        </w:rPr>
        <w:t>n de los Estados Financieros:</w:t>
      </w:r>
      <w:bookmarkEnd w:id="5"/>
    </w:p>
    <w:p w14:paraId="1671328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0FABCEB8"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D2617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Si se ha observado la normatividad emitida por el CONAC y las disposiciones legales aplicables.</w:t>
      </w:r>
    </w:p>
    <w:p w14:paraId="19EA49B9" w14:textId="77777777" w:rsidR="005364B4" w:rsidRDefault="005364B4" w:rsidP="002602BE">
      <w:pPr>
        <w:spacing w:after="0" w:line="240" w:lineRule="auto"/>
        <w:jc w:val="both"/>
        <w:rPr>
          <w:rFonts w:asciiTheme="minorHAnsi" w:hAnsiTheme="minorHAnsi" w:cstheme="minorHAnsi"/>
        </w:rPr>
      </w:pPr>
    </w:p>
    <w:p w14:paraId="26235A4F" w14:textId="24061F44" w:rsidR="002602BE" w:rsidRPr="00D90E51" w:rsidRDefault="002602BE" w:rsidP="002602BE">
      <w:pPr>
        <w:spacing w:after="0" w:line="240" w:lineRule="auto"/>
        <w:jc w:val="both"/>
        <w:rPr>
          <w:rFonts w:asciiTheme="minorHAnsi" w:hAnsiTheme="minorHAnsi" w:cstheme="minorHAnsi"/>
        </w:rPr>
      </w:pPr>
      <w:r w:rsidRPr="002602BE">
        <w:rPr>
          <w:rFonts w:asciiTheme="minorHAnsi" w:hAnsiTheme="minorHAnsi" w:cstheme="minorHAnsi"/>
        </w:rPr>
        <w:t>Los presentes Estados Financieros se encuentran expresados en moneda nacional y han sido elaborados de conformidad con las disposiciones de la Ley General de Contabilidad Gubernamental que entró en vigor el 01 de enero de 2009, así como los documentos complementarios emitidos por el Consejo Nacional de Armonización  Contable (CONAC)  y que son aplicables  a la fecha de dichos estados.</w:t>
      </w:r>
    </w:p>
    <w:p w14:paraId="58B00679"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3F52BD1" w14:textId="4B16A00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0408668" w14:textId="77777777" w:rsidR="002602BE" w:rsidRPr="00D90E51" w:rsidRDefault="002602BE" w:rsidP="002602BE">
      <w:pPr>
        <w:spacing w:after="0" w:line="240" w:lineRule="auto"/>
        <w:jc w:val="both"/>
        <w:rPr>
          <w:rFonts w:asciiTheme="minorHAnsi" w:hAnsiTheme="minorHAnsi" w:cstheme="minorHAnsi"/>
        </w:rPr>
      </w:pPr>
      <w:r w:rsidRPr="002602BE">
        <w:rPr>
          <w:rFonts w:asciiTheme="minorHAnsi" w:hAnsiTheme="minorHAnsi" w:cstheme="minorHAnsi"/>
        </w:rPr>
        <w:t>Los registros contables se realizan mediante el reconocimiento de su efecto contable a su Costo Histórico conforme a los documentos  emitidos por el Consejo Nacional de Armonización  Contable (CONAC), en  atención a los criterios previstos en el Manual de Contabilidad  Gubernamental.</w:t>
      </w:r>
    </w:p>
    <w:p w14:paraId="2DCF252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009A319" w14:textId="2530C3F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w:t>
      </w:r>
      <w:r w:rsidR="00A6346D" w:rsidRPr="00D90E51">
        <w:rPr>
          <w:rFonts w:asciiTheme="minorHAnsi" w:hAnsiTheme="minorHAnsi" w:cstheme="minorHAnsi"/>
        </w:rPr>
        <w:t>Postulados básicos de Contabilidad Gubernamental (PBCG)</w:t>
      </w:r>
      <w:r w:rsidRPr="00D90E51">
        <w:rPr>
          <w:rFonts w:asciiTheme="minorHAnsi" w:hAnsiTheme="minorHAnsi" w:cstheme="minorHAnsi"/>
        </w:rPr>
        <w:t>.</w:t>
      </w:r>
    </w:p>
    <w:p w14:paraId="1CC2D59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6600D64" w14:textId="77777777" w:rsidR="00B20A50" w:rsidRDefault="00B20A50" w:rsidP="000645C0">
      <w:pPr>
        <w:spacing w:after="0" w:line="240" w:lineRule="auto"/>
        <w:jc w:val="both"/>
        <w:rPr>
          <w:rFonts w:asciiTheme="minorHAnsi" w:eastAsia="Times New Roman" w:hAnsiTheme="minorHAnsi" w:cstheme="minorHAnsi"/>
          <w:b/>
          <w:bCs/>
          <w:color w:val="000000"/>
          <w:lang w:eastAsia="es-MX"/>
        </w:rPr>
      </w:pPr>
    </w:p>
    <w:p w14:paraId="739E81B3" w14:textId="4590FDA9"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Sustancia Económica</w:t>
      </w:r>
    </w:p>
    <w:p w14:paraId="2AD0A88D"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Es el reconocimiento contable de las transacciones, transformaciones internas y  otros  eventos,  que afectan económicamente al ente público y delimitan la operación del Sistema de  Contabilidad Gubernamental (SCG).</w:t>
      </w:r>
    </w:p>
    <w:p w14:paraId="02977AB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D538BE0"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Entes Públicos</w:t>
      </w:r>
    </w:p>
    <w:p w14:paraId="3F42B114"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 estatales  o municipales</w:t>
      </w:r>
    </w:p>
    <w:p w14:paraId="50F2160C"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79C93B5C"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Existencia Permanente</w:t>
      </w:r>
    </w:p>
    <w:p w14:paraId="427C5F6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La actividad del ente público se establece por tiempo indefinido, salvo disposición legal en la que se especifique lo contrario.</w:t>
      </w:r>
    </w:p>
    <w:p w14:paraId="4DA9D23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EC39C44"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Revelación Suficiente</w:t>
      </w:r>
    </w:p>
    <w:p w14:paraId="6AB83F93"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Los estados y la información financiera deben mostrar amplia y claramente la situación financiera y los resultados  del  ente  público.</w:t>
      </w:r>
    </w:p>
    <w:p w14:paraId="1ABFAEA2"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AC98A48"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Importancia Relativa</w:t>
      </w:r>
    </w:p>
    <w:p w14:paraId="5D064E07"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La     información     debe     mostrar     los     aspectos     importantes     de     la     entidad     que     fueron     reconocidos contablemente</w:t>
      </w:r>
    </w:p>
    <w:p w14:paraId="7C420BE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4EA6417" w14:textId="77777777" w:rsidR="00AD35A9" w:rsidRDefault="00AD35A9" w:rsidP="000645C0">
      <w:pPr>
        <w:spacing w:after="0" w:line="240" w:lineRule="auto"/>
        <w:jc w:val="both"/>
        <w:rPr>
          <w:rFonts w:asciiTheme="minorHAnsi" w:eastAsia="Times New Roman" w:hAnsiTheme="minorHAnsi" w:cstheme="minorHAnsi"/>
          <w:b/>
          <w:bCs/>
          <w:color w:val="000000"/>
          <w:lang w:eastAsia="es-MX"/>
        </w:rPr>
      </w:pPr>
    </w:p>
    <w:p w14:paraId="41FE8EFD" w14:textId="77777777" w:rsidR="00AD35A9" w:rsidRDefault="00AD35A9" w:rsidP="000645C0">
      <w:pPr>
        <w:spacing w:after="0" w:line="240" w:lineRule="auto"/>
        <w:jc w:val="both"/>
        <w:rPr>
          <w:rFonts w:asciiTheme="minorHAnsi" w:eastAsia="Times New Roman" w:hAnsiTheme="minorHAnsi" w:cstheme="minorHAnsi"/>
          <w:b/>
          <w:bCs/>
          <w:color w:val="000000"/>
          <w:lang w:eastAsia="es-MX"/>
        </w:rPr>
      </w:pPr>
    </w:p>
    <w:p w14:paraId="23DF6ADE" w14:textId="0F0EB33B"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lastRenderedPageBreak/>
        <w:t>Registro e integración Presupuestaria</w:t>
      </w:r>
    </w:p>
    <w:p w14:paraId="485A9E57"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La información presupuestaria de los entes públicos  se  integra  en  la  contabilidad  en  los  mismos términos que se presentan en la ley de Ingresos y en el Decreto del Presupuesto Egresos, de acuerdo a la naturaleza económica  que le   corresponda.</w:t>
      </w:r>
    </w:p>
    <w:p w14:paraId="65F18973"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C9263C5"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El registro presupuestario del ingreso y del egreso en los entes públicos se debe reflejar en la contabilidad, considerando sus efectos patrimoniales y su vinculación con las etapas presupuestarias correspondientes.</w:t>
      </w:r>
    </w:p>
    <w:p w14:paraId="64763B67"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08C60AC" w14:textId="77777777" w:rsidR="00343121" w:rsidRDefault="00343121" w:rsidP="000645C0">
      <w:pPr>
        <w:spacing w:after="0" w:line="240" w:lineRule="auto"/>
        <w:jc w:val="both"/>
        <w:rPr>
          <w:rFonts w:asciiTheme="minorHAnsi" w:eastAsia="Times New Roman" w:hAnsiTheme="minorHAnsi" w:cstheme="minorHAnsi"/>
          <w:b/>
          <w:bCs/>
          <w:color w:val="000000"/>
          <w:lang w:eastAsia="es-MX"/>
        </w:rPr>
      </w:pPr>
    </w:p>
    <w:p w14:paraId="25603D2C" w14:textId="77777777" w:rsidR="00343121" w:rsidRDefault="00343121" w:rsidP="000645C0">
      <w:pPr>
        <w:spacing w:after="0" w:line="240" w:lineRule="auto"/>
        <w:jc w:val="both"/>
        <w:rPr>
          <w:rFonts w:asciiTheme="minorHAnsi" w:eastAsia="Times New Roman" w:hAnsiTheme="minorHAnsi" w:cstheme="minorHAnsi"/>
          <w:b/>
          <w:bCs/>
          <w:color w:val="000000"/>
          <w:lang w:eastAsia="es-MX"/>
        </w:rPr>
      </w:pPr>
    </w:p>
    <w:p w14:paraId="213DCE63" w14:textId="64658305"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Consolidación de la Información Financiera</w:t>
      </w:r>
    </w:p>
    <w:p w14:paraId="1F5A4B3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1A02B6A"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17FDB733"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p>
    <w:p w14:paraId="5764FA1A"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p>
    <w:p w14:paraId="06BE09F3" w14:textId="37E49640"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Devengo Contable</w:t>
      </w:r>
    </w:p>
    <w:p w14:paraId="5F1FA74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1F59DC07"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0B4AF81"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Valuación</w:t>
      </w:r>
    </w:p>
    <w:p w14:paraId="3480B152"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Todos los eventos que afecten económicamente al ente público deben ser cuantificados en términos monetarios y se registrarán al costo histórico o al valor económico más  objetivo  registrándose  en moneda nacional.</w:t>
      </w:r>
    </w:p>
    <w:p w14:paraId="247DDDF6"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768480F0"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01A81E97"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Dualidad Económica</w:t>
      </w:r>
    </w:p>
    <w:p w14:paraId="4D5BC98A"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El ente público debe reconocer en la contabilidad , la representación de las transacciones y  algún otro evento que afecte su situación financiera , su composición  por  los  recursos  asignados  para  el  logro de sus fines  y  por sus fuentes , conforme a los derechos  y  obligaciones .</w:t>
      </w:r>
    </w:p>
    <w:p w14:paraId="1E88A690"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B905B65"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Consistencia</w:t>
      </w:r>
    </w:p>
    <w:p w14:paraId="52E141DC"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Ante la existencia de operaciones  similares  en  un  ente  público ,  debe  corresponder  un  mismo tratamiento contable , el cual debe permanecer a través del tiempo. En tanto no cambie  la  esencia económica  de  las operaciones </w:t>
      </w:r>
    </w:p>
    <w:p w14:paraId="6B4CB6AF"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E808FE0" w14:textId="77777777" w:rsidR="00B20A50" w:rsidRPr="00D90E51" w:rsidRDefault="00B20A50" w:rsidP="00B20A50">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14633806" w14:textId="77777777" w:rsidR="000645C0" w:rsidRDefault="000645C0" w:rsidP="00CB41C4">
      <w:pPr>
        <w:tabs>
          <w:tab w:val="left" w:leader="underscore" w:pos="9639"/>
        </w:tabs>
        <w:spacing w:after="0" w:line="240" w:lineRule="auto"/>
        <w:jc w:val="both"/>
        <w:rPr>
          <w:rFonts w:asciiTheme="minorHAnsi" w:hAnsiTheme="minorHAnsi" w:cstheme="minorHAnsi"/>
        </w:rPr>
      </w:pPr>
    </w:p>
    <w:p w14:paraId="39F41992" w14:textId="77777777" w:rsidR="00B20A50" w:rsidRDefault="00B20A50" w:rsidP="00CB41C4">
      <w:pPr>
        <w:tabs>
          <w:tab w:val="left" w:leader="underscore" w:pos="9639"/>
        </w:tabs>
        <w:spacing w:after="0" w:line="240" w:lineRule="auto"/>
        <w:jc w:val="both"/>
        <w:rPr>
          <w:rFonts w:asciiTheme="minorHAnsi" w:hAnsiTheme="minorHAnsi" w:cstheme="minorHAnsi"/>
        </w:rPr>
      </w:pPr>
    </w:p>
    <w:p w14:paraId="63321EA7" w14:textId="77777777" w:rsidR="00B20A50" w:rsidRPr="005364B4" w:rsidRDefault="00B20A50" w:rsidP="00B20A50">
      <w:pPr>
        <w:spacing w:after="0" w:line="240" w:lineRule="auto"/>
        <w:jc w:val="both"/>
        <w:rPr>
          <w:rFonts w:asciiTheme="minorHAnsi" w:hAnsiTheme="minorHAnsi" w:cstheme="minorHAnsi"/>
        </w:rPr>
      </w:pPr>
      <w:r w:rsidRPr="00B20A50">
        <w:rPr>
          <w:rFonts w:asciiTheme="minorHAnsi" w:hAnsiTheme="minorHAnsi" w:cstheme="minorHAnsi"/>
        </w:rPr>
        <w:lastRenderedPageBreak/>
        <w:t>En virtud de la normatividad emitida por la CONAC. Del Poder Ejecutivo no ha requerido la aplicación de normatividad supletoria en materia de Contabilidad  Gubernamental.</w:t>
      </w:r>
    </w:p>
    <w:tbl>
      <w:tblPr>
        <w:tblW w:w="18916" w:type="dxa"/>
        <w:tblCellMar>
          <w:left w:w="70" w:type="dxa"/>
          <w:right w:w="70" w:type="dxa"/>
        </w:tblCellMar>
        <w:tblLook w:val="04A0" w:firstRow="1" w:lastRow="0" w:firstColumn="1" w:lastColumn="0" w:noHBand="0" w:noVBand="1"/>
      </w:tblPr>
      <w:tblGrid>
        <w:gridCol w:w="18916"/>
      </w:tblGrid>
      <w:tr w:rsidR="00B20A50" w:rsidRPr="00B20A50" w14:paraId="4351A0E1" w14:textId="77777777" w:rsidTr="005364B4">
        <w:trPr>
          <w:trHeight w:val="225"/>
        </w:trPr>
        <w:tc>
          <w:tcPr>
            <w:tcW w:w="18916" w:type="dxa"/>
            <w:tcBorders>
              <w:top w:val="nil"/>
              <w:left w:val="nil"/>
              <w:bottom w:val="nil"/>
              <w:right w:val="nil"/>
            </w:tcBorders>
            <w:noWrap/>
            <w:vAlign w:val="center"/>
          </w:tcPr>
          <w:p w14:paraId="368910AD" w14:textId="1DC52A3B" w:rsidR="00B20A50" w:rsidRPr="00B20A50" w:rsidRDefault="00B20A50" w:rsidP="006E29D8">
            <w:pPr>
              <w:spacing w:after="0" w:line="240" w:lineRule="auto"/>
              <w:rPr>
                <w:rFonts w:asciiTheme="minorHAnsi" w:hAnsiTheme="minorHAnsi" w:cstheme="minorHAnsi"/>
              </w:rPr>
            </w:pPr>
          </w:p>
        </w:tc>
      </w:tr>
      <w:tr w:rsidR="00B20A50" w:rsidRPr="00B20A50" w14:paraId="5FDC0E31" w14:textId="77777777" w:rsidTr="005364B4">
        <w:trPr>
          <w:trHeight w:val="225"/>
        </w:trPr>
        <w:tc>
          <w:tcPr>
            <w:tcW w:w="18916" w:type="dxa"/>
            <w:tcBorders>
              <w:top w:val="nil"/>
              <w:left w:val="nil"/>
              <w:bottom w:val="nil"/>
              <w:right w:val="nil"/>
            </w:tcBorders>
            <w:noWrap/>
            <w:vAlign w:val="center"/>
          </w:tcPr>
          <w:p w14:paraId="2D959E06" w14:textId="2FF1D8C9" w:rsidR="00B20A50" w:rsidRPr="00B20A50" w:rsidRDefault="00B20A50" w:rsidP="006E29D8">
            <w:pPr>
              <w:spacing w:after="0" w:line="240" w:lineRule="auto"/>
              <w:jc w:val="both"/>
              <w:rPr>
                <w:rFonts w:asciiTheme="minorHAnsi" w:hAnsiTheme="minorHAnsi" w:cstheme="minorHAnsi"/>
              </w:rPr>
            </w:pPr>
          </w:p>
        </w:tc>
      </w:tr>
      <w:tr w:rsidR="00B20A50" w:rsidRPr="00B20A50" w14:paraId="1D038E92" w14:textId="77777777" w:rsidTr="005364B4">
        <w:trPr>
          <w:trHeight w:val="225"/>
        </w:trPr>
        <w:tc>
          <w:tcPr>
            <w:tcW w:w="18916" w:type="dxa"/>
            <w:tcBorders>
              <w:top w:val="nil"/>
              <w:left w:val="nil"/>
              <w:bottom w:val="nil"/>
              <w:right w:val="nil"/>
            </w:tcBorders>
            <w:noWrap/>
            <w:vAlign w:val="center"/>
          </w:tcPr>
          <w:p w14:paraId="1819489E" w14:textId="6C1673D1" w:rsidR="00B20A50" w:rsidRPr="00B20A50" w:rsidRDefault="00B20A50" w:rsidP="00B20A50">
            <w:pPr>
              <w:spacing w:after="0" w:line="240" w:lineRule="auto"/>
              <w:jc w:val="both"/>
              <w:rPr>
                <w:rFonts w:asciiTheme="minorHAnsi" w:hAnsiTheme="minorHAnsi" w:cstheme="minorHAnsi"/>
              </w:rPr>
            </w:pPr>
          </w:p>
        </w:tc>
      </w:tr>
    </w:tbl>
    <w:p w14:paraId="084AD24A" w14:textId="4A679E5F"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Para las entidades que por primera vez estén implementando la base </w:t>
      </w:r>
      <w:r w:rsidR="0086420E" w:rsidRPr="00D90E51">
        <w:rPr>
          <w:rFonts w:asciiTheme="minorHAnsi" w:hAnsiTheme="minorHAnsi" w:cstheme="minorHAnsi"/>
        </w:rPr>
        <w:t xml:space="preserve">de </w:t>
      </w:r>
      <w:r w:rsidRPr="00D90E51">
        <w:rPr>
          <w:rFonts w:asciiTheme="minorHAnsi" w:hAnsiTheme="minorHAnsi" w:cstheme="minorHAnsi"/>
        </w:rPr>
        <w:t>devengado de acuerdo a la Ley de Contabilidad, deberán:</w:t>
      </w:r>
    </w:p>
    <w:p w14:paraId="3972094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6DA893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*Revelar las nuevas políticas de reconocimiento:</w:t>
      </w:r>
    </w:p>
    <w:p w14:paraId="39539479"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De acuerdo a lo establecido por el CONAC INGRESOS</w:t>
      </w:r>
    </w:p>
    <w:p w14:paraId="5673BB13"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Devengado.- Cuando  exista jurídicamente  el derecho  al cobro.</w:t>
      </w:r>
    </w:p>
    <w:p w14:paraId="30DCAEEE"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Recaudado.- Cuando existe el cobro en efectivo  cualquier otro medio de pago. EGRESOS</w:t>
      </w:r>
    </w:p>
    <w:p w14:paraId="1D2FB0F0" w14:textId="77777777" w:rsidR="00224821"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Comprometido.- Cuando se existe la aprobación por una autoridad competente de un acto administrativo,</w:t>
      </w:r>
    </w:p>
    <w:p w14:paraId="49A39DCF"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 u otro instrumento jurídico que formaliza una relación jurídica con terceros para la adquisición de bienes  y servicios</w:t>
      </w:r>
    </w:p>
    <w:p w14:paraId="24E9F800" w14:textId="77777777" w:rsidR="00224821"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Devengado.- Cuando se reconoce de una obligación de pago a favor de terceros por la recepción de</w:t>
      </w:r>
    </w:p>
    <w:p w14:paraId="3EDBDDC2"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 conformidad de  bienes, servicios  contratados.</w:t>
      </w:r>
    </w:p>
    <w:p w14:paraId="13D73971" w14:textId="77777777" w:rsidR="00224821"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Ejercido.- Cuando se emite una cuanta por liquidar aprobada por la autoridad competente Pagado.- </w:t>
      </w:r>
    </w:p>
    <w:p w14:paraId="42C34EFC"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Cuando se realiza la cancelación total o parcial de las obligaciones  de pago .</w:t>
      </w:r>
    </w:p>
    <w:p w14:paraId="6FF58AFA" w14:textId="77777777" w:rsidR="00224821" w:rsidRDefault="00224821" w:rsidP="00CB41C4">
      <w:pPr>
        <w:tabs>
          <w:tab w:val="left" w:leader="underscore" w:pos="9639"/>
        </w:tabs>
        <w:spacing w:after="0" w:line="240" w:lineRule="auto"/>
        <w:jc w:val="both"/>
        <w:rPr>
          <w:rFonts w:asciiTheme="minorHAnsi" w:hAnsiTheme="minorHAnsi" w:cstheme="minorHAnsi"/>
        </w:rPr>
      </w:pPr>
    </w:p>
    <w:p w14:paraId="2119A6E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025E7E0" w14:textId="4C87F38F" w:rsidR="007D1E76" w:rsidRPr="00D90E51" w:rsidRDefault="007F699D" w:rsidP="000C3365">
      <w:pPr>
        <w:pStyle w:val="Ttulo2"/>
        <w:rPr>
          <w:rFonts w:asciiTheme="minorHAnsi" w:hAnsiTheme="minorHAnsi" w:cstheme="minorHAnsi"/>
          <w:b/>
          <w:sz w:val="22"/>
          <w:szCs w:val="22"/>
        </w:rPr>
      </w:pPr>
      <w:bookmarkStart w:id="6" w:name="_Toc161472870"/>
      <w:r w:rsidRPr="00D90E51">
        <w:rPr>
          <w:rFonts w:asciiTheme="minorHAnsi" w:hAnsiTheme="minorHAnsi" w:cstheme="minorHAnsi"/>
          <w:b/>
          <w:color w:val="auto"/>
          <w:sz w:val="22"/>
          <w:szCs w:val="22"/>
        </w:rPr>
        <w:t>5</w:t>
      </w:r>
      <w:r w:rsidR="007D1E76" w:rsidRPr="00D90E51">
        <w:rPr>
          <w:rFonts w:asciiTheme="minorHAnsi" w:hAnsiTheme="minorHAnsi" w:cstheme="minorHAnsi"/>
          <w:b/>
          <w:color w:val="auto"/>
          <w:sz w:val="22"/>
          <w:szCs w:val="22"/>
        </w:rPr>
        <w:t>. Políticas de</w:t>
      </w:r>
      <w:r w:rsidR="00E00323" w:rsidRPr="00D90E51">
        <w:rPr>
          <w:rFonts w:asciiTheme="minorHAnsi" w:hAnsiTheme="minorHAnsi" w:cstheme="minorHAnsi"/>
          <w:b/>
          <w:color w:val="auto"/>
          <w:sz w:val="22"/>
          <w:szCs w:val="22"/>
        </w:rPr>
        <w:t xml:space="preserve"> Contabilidad Significativas:</w:t>
      </w:r>
      <w:bookmarkEnd w:id="6"/>
    </w:p>
    <w:p w14:paraId="685C2AC3" w14:textId="77777777" w:rsidR="00AF4375" w:rsidRPr="00D90E51" w:rsidRDefault="00AF4375" w:rsidP="00AF4375">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Son los principios, bases, reglas y procedimientos específicos adoptados por el ente público en la elaboración y presentación de sus estados financieros. </w:t>
      </w:r>
    </w:p>
    <w:p w14:paraId="793D8065" w14:textId="32E17174" w:rsidR="007D1E76" w:rsidRPr="00D90E51" w:rsidRDefault="00AF4375" w:rsidP="00AF4375">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El ente público seleccionará y aplicará sus políticas contables de manera congruente para transacciones, otros eventos y condiciones que sean similares.</w:t>
      </w:r>
    </w:p>
    <w:p w14:paraId="4773A4F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3A8D795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E61B216"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073F87B" w14:textId="088E4F59"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w:t>
      </w:r>
      <w:r w:rsidR="00FC1AE8" w:rsidRPr="00D90E51">
        <w:rPr>
          <w:rFonts w:asciiTheme="minorHAnsi" w:hAnsiTheme="minorHAnsi" w:cstheme="minorHAnsi"/>
        </w:rPr>
        <w:t>Actualización: se informará del método utilizado para la actualización del valor de los activos, pasivos y Hacienda Pública/Patrimonio y las razones de dicha elección. Así como informar de la desconexión o reconexión inflacionaria</w:t>
      </w:r>
      <w:r w:rsidRPr="00D90E51">
        <w:rPr>
          <w:rFonts w:asciiTheme="minorHAnsi" w:hAnsiTheme="minorHAnsi" w:cstheme="minorHAnsi"/>
        </w:rPr>
        <w:t>:</w:t>
      </w:r>
    </w:p>
    <w:p w14:paraId="31D4F518"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A lo largo de la Historia de este Fideicomiso, no se ha utilizado ningún Método para la Actualización del  Valor de los Activos, Pasivos y  Hacienda Pública y/o Patrimonio.</w:t>
      </w:r>
    </w:p>
    <w:p w14:paraId="004A4D3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D8017C2" w14:textId="13DA86E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w:t>
      </w:r>
      <w:r w:rsidR="001C710C" w:rsidRPr="00D90E51">
        <w:rPr>
          <w:rFonts w:asciiTheme="minorHAnsi" w:hAnsiTheme="minorHAnsi" w:cstheme="minorHAnsi"/>
        </w:rPr>
        <w:t>Informar sobre la realización de operaciones en el extranjero y de sus efectos en la información financiera gubernamental, considerando entre otros el importe de las variaciones cambiarias reconocidas en el resultado (ahorro o desahorro)</w:t>
      </w:r>
      <w:r w:rsidRPr="00D90E51">
        <w:rPr>
          <w:rFonts w:asciiTheme="minorHAnsi" w:hAnsiTheme="minorHAnsi" w:cstheme="minorHAnsi"/>
        </w:rPr>
        <w:t>:</w:t>
      </w:r>
    </w:p>
    <w:p w14:paraId="248FC303" w14:textId="6CC9F26C"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Durante 202</w:t>
      </w:r>
      <w:r w:rsidR="00703210">
        <w:rPr>
          <w:rFonts w:asciiTheme="minorHAnsi" w:eastAsia="Times New Roman" w:hAnsiTheme="minorHAnsi" w:cstheme="minorHAnsi"/>
          <w:color w:val="000000"/>
          <w:lang w:eastAsia="es-MX"/>
        </w:rPr>
        <w:t>5</w:t>
      </w:r>
      <w:r w:rsidRPr="000645C0">
        <w:rPr>
          <w:rFonts w:asciiTheme="minorHAnsi" w:eastAsia="Times New Roman" w:hAnsiTheme="minorHAnsi" w:cstheme="minorHAnsi"/>
          <w:color w:val="000000"/>
          <w:lang w:eastAsia="es-MX"/>
        </w:rPr>
        <w:t>, no se han realizado operaciones en Moneda Extranjera, y en  todo  caso  si se realizara alguna, invariablemente el registro se realizará en su equivalente en Moneda Nacional al tipo de cambio del día de la   operación.</w:t>
      </w:r>
    </w:p>
    <w:p w14:paraId="761C47D7" w14:textId="51CB5EBA"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5FCED9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33324F3" w14:textId="626DBDA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w:t>
      </w:r>
      <w:r w:rsidR="00E9132F" w:rsidRPr="00D90E51">
        <w:rPr>
          <w:rFonts w:asciiTheme="minorHAnsi" w:hAnsiTheme="minorHAnsi" w:cstheme="minorHAnsi"/>
        </w:rPr>
        <w:t>Método de valuación de la inversión en acciones de Compañías subsidiarias no consolidadas y asociadas</w:t>
      </w:r>
      <w:r w:rsidRPr="00D90E51">
        <w:rPr>
          <w:rFonts w:asciiTheme="minorHAnsi" w:hAnsiTheme="minorHAnsi" w:cstheme="minorHAnsi"/>
        </w:rPr>
        <w:t>:</w:t>
      </w:r>
    </w:p>
    <w:p w14:paraId="16965BA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No se tienen acciones de algún otro Ente.</w:t>
      </w:r>
    </w:p>
    <w:p w14:paraId="2EA4933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Sistema y método de valuación de inventarios y costo de lo vendido:</w:t>
      </w:r>
    </w:p>
    <w:p w14:paraId="1C81102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lastRenderedPageBreak/>
        <w:t>No existen productos en inventarios  ya que la adquisición de  los  bienes  es  para  consumo  inmediato llevando directamente  el costo al gasto.</w:t>
      </w:r>
    </w:p>
    <w:p w14:paraId="0B28212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F9D57FE"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191A9E1"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D8C904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Beneficios a empleados: revelar el cálculo de la reserva actuarial, valor presente de los ingresos esperados comparado con el valor presente de la estimación de gastos tanto de los beneficiarios actuales como futuros:</w:t>
      </w:r>
    </w:p>
    <w:p w14:paraId="653532F1"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El fideicomiso  no tiene  personas sujetas  a  una relación laboral.</w:t>
      </w:r>
    </w:p>
    <w:p w14:paraId="6636D84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72E80AA" w14:textId="77777777" w:rsidR="000645C0" w:rsidRPr="0092497E" w:rsidRDefault="000645C0" w:rsidP="00CB41C4">
      <w:pPr>
        <w:tabs>
          <w:tab w:val="left" w:leader="underscore" w:pos="9639"/>
        </w:tabs>
        <w:spacing w:after="0" w:line="240" w:lineRule="auto"/>
        <w:jc w:val="both"/>
        <w:rPr>
          <w:rFonts w:asciiTheme="minorHAnsi" w:hAnsiTheme="minorHAnsi" w:cstheme="minorHAnsi"/>
        </w:rPr>
      </w:pPr>
    </w:p>
    <w:p w14:paraId="6113C381" w14:textId="77777777" w:rsidR="007D1E76" w:rsidRPr="0092497E" w:rsidRDefault="007D1E76" w:rsidP="00CB41C4">
      <w:pPr>
        <w:tabs>
          <w:tab w:val="left" w:leader="underscore" w:pos="9639"/>
        </w:tabs>
        <w:spacing w:after="0" w:line="240" w:lineRule="auto"/>
        <w:jc w:val="both"/>
        <w:rPr>
          <w:rFonts w:asciiTheme="minorHAnsi" w:hAnsiTheme="minorHAnsi" w:cstheme="minorHAnsi"/>
        </w:rPr>
      </w:pPr>
      <w:r w:rsidRPr="0092497E">
        <w:rPr>
          <w:rFonts w:asciiTheme="minorHAnsi" w:hAnsiTheme="minorHAnsi" w:cstheme="minorHAnsi"/>
          <w:b/>
        </w:rPr>
        <w:t>f)</w:t>
      </w:r>
      <w:r w:rsidRPr="0092497E">
        <w:rPr>
          <w:rFonts w:asciiTheme="minorHAnsi" w:hAnsiTheme="minorHAnsi" w:cstheme="minorHAnsi"/>
        </w:rPr>
        <w:t xml:space="preserve"> Provisiones: objetivo de su creación, monto y plazo:</w:t>
      </w:r>
    </w:p>
    <w:p w14:paraId="6CDE098C" w14:textId="7181FACA" w:rsidR="000645C0" w:rsidRPr="00D90E51" w:rsidRDefault="0092497E"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cuenta con provisiones</w:t>
      </w:r>
    </w:p>
    <w:p w14:paraId="1D5ED1AF"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190001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Reservas: objetivo de su creación, monto y plazo:</w:t>
      </w:r>
    </w:p>
    <w:p w14:paraId="4C613419" w14:textId="7A2CD9FE" w:rsidR="007D1E76" w:rsidRPr="00D90E51" w:rsidRDefault="000645C0"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cuenta con reservas</w:t>
      </w:r>
    </w:p>
    <w:p w14:paraId="48187B9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E497DB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h)</w:t>
      </w:r>
      <w:r w:rsidRPr="00D90E51">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7774DA08" w14:textId="5510E74D"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Durante el año de 202</w:t>
      </w:r>
      <w:r w:rsidR="00703210">
        <w:rPr>
          <w:rFonts w:asciiTheme="minorHAnsi" w:eastAsia="Times New Roman" w:hAnsiTheme="minorHAnsi" w:cstheme="minorHAnsi"/>
          <w:color w:val="000000"/>
          <w:lang w:eastAsia="es-MX"/>
        </w:rPr>
        <w:t>5</w:t>
      </w:r>
      <w:r w:rsidRPr="000645C0">
        <w:rPr>
          <w:rFonts w:asciiTheme="minorHAnsi" w:eastAsia="Times New Roman" w:hAnsiTheme="minorHAnsi" w:cstheme="minorHAnsi"/>
          <w:color w:val="000000"/>
          <w:lang w:eastAsia="es-MX"/>
        </w:rPr>
        <w:t xml:space="preserve"> no ha habido cambios en las políticas contables derivadas de la </w:t>
      </w:r>
      <w:r w:rsidRPr="00D90E51">
        <w:rPr>
          <w:rFonts w:asciiTheme="minorHAnsi" w:eastAsia="Times New Roman" w:hAnsiTheme="minorHAnsi" w:cstheme="minorHAnsi"/>
          <w:color w:val="000000"/>
          <w:lang w:eastAsia="es-MX"/>
        </w:rPr>
        <w:t>implementación de</w:t>
      </w:r>
      <w:r w:rsidRPr="000645C0">
        <w:rPr>
          <w:rFonts w:asciiTheme="minorHAnsi" w:eastAsia="Times New Roman" w:hAnsiTheme="minorHAnsi" w:cstheme="minorHAnsi"/>
          <w:color w:val="000000"/>
          <w:lang w:eastAsia="es-MX"/>
        </w:rPr>
        <w:t xml:space="preserve">   los  momentos  contables  de  los  Ingresos  y  Egresos  normados  por  el CONAC .</w:t>
      </w:r>
    </w:p>
    <w:p w14:paraId="38B07E58" w14:textId="77777777" w:rsidR="000645C0" w:rsidRPr="00D90E51" w:rsidRDefault="000645C0" w:rsidP="00CB41C4">
      <w:pPr>
        <w:tabs>
          <w:tab w:val="left" w:leader="underscore" w:pos="9639"/>
        </w:tabs>
        <w:spacing w:after="0" w:line="240" w:lineRule="auto"/>
        <w:jc w:val="both"/>
        <w:rPr>
          <w:rFonts w:asciiTheme="minorHAnsi" w:hAnsiTheme="minorHAnsi" w:cstheme="minorHAnsi"/>
          <w:b/>
        </w:rPr>
      </w:pPr>
    </w:p>
    <w:p w14:paraId="12C8FA9A" w14:textId="1664EBA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i)</w:t>
      </w:r>
      <w:r w:rsidRPr="00D90E51">
        <w:rPr>
          <w:rFonts w:asciiTheme="minorHAnsi" w:hAnsiTheme="minorHAnsi" w:cstheme="minorHAnsi"/>
        </w:rPr>
        <w:t xml:space="preserve"> Reclasificaciones: Se deben revelar todos aquellos movimientos entre cuentas por efectos de cambios en los tipos de operaciones:</w:t>
      </w:r>
    </w:p>
    <w:p w14:paraId="4342A110" w14:textId="6DD1C446" w:rsidR="007D1E76" w:rsidRPr="00D90E51" w:rsidRDefault="000F5D9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existen reclasificaciones</w:t>
      </w:r>
    </w:p>
    <w:p w14:paraId="6E29C8B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05EF8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j)</w:t>
      </w:r>
      <w:r w:rsidRPr="00D90E51">
        <w:rPr>
          <w:rFonts w:asciiTheme="minorHAnsi" w:hAnsiTheme="minorHAnsi" w:cstheme="minorHAnsi"/>
        </w:rPr>
        <w:t xml:space="preserve"> Depuración y cancelación de saldos:</w:t>
      </w:r>
    </w:p>
    <w:p w14:paraId="051C6058" w14:textId="71ADBD0A" w:rsidR="00E00323" w:rsidRPr="00D90E51" w:rsidRDefault="000F5D9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existen depuración de saldos</w:t>
      </w:r>
    </w:p>
    <w:p w14:paraId="413555F3" w14:textId="77777777" w:rsidR="000F5D9F" w:rsidRPr="00D90E51" w:rsidRDefault="000F5D9F" w:rsidP="00CB41C4">
      <w:pPr>
        <w:tabs>
          <w:tab w:val="left" w:leader="underscore" w:pos="9639"/>
        </w:tabs>
        <w:spacing w:after="0" w:line="240" w:lineRule="auto"/>
        <w:jc w:val="both"/>
        <w:rPr>
          <w:rFonts w:asciiTheme="minorHAnsi" w:hAnsiTheme="minorHAnsi" w:cstheme="minorHAnsi"/>
        </w:rPr>
      </w:pPr>
    </w:p>
    <w:p w14:paraId="2CA8BAC1" w14:textId="16AB8AA7" w:rsidR="007D1E76" w:rsidRPr="00D90E51" w:rsidRDefault="003E6C64" w:rsidP="000C3365">
      <w:pPr>
        <w:pStyle w:val="Ttulo2"/>
        <w:rPr>
          <w:rFonts w:asciiTheme="minorHAnsi" w:hAnsiTheme="minorHAnsi" w:cstheme="minorHAnsi"/>
          <w:b/>
          <w:color w:val="auto"/>
          <w:sz w:val="22"/>
          <w:szCs w:val="22"/>
        </w:rPr>
      </w:pPr>
      <w:bookmarkStart w:id="7" w:name="_Toc161472871"/>
      <w:r w:rsidRPr="00D90E51">
        <w:rPr>
          <w:rFonts w:asciiTheme="minorHAnsi" w:hAnsiTheme="minorHAnsi" w:cstheme="minorHAnsi"/>
          <w:b/>
          <w:color w:val="auto"/>
          <w:sz w:val="22"/>
          <w:szCs w:val="22"/>
        </w:rPr>
        <w:t>6</w:t>
      </w:r>
      <w:r w:rsidR="007D1E76" w:rsidRPr="00D90E51">
        <w:rPr>
          <w:rFonts w:asciiTheme="minorHAnsi" w:hAnsiTheme="minorHAnsi" w:cstheme="minorHAnsi"/>
          <w:b/>
          <w:color w:val="auto"/>
          <w:sz w:val="22"/>
          <w:szCs w:val="22"/>
        </w:rPr>
        <w:t>. Posición en Moneda Extranjera y Pro</w:t>
      </w:r>
      <w:r w:rsidR="00E00323" w:rsidRPr="00D90E51">
        <w:rPr>
          <w:rFonts w:asciiTheme="minorHAnsi" w:hAnsiTheme="minorHAnsi" w:cstheme="minorHAnsi"/>
          <w:b/>
          <w:color w:val="auto"/>
          <w:sz w:val="22"/>
          <w:szCs w:val="22"/>
        </w:rPr>
        <w:t>tección por Riesgo Cambiario:</w:t>
      </w:r>
      <w:bookmarkEnd w:id="7"/>
    </w:p>
    <w:p w14:paraId="60114D1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2C7301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7E8BC54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31D25F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Activos en moneda extranjera:</w:t>
      </w:r>
    </w:p>
    <w:p w14:paraId="6B29A939"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No se tienen Activos  en moneda  extranjera.</w:t>
      </w:r>
    </w:p>
    <w:p w14:paraId="3FD476A6" w14:textId="77777777" w:rsidR="00525F54" w:rsidRPr="00D90E51" w:rsidRDefault="00525F54" w:rsidP="00CB41C4">
      <w:pPr>
        <w:tabs>
          <w:tab w:val="left" w:leader="underscore" w:pos="9639"/>
        </w:tabs>
        <w:spacing w:after="0" w:line="240" w:lineRule="auto"/>
        <w:jc w:val="both"/>
        <w:rPr>
          <w:rFonts w:asciiTheme="minorHAnsi" w:hAnsiTheme="minorHAnsi" w:cstheme="minorHAnsi"/>
          <w:b/>
        </w:rPr>
      </w:pPr>
    </w:p>
    <w:p w14:paraId="7E447291" w14:textId="3C649C40"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Pasivos en moneda extranjera:</w:t>
      </w:r>
    </w:p>
    <w:p w14:paraId="416B583D"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No se tienen Pasivos en moneda extranjera.</w:t>
      </w:r>
    </w:p>
    <w:p w14:paraId="06B70D63" w14:textId="77777777" w:rsidR="00ED0639" w:rsidRDefault="00ED0639" w:rsidP="00CB41C4">
      <w:pPr>
        <w:tabs>
          <w:tab w:val="left" w:leader="underscore" w:pos="9639"/>
        </w:tabs>
        <w:spacing w:after="0" w:line="240" w:lineRule="auto"/>
        <w:jc w:val="both"/>
        <w:rPr>
          <w:rFonts w:asciiTheme="minorHAnsi" w:hAnsiTheme="minorHAnsi" w:cstheme="minorHAnsi"/>
          <w:b/>
        </w:rPr>
      </w:pPr>
    </w:p>
    <w:p w14:paraId="6E3298C9" w14:textId="7AFAE884"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c) </w:t>
      </w:r>
      <w:r w:rsidRPr="00D90E51">
        <w:rPr>
          <w:rFonts w:asciiTheme="minorHAnsi" w:hAnsiTheme="minorHAnsi" w:cstheme="minorHAnsi"/>
        </w:rPr>
        <w:t>Posición en moneda extranjera:</w:t>
      </w:r>
    </w:p>
    <w:p w14:paraId="4BCAAA1D"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 xml:space="preserve">No se tienen operaciones en moneda extrajera. </w:t>
      </w:r>
    </w:p>
    <w:p w14:paraId="10F06EC1"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61291BC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Tipo de cambio:</w:t>
      </w:r>
    </w:p>
    <w:p w14:paraId="52C1BCD8"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No se tienen inversiones financieras en moneda  extranjera.</w:t>
      </w:r>
    </w:p>
    <w:p w14:paraId="3EFE2187"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2878D6F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e) </w:t>
      </w:r>
      <w:r w:rsidRPr="00D90E51">
        <w:rPr>
          <w:rFonts w:asciiTheme="minorHAnsi" w:hAnsiTheme="minorHAnsi" w:cstheme="minorHAnsi"/>
        </w:rPr>
        <w:t>Equivalente en moneda nacional:</w:t>
      </w:r>
    </w:p>
    <w:p w14:paraId="6FE29FBF"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No se tienen inversiones financieras en moneda  extranjera.</w:t>
      </w:r>
    </w:p>
    <w:p w14:paraId="53B7B76B"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0172817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lastRenderedPageBreak/>
        <w:t>Lo anterior por cada tipo de moneda extranjera que se encuentre en los rubros de activo y pasivo.</w:t>
      </w:r>
    </w:p>
    <w:p w14:paraId="20DD1BAE" w14:textId="4A4A65C9"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Adicionalmente</w:t>
      </w:r>
      <w:r w:rsidR="00D32331" w:rsidRPr="00D90E51">
        <w:rPr>
          <w:rFonts w:asciiTheme="minorHAnsi" w:hAnsiTheme="minorHAnsi" w:cstheme="minorHAnsi"/>
        </w:rPr>
        <w:t>,</w:t>
      </w:r>
      <w:r w:rsidRPr="00D90E51">
        <w:rPr>
          <w:rFonts w:asciiTheme="minorHAnsi" w:hAnsiTheme="minorHAnsi" w:cstheme="minorHAnsi"/>
        </w:rPr>
        <w:t xml:space="preserve"> se informará sobre los métodos de protección de riesgo por vari</w:t>
      </w:r>
      <w:r w:rsidR="00E00323" w:rsidRPr="00D90E51">
        <w:rPr>
          <w:rFonts w:asciiTheme="minorHAnsi" w:hAnsiTheme="minorHAnsi" w:cstheme="minorHAnsi"/>
        </w:rPr>
        <w:t>aciones en el tipo de cambio.</w:t>
      </w:r>
    </w:p>
    <w:p w14:paraId="5D7BA23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95853FE" w14:textId="75928022" w:rsidR="007D1E76" w:rsidRPr="00D90E51" w:rsidRDefault="0064059E" w:rsidP="000C3365">
      <w:pPr>
        <w:pStyle w:val="Ttulo2"/>
        <w:rPr>
          <w:rFonts w:asciiTheme="minorHAnsi" w:hAnsiTheme="minorHAnsi" w:cstheme="minorHAnsi"/>
          <w:b/>
          <w:color w:val="auto"/>
          <w:sz w:val="22"/>
          <w:szCs w:val="22"/>
        </w:rPr>
      </w:pPr>
      <w:bookmarkStart w:id="8" w:name="_Toc161472872"/>
      <w:r w:rsidRPr="00D90E51">
        <w:rPr>
          <w:rFonts w:asciiTheme="minorHAnsi" w:hAnsiTheme="minorHAnsi" w:cstheme="minorHAnsi"/>
          <w:b/>
          <w:color w:val="auto"/>
          <w:sz w:val="22"/>
          <w:szCs w:val="22"/>
        </w:rPr>
        <w:t>7</w:t>
      </w:r>
      <w:r w:rsidR="007D1E76" w:rsidRPr="00D90E51">
        <w:rPr>
          <w:rFonts w:asciiTheme="minorHAnsi" w:hAnsiTheme="minorHAnsi" w:cstheme="minorHAnsi"/>
          <w:b/>
          <w:color w:val="auto"/>
          <w:sz w:val="22"/>
          <w:szCs w:val="22"/>
        </w:rPr>
        <w:t xml:space="preserve">. </w:t>
      </w:r>
      <w:r w:rsidR="00E00323" w:rsidRPr="00D90E51">
        <w:rPr>
          <w:rFonts w:asciiTheme="minorHAnsi" w:hAnsiTheme="minorHAnsi" w:cstheme="minorHAnsi"/>
          <w:b/>
          <w:color w:val="auto"/>
          <w:sz w:val="22"/>
          <w:szCs w:val="22"/>
        </w:rPr>
        <w:t>Reporte Analítico del Activo:</w:t>
      </w:r>
      <w:bookmarkEnd w:id="8"/>
    </w:p>
    <w:p w14:paraId="1C9AE80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DC51E1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Debe mostrar la siguien</w:t>
      </w:r>
      <w:r w:rsidR="00E00323" w:rsidRPr="00D90E51">
        <w:rPr>
          <w:rFonts w:asciiTheme="minorHAnsi" w:hAnsiTheme="minorHAnsi" w:cstheme="minorHAnsi"/>
        </w:rPr>
        <w:t>te información:</w:t>
      </w:r>
    </w:p>
    <w:p w14:paraId="0E1FB99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21E8A1F" w14:textId="09BA8E02"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w:t>
      </w:r>
      <w:r w:rsidR="00ED7AA0" w:rsidRPr="00D90E51">
        <w:rPr>
          <w:rFonts w:asciiTheme="minorHAnsi" w:hAnsiTheme="minorHAnsi" w:cstheme="minorHAnsi"/>
        </w:rPr>
        <w:t>Vida útil, porcentajes de depreciación y amortización utilizados en los diferentes tipos de activos, o el importe de las pérdidas por deterioro reconocidas</w:t>
      </w:r>
      <w:r w:rsidRPr="00D90E51">
        <w:rPr>
          <w:rFonts w:asciiTheme="minorHAnsi" w:hAnsiTheme="minorHAnsi" w:cstheme="minorHAnsi"/>
        </w:rPr>
        <w:t>:</w:t>
      </w:r>
    </w:p>
    <w:p w14:paraId="4206A4F4"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p>
    <w:p w14:paraId="0B714F8E" w14:textId="77A64DE1"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Mobiliario y Equipo 10%</w:t>
      </w:r>
    </w:p>
    <w:p w14:paraId="40BFDE61"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Equipo de Cómputo 30%</w:t>
      </w:r>
    </w:p>
    <w:p w14:paraId="25598DEC"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Equipo de Transporte 25%</w:t>
      </w:r>
    </w:p>
    <w:p w14:paraId="5808C36E" w14:textId="77777777" w:rsidR="005D4E6A" w:rsidRPr="00D90E51" w:rsidRDefault="005D4E6A" w:rsidP="00CB41C4">
      <w:pPr>
        <w:tabs>
          <w:tab w:val="left" w:leader="underscore" w:pos="9639"/>
        </w:tabs>
        <w:spacing w:after="0" w:line="240" w:lineRule="auto"/>
        <w:jc w:val="both"/>
        <w:rPr>
          <w:rFonts w:asciiTheme="minorHAnsi" w:hAnsiTheme="minorHAnsi" w:cstheme="minorHAnsi"/>
        </w:rPr>
      </w:pPr>
    </w:p>
    <w:p w14:paraId="629A2E08" w14:textId="77777777" w:rsidR="005D4E6A" w:rsidRPr="00D90E51" w:rsidRDefault="005D4E6A" w:rsidP="00CB41C4">
      <w:pPr>
        <w:tabs>
          <w:tab w:val="left" w:leader="underscore" w:pos="9639"/>
        </w:tabs>
        <w:spacing w:after="0" w:line="240" w:lineRule="auto"/>
        <w:jc w:val="both"/>
        <w:rPr>
          <w:rFonts w:asciiTheme="minorHAnsi" w:hAnsiTheme="minorHAnsi" w:cstheme="minorHAnsi"/>
        </w:rPr>
      </w:pPr>
    </w:p>
    <w:p w14:paraId="7FD13FA2" w14:textId="4685F10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w:t>
      </w:r>
      <w:r w:rsidR="00AA2768" w:rsidRPr="00D90E51">
        <w:rPr>
          <w:rFonts w:asciiTheme="minorHAnsi" w:hAnsiTheme="minorHAnsi" w:cstheme="minorHAnsi"/>
        </w:rPr>
        <w:t>Cambios en el porcentaje de depreciación y amortización y en el valor de los activos ocasionado por deterioro</w:t>
      </w:r>
      <w:r w:rsidRPr="00D90E51">
        <w:rPr>
          <w:rFonts w:asciiTheme="minorHAnsi" w:hAnsiTheme="minorHAnsi" w:cstheme="minorHAnsi"/>
        </w:rPr>
        <w:t>:</w:t>
      </w:r>
    </w:p>
    <w:p w14:paraId="1983354C" w14:textId="54546903" w:rsidR="007D1E76" w:rsidRPr="00D90E51" w:rsidRDefault="00B20A50"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hay cambios</w:t>
      </w:r>
    </w:p>
    <w:p w14:paraId="59A0596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793D3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Importe de los gastos capitalizados en el ejercicio, tanto financieros como de investigación y desarrollo:</w:t>
      </w:r>
    </w:p>
    <w:p w14:paraId="12402D3F"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No  se tienen este tipo de gastos.</w:t>
      </w:r>
    </w:p>
    <w:p w14:paraId="235F9F6D" w14:textId="61231013"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64BF173F" w14:textId="0168F3F0"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Rie</w:t>
      </w:r>
      <w:r w:rsidR="001973A2" w:rsidRPr="00D90E51">
        <w:rPr>
          <w:rFonts w:asciiTheme="minorHAnsi" w:hAnsiTheme="minorHAnsi" w:cstheme="minorHAnsi"/>
        </w:rPr>
        <w:t>s</w:t>
      </w:r>
      <w:r w:rsidRPr="00D90E51">
        <w:rPr>
          <w:rFonts w:asciiTheme="minorHAnsi" w:hAnsiTheme="minorHAnsi" w:cstheme="minorHAnsi"/>
        </w:rPr>
        <w:t>gos por tipo de cambio o tipo de interés de las inversiones financieras:</w:t>
      </w:r>
    </w:p>
    <w:p w14:paraId="0FF488FC"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No se tienen inversiones financieras en moneda  extranjera.</w:t>
      </w:r>
    </w:p>
    <w:p w14:paraId="4EB20E4A" w14:textId="77777777"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114D8167" w14:textId="23CB8062"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e) </w:t>
      </w:r>
      <w:r w:rsidRPr="00D90E51">
        <w:rPr>
          <w:rFonts w:asciiTheme="minorHAnsi" w:hAnsiTheme="minorHAnsi" w:cstheme="minorHAnsi"/>
        </w:rPr>
        <w:t>Valor activado en el ejercicio de los bienes construidos por la entidad:</w:t>
      </w:r>
    </w:p>
    <w:p w14:paraId="42040B67"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El fideicomiso no ha realizado este tipo de operaciones.</w:t>
      </w:r>
    </w:p>
    <w:p w14:paraId="65601F26" w14:textId="77777777" w:rsidR="009B2EC3" w:rsidRPr="00D90E51" w:rsidRDefault="009B2EC3" w:rsidP="00CB41C4">
      <w:pPr>
        <w:tabs>
          <w:tab w:val="left" w:leader="underscore" w:pos="9639"/>
        </w:tabs>
        <w:spacing w:after="0" w:line="240" w:lineRule="auto"/>
        <w:jc w:val="both"/>
        <w:rPr>
          <w:rFonts w:asciiTheme="minorHAnsi" w:hAnsiTheme="minorHAnsi" w:cstheme="minorHAnsi"/>
          <w:b/>
        </w:rPr>
      </w:pPr>
    </w:p>
    <w:p w14:paraId="667FAC54" w14:textId="77777777" w:rsidR="009B2EC3" w:rsidRPr="00D90E51" w:rsidRDefault="009B2EC3" w:rsidP="00CB41C4">
      <w:pPr>
        <w:tabs>
          <w:tab w:val="left" w:leader="underscore" w:pos="9639"/>
        </w:tabs>
        <w:spacing w:after="0" w:line="240" w:lineRule="auto"/>
        <w:jc w:val="both"/>
        <w:rPr>
          <w:rFonts w:asciiTheme="minorHAnsi" w:hAnsiTheme="minorHAnsi" w:cstheme="minorHAnsi"/>
          <w:b/>
        </w:rPr>
      </w:pPr>
    </w:p>
    <w:p w14:paraId="61D4FD0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f)</w:t>
      </w:r>
      <w:r w:rsidRPr="00D90E51">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8A89F76"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No se tienen situaciones importantes que afecten los activos del Ente.</w:t>
      </w:r>
    </w:p>
    <w:p w14:paraId="7AACE95A" w14:textId="77777777"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5B1593C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Desmantelamiento de Activos, procedimientos, implicaciones, efectos contables:</w:t>
      </w:r>
    </w:p>
    <w:p w14:paraId="4FACC254" w14:textId="77777777" w:rsidR="003047F7" w:rsidRPr="00D90E51" w:rsidRDefault="003047F7" w:rsidP="003047F7">
      <w:pPr>
        <w:spacing w:after="0" w:line="240" w:lineRule="auto"/>
        <w:jc w:val="both"/>
        <w:rPr>
          <w:rFonts w:asciiTheme="minorHAnsi" w:hAnsiTheme="minorHAnsi" w:cstheme="minorHAnsi"/>
        </w:rPr>
      </w:pPr>
      <w:r w:rsidRPr="003047F7">
        <w:rPr>
          <w:rFonts w:asciiTheme="minorHAnsi" w:hAnsiTheme="minorHAnsi" w:cstheme="minorHAnsi"/>
        </w:rPr>
        <w:t>No se tienen desmantelamiento de Activos</w:t>
      </w:r>
    </w:p>
    <w:p w14:paraId="65D20F94" w14:textId="0B8CFBB6"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7F35D2F" w14:textId="77777777" w:rsidR="003047F7" w:rsidRPr="00D90E51" w:rsidRDefault="003047F7" w:rsidP="00CB41C4">
      <w:pPr>
        <w:tabs>
          <w:tab w:val="left" w:leader="underscore" w:pos="9639"/>
        </w:tabs>
        <w:spacing w:after="0" w:line="240" w:lineRule="auto"/>
        <w:jc w:val="both"/>
        <w:rPr>
          <w:rFonts w:asciiTheme="minorHAnsi" w:hAnsiTheme="minorHAnsi" w:cstheme="minorHAnsi"/>
          <w:b/>
        </w:rPr>
      </w:pPr>
    </w:p>
    <w:p w14:paraId="6543D74F" w14:textId="0FCAF3B0" w:rsidR="007D1E76" w:rsidRPr="00ED5ED5" w:rsidRDefault="007D1E76" w:rsidP="00CB41C4">
      <w:pPr>
        <w:tabs>
          <w:tab w:val="left" w:leader="underscore" w:pos="9639"/>
        </w:tabs>
        <w:spacing w:after="0" w:line="240" w:lineRule="auto"/>
        <w:jc w:val="both"/>
        <w:rPr>
          <w:rFonts w:asciiTheme="minorHAnsi" w:hAnsiTheme="minorHAnsi" w:cstheme="minorHAnsi"/>
        </w:rPr>
      </w:pPr>
      <w:r w:rsidRPr="00ED5ED5">
        <w:rPr>
          <w:rFonts w:asciiTheme="minorHAnsi" w:hAnsiTheme="minorHAnsi" w:cstheme="minorHAnsi"/>
          <w:b/>
        </w:rPr>
        <w:t>h)</w:t>
      </w:r>
      <w:r w:rsidRPr="00ED5ED5">
        <w:rPr>
          <w:rFonts w:asciiTheme="minorHAnsi" w:hAnsiTheme="minorHAnsi" w:cstheme="minorHAnsi"/>
        </w:rPr>
        <w:t xml:space="preserve"> Administración de activos; planeación con el objetivo de que el ente los utilice de manera más efectiva:</w:t>
      </w:r>
    </w:p>
    <w:p w14:paraId="41A6DC67" w14:textId="0865D7ED" w:rsidR="00F93DFB" w:rsidRPr="00ED5ED5" w:rsidRDefault="00F93DFB" w:rsidP="00CB41C4">
      <w:pPr>
        <w:tabs>
          <w:tab w:val="left" w:leader="underscore" w:pos="9639"/>
        </w:tabs>
        <w:spacing w:after="0" w:line="240" w:lineRule="auto"/>
        <w:jc w:val="both"/>
        <w:rPr>
          <w:rFonts w:asciiTheme="minorHAnsi" w:hAnsiTheme="minorHAnsi" w:cstheme="minorHAnsi"/>
        </w:rPr>
      </w:pPr>
      <w:r w:rsidRPr="00ED5ED5">
        <w:rPr>
          <w:rFonts w:asciiTheme="minorHAnsi" w:hAnsiTheme="minorHAnsi" w:cstheme="minorHAnsi"/>
        </w:rPr>
        <w:t>Los activos se utilizan de conformidad con el objeto del fideicomiso</w:t>
      </w:r>
    </w:p>
    <w:p w14:paraId="1F344FA6" w14:textId="0D504ED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Adicionalmente, se deben incluir las explicaciones de las principales variaciones en el activo, en cua</w:t>
      </w:r>
      <w:r w:rsidR="005E231E" w:rsidRPr="00D90E51">
        <w:rPr>
          <w:rFonts w:asciiTheme="minorHAnsi" w:hAnsiTheme="minorHAnsi" w:cstheme="minorHAnsi"/>
        </w:rPr>
        <w:t>dros comparativos como sigue:</w:t>
      </w:r>
    </w:p>
    <w:p w14:paraId="34E04F6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F075955" w14:textId="0A197B97" w:rsidR="007D1E76"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Inversiones en valores:</w:t>
      </w:r>
    </w:p>
    <w:p w14:paraId="3AD2878C" w14:textId="3ED624C2" w:rsidR="00ED5ED5" w:rsidRPr="00D90E51" w:rsidRDefault="00ED5ED5"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Cuenta con inversiones de mercado de dinero </w:t>
      </w:r>
    </w:p>
    <w:p w14:paraId="47FAE4D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F294F69" w14:textId="7D9621E6"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Patrimonio de Organismos </w:t>
      </w:r>
      <w:r w:rsidR="00B073DE" w:rsidRPr="00D90E51">
        <w:rPr>
          <w:rFonts w:asciiTheme="minorHAnsi" w:hAnsiTheme="minorHAnsi" w:cstheme="minorHAnsi"/>
        </w:rPr>
        <w:t>D</w:t>
      </w:r>
      <w:r w:rsidRPr="00D90E51">
        <w:rPr>
          <w:rFonts w:asciiTheme="minorHAnsi" w:hAnsiTheme="minorHAnsi" w:cstheme="minorHAnsi"/>
        </w:rPr>
        <w:t>escentralizados de Control Presupuestario Indirecto:</w:t>
      </w:r>
    </w:p>
    <w:p w14:paraId="6ED86A66" w14:textId="57C120CB" w:rsidR="007D1E76" w:rsidRPr="00D90E51" w:rsidRDefault="003047F7"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lastRenderedPageBreak/>
        <w:t>No se tiene</w:t>
      </w:r>
    </w:p>
    <w:p w14:paraId="7F76C39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A3B41E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Inversiones en empresas de participación mayoritaria:</w:t>
      </w:r>
    </w:p>
    <w:p w14:paraId="41589D4B" w14:textId="4012979A" w:rsidR="003047F7" w:rsidRPr="00D90E51" w:rsidRDefault="003047F7" w:rsidP="00CB41C4">
      <w:pPr>
        <w:tabs>
          <w:tab w:val="left" w:leader="underscore" w:pos="9639"/>
        </w:tabs>
        <w:spacing w:after="0" w:line="240" w:lineRule="auto"/>
        <w:jc w:val="both"/>
        <w:rPr>
          <w:rFonts w:asciiTheme="minorHAnsi" w:hAnsiTheme="minorHAnsi" w:cstheme="minorHAnsi"/>
          <w:bCs/>
        </w:rPr>
      </w:pPr>
      <w:r w:rsidRPr="00D90E51">
        <w:rPr>
          <w:rFonts w:asciiTheme="minorHAnsi" w:hAnsiTheme="minorHAnsi" w:cstheme="minorHAnsi"/>
          <w:bCs/>
        </w:rPr>
        <w:t xml:space="preserve">No se tiene </w:t>
      </w:r>
    </w:p>
    <w:p w14:paraId="7C4046C9" w14:textId="77777777" w:rsidR="003047F7" w:rsidRPr="00D90E51" w:rsidRDefault="003047F7" w:rsidP="00CB41C4">
      <w:pPr>
        <w:tabs>
          <w:tab w:val="left" w:leader="underscore" w:pos="9639"/>
        </w:tabs>
        <w:spacing w:after="0" w:line="240" w:lineRule="auto"/>
        <w:jc w:val="both"/>
        <w:rPr>
          <w:rFonts w:asciiTheme="minorHAnsi" w:hAnsiTheme="minorHAnsi" w:cstheme="minorHAnsi"/>
          <w:b/>
        </w:rPr>
      </w:pPr>
    </w:p>
    <w:p w14:paraId="02D4B80A" w14:textId="2713E58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Inversiones en empresas de participación minoritaria:</w:t>
      </w:r>
    </w:p>
    <w:p w14:paraId="35A51839" w14:textId="0D762CA3" w:rsidR="007D1E76" w:rsidRPr="00D90E51" w:rsidRDefault="003047F7"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No se tiene </w:t>
      </w:r>
    </w:p>
    <w:p w14:paraId="199F0C3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5A46BBB" w14:textId="01E8D72B"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Patrimonio de </w:t>
      </w:r>
      <w:r w:rsidR="006B1ADF" w:rsidRPr="00D90E51">
        <w:rPr>
          <w:rFonts w:asciiTheme="minorHAnsi" w:hAnsiTheme="minorHAnsi" w:cstheme="minorHAnsi"/>
        </w:rPr>
        <w:t>O</w:t>
      </w:r>
      <w:r w:rsidRPr="00D90E51">
        <w:rPr>
          <w:rFonts w:asciiTheme="minorHAnsi" w:hAnsiTheme="minorHAnsi" w:cstheme="minorHAnsi"/>
        </w:rPr>
        <w:t xml:space="preserve">rganismos </w:t>
      </w:r>
      <w:r w:rsidR="006B1ADF" w:rsidRPr="00D90E51">
        <w:rPr>
          <w:rFonts w:asciiTheme="minorHAnsi" w:hAnsiTheme="minorHAnsi" w:cstheme="minorHAnsi"/>
        </w:rPr>
        <w:t>D</w:t>
      </w:r>
      <w:r w:rsidRPr="00D90E51">
        <w:rPr>
          <w:rFonts w:asciiTheme="minorHAnsi" w:hAnsiTheme="minorHAnsi" w:cstheme="minorHAnsi"/>
        </w:rPr>
        <w:t xml:space="preserve">escentralizados de control </w:t>
      </w:r>
      <w:r w:rsidR="006B1ADF" w:rsidRPr="00D90E51">
        <w:rPr>
          <w:rFonts w:asciiTheme="minorHAnsi" w:hAnsiTheme="minorHAnsi" w:cstheme="minorHAnsi"/>
        </w:rPr>
        <w:t>P</w:t>
      </w:r>
      <w:r w:rsidRPr="00D90E51">
        <w:rPr>
          <w:rFonts w:asciiTheme="minorHAnsi" w:hAnsiTheme="minorHAnsi" w:cstheme="minorHAnsi"/>
        </w:rPr>
        <w:t xml:space="preserve">resupuestario </w:t>
      </w:r>
      <w:r w:rsidR="006B1ADF" w:rsidRPr="00D90E51">
        <w:rPr>
          <w:rFonts w:asciiTheme="minorHAnsi" w:hAnsiTheme="minorHAnsi" w:cstheme="minorHAnsi"/>
        </w:rPr>
        <w:t>D</w:t>
      </w:r>
      <w:r w:rsidRPr="00D90E51">
        <w:rPr>
          <w:rFonts w:asciiTheme="minorHAnsi" w:hAnsiTheme="minorHAnsi" w:cstheme="minorHAnsi"/>
        </w:rPr>
        <w:t>irecto, según corresponda:</w:t>
      </w:r>
    </w:p>
    <w:p w14:paraId="2B6EDA91" w14:textId="76FA46B4" w:rsidR="007D1E76" w:rsidRPr="00D90E51" w:rsidRDefault="0016444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No se tiene </w:t>
      </w:r>
    </w:p>
    <w:p w14:paraId="56C3B8C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A2CB466" w14:textId="77777777" w:rsidR="004C7699" w:rsidRDefault="004C7699" w:rsidP="000C3365">
      <w:pPr>
        <w:pStyle w:val="Ttulo2"/>
        <w:rPr>
          <w:rFonts w:asciiTheme="minorHAnsi" w:hAnsiTheme="minorHAnsi" w:cstheme="minorHAnsi"/>
          <w:b/>
          <w:color w:val="auto"/>
          <w:sz w:val="22"/>
          <w:szCs w:val="22"/>
        </w:rPr>
      </w:pPr>
      <w:bookmarkStart w:id="9" w:name="_Toc161472873"/>
    </w:p>
    <w:p w14:paraId="2D957F4B" w14:textId="17105F82" w:rsidR="007D1E76" w:rsidRPr="00D90E51" w:rsidRDefault="002722DD" w:rsidP="000C3365">
      <w:pPr>
        <w:pStyle w:val="Ttulo2"/>
        <w:rPr>
          <w:rFonts w:asciiTheme="minorHAnsi" w:hAnsiTheme="minorHAnsi" w:cstheme="minorHAnsi"/>
          <w:b/>
          <w:color w:val="auto"/>
          <w:sz w:val="22"/>
          <w:szCs w:val="22"/>
        </w:rPr>
      </w:pPr>
      <w:r w:rsidRPr="00D90E51">
        <w:rPr>
          <w:rFonts w:asciiTheme="minorHAnsi" w:hAnsiTheme="minorHAnsi" w:cstheme="minorHAnsi"/>
          <w:b/>
          <w:color w:val="auto"/>
          <w:sz w:val="22"/>
          <w:szCs w:val="22"/>
        </w:rPr>
        <w:t>8</w:t>
      </w:r>
      <w:r w:rsidR="007D1E76" w:rsidRPr="00D90E51">
        <w:rPr>
          <w:rFonts w:asciiTheme="minorHAnsi" w:hAnsiTheme="minorHAnsi" w:cstheme="minorHAnsi"/>
          <w:b/>
          <w:color w:val="auto"/>
          <w:sz w:val="22"/>
          <w:szCs w:val="22"/>
        </w:rPr>
        <w:t>. Fidei</w:t>
      </w:r>
      <w:r w:rsidR="005E231E" w:rsidRPr="00D90E51">
        <w:rPr>
          <w:rFonts w:asciiTheme="minorHAnsi" w:hAnsiTheme="minorHAnsi" w:cstheme="minorHAnsi"/>
          <w:b/>
          <w:color w:val="auto"/>
          <w:sz w:val="22"/>
          <w:szCs w:val="22"/>
        </w:rPr>
        <w:t>comisos, Mandatos y Análogos:</w:t>
      </w:r>
      <w:bookmarkEnd w:id="9"/>
    </w:p>
    <w:p w14:paraId="5B412C8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E55E71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deberá informar:</w:t>
      </w:r>
    </w:p>
    <w:p w14:paraId="708E87E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701D9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Por ramo administrativo que los reporta:</w:t>
      </w:r>
    </w:p>
    <w:p w14:paraId="2010752E" w14:textId="579D5409" w:rsidR="007D1E76" w:rsidRDefault="004C769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se tienen inversiones en fideicomisos</w:t>
      </w:r>
    </w:p>
    <w:p w14:paraId="31F89B6B"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326C225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Enlistar los de mayor monto de disponibilidad, relacionando aquéllos que conforman el 80% de las disponibilidades:</w:t>
      </w:r>
    </w:p>
    <w:p w14:paraId="5AE57259" w14:textId="48BDEF56" w:rsidR="007D1E76" w:rsidRPr="00D90E51" w:rsidRDefault="004C769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No se tienen inversiones en fideicomisos </w:t>
      </w:r>
    </w:p>
    <w:p w14:paraId="109DF81A" w14:textId="77777777" w:rsidR="001C24B6" w:rsidRDefault="001C24B6" w:rsidP="00CB41C4">
      <w:pPr>
        <w:tabs>
          <w:tab w:val="left" w:leader="underscore" w:pos="9639"/>
        </w:tabs>
        <w:spacing w:after="0" w:line="240" w:lineRule="auto"/>
        <w:jc w:val="both"/>
        <w:rPr>
          <w:rFonts w:asciiTheme="minorHAnsi" w:hAnsiTheme="minorHAnsi" w:cstheme="minorHAnsi"/>
        </w:rPr>
      </w:pPr>
    </w:p>
    <w:p w14:paraId="6BDA9502"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2F60B1C6" w14:textId="47BAD216" w:rsidR="007D1E76" w:rsidRPr="00D90E51" w:rsidRDefault="002722DD" w:rsidP="000C3365">
      <w:pPr>
        <w:pStyle w:val="Ttulo2"/>
        <w:rPr>
          <w:rFonts w:asciiTheme="minorHAnsi" w:hAnsiTheme="minorHAnsi" w:cstheme="minorHAnsi"/>
          <w:b/>
          <w:color w:val="auto"/>
          <w:sz w:val="22"/>
          <w:szCs w:val="22"/>
        </w:rPr>
      </w:pPr>
      <w:bookmarkStart w:id="10" w:name="_Toc161472874"/>
      <w:r w:rsidRPr="00D90E51">
        <w:rPr>
          <w:rFonts w:asciiTheme="minorHAnsi" w:hAnsiTheme="minorHAnsi" w:cstheme="minorHAnsi"/>
          <w:b/>
          <w:color w:val="auto"/>
          <w:sz w:val="22"/>
          <w:szCs w:val="22"/>
        </w:rPr>
        <w:t>9</w:t>
      </w:r>
      <w:r w:rsidR="007D1E76" w:rsidRPr="00D90E51">
        <w:rPr>
          <w:rFonts w:asciiTheme="minorHAnsi" w:hAnsiTheme="minorHAnsi" w:cstheme="minorHAnsi"/>
          <w:b/>
          <w:color w:val="auto"/>
          <w:sz w:val="22"/>
          <w:szCs w:val="22"/>
        </w:rPr>
        <w:t>. Reporte de la Recaudación:</w:t>
      </w:r>
      <w:bookmarkEnd w:id="10"/>
    </w:p>
    <w:p w14:paraId="2B90D2E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DF860F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19ACF88B" w14:textId="77777777" w:rsidR="001C24B6" w:rsidRPr="00D90E51" w:rsidRDefault="001C24B6" w:rsidP="001C24B6">
      <w:pPr>
        <w:spacing w:after="0" w:line="240" w:lineRule="auto"/>
        <w:jc w:val="both"/>
        <w:rPr>
          <w:rFonts w:asciiTheme="minorHAnsi" w:hAnsiTheme="minorHAnsi" w:cstheme="minorHAnsi"/>
        </w:rPr>
      </w:pPr>
      <w:r w:rsidRPr="001C24B6">
        <w:rPr>
          <w:rFonts w:asciiTheme="minorHAnsi" w:hAnsiTheme="minorHAnsi" w:cstheme="minorHAnsi"/>
        </w:rPr>
        <w:t>Únicamente se tienen las aportaciones realizadas por el FIDEICOMITENTE, y las aportaciones de los productores.</w:t>
      </w:r>
    </w:p>
    <w:p w14:paraId="3B5B2CF3" w14:textId="77777777" w:rsidR="001C24B6" w:rsidRPr="00D90E51" w:rsidRDefault="001C24B6" w:rsidP="00CB41C4">
      <w:pPr>
        <w:tabs>
          <w:tab w:val="left" w:leader="underscore" w:pos="9639"/>
        </w:tabs>
        <w:spacing w:after="0" w:line="240" w:lineRule="auto"/>
        <w:jc w:val="both"/>
        <w:rPr>
          <w:rFonts w:asciiTheme="minorHAnsi" w:hAnsiTheme="minorHAnsi" w:cstheme="minorHAnsi"/>
        </w:rPr>
      </w:pPr>
    </w:p>
    <w:p w14:paraId="089C8208" w14:textId="77777777" w:rsidR="001C24B6" w:rsidRPr="00D90E51" w:rsidRDefault="001C24B6" w:rsidP="00CB41C4">
      <w:pPr>
        <w:tabs>
          <w:tab w:val="left" w:leader="underscore" w:pos="9639"/>
        </w:tabs>
        <w:spacing w:after="0" w:line="240" w:lineRule="auto"/>
        <w:jc w:val="both"/>
        <w:rPr>
          <w:rFonts w:asciiTheme="minorHAnsi" w:hAnsiTheme="minorHAnsi" w:cstheme="minorHAnsi"/>
        </w:rPr>
      </w:pPr>
    </w:p>
    <w:p w14:paraId="36C23337" w14:textId="33D83601"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Proyección de la recaudación e ingresos en el mediano plazo:</w:t>
      </w:r>
    </w:p>
    <w:p w14:paraId="17F6BB5F" w14:textId="77777777" w:rsidR="000E529B" w:rsidRPr="00D90E51" w:rsidRDefault="000E529B" w:rsidP="000E529B">
      <w:pPr>
        <w:spacing w:after="0" w:line="240" w:lineRule="auto"/>
        <w:jc w:val="both"/>
        <w:rPr>
          <w:rFonts w:asciiTheme="minorHAnsi" w:hAnsiTheme="minorHAnsi" w:cstheme="minorHAnsi"/>
        </w:rPr>
      </w:pPr>
      <w:r w:rsidRPr="000E529B">
        <w:rPr>
          <w:rFonts w:asciiTheme="minorHAnsi" w:hAnsiTheme="minorHAnsi" w:cstheme="minorHAnsi"/>
        </w:rPr>
        <w:t>No se obtienen ingresos , únicamente  se  obtienen  aportaciones  realizadas  por  el  FIDEICOMITENTE y las aportaciones  de los  productores .</w:t>
      </w:r>
    </w:p>
    <w:p w14:paraId="7C4CE7E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6FDB1A9" w14:textId="77777777" w:rsidR="00231FBE" w:rsidRPr="00D90E51" w:rsidRDefault="00231FBE" w:rsidP="00CB41C4">
      <w:pPr>
        <w:tabs>
          <w:tab w:val="left" w:leader="underscore" w:pos="9639"/>
        </w:tabs>
        <w:spacing w:after="0" w:line="240" w:lineRule="auto"/>
        <w:jc w:val="both"/>
        <w:rPr>
          <w:rFonts w:asciiTheme="minorHAnsi" w:hAnsiTheme="minorHAnsi" w:cstheme="minorHAnsi"/>
        </w:rPr>
      </w:pPr>
    </w:p>
    <w:p w14:paraId="2D68C3FC" w14:textId="7BAEB103" w:rsidR="007D1E76" w:rsidRPr="00D90E51" w:rsidRDefault="007D1E76" w:rsidP="000C3365">
      <w:pPr>
        <w:pStyle w:val="Ttulo2"/>
        <w:rPr>
          <w:rFonts w:asciiTheme="minorHAnsi" w:hAnsiTheme="minorHAnsi" w:cstheme="minorHAnsi"/>
          <w:b/>
          <w:color w:val="auto"/>
          <w:sz w:val="22"/>
          <w:szCs w:val="22"/>
        </w:rPr>
      </w:pPr>
      <w:bookmarkStart w:id="11" w:name="_Toc161472875"/>
      <w:r w:rsidRPr="00D90E51">
        <w:rPr>
          <w:rFonts w:asciiTheme="minorHAnsi" w:hAnsiTheme="minorHAnsi" w:cstheme="minorHAnsi"/>
          <w:b/>
          <w:color w:val="auto"/>
          <w:sz w:val="22"/>
          <w:szCs w:val="22"/>
        </w:rPr>
        <w:t>1</w:t>
      </w:r>
      <w:r w:rsidR="00106EE9" w:rsidRPr="00D90E51">
        <w:rPr>
          <w:rFonts w:asciiTheme="minorHAnsi" w:hAnsiTheme="minorHAnsi" w:cstheme="minorHAnsi"/>
          <w:b/>
          <w:color w:val="auto"/>
          <w:sz w:val="22"/>
          <w:szCs w:val="22"/>
        </w:rPr>
        <w:t>0</w:t>
      </w:r>
      <w:r w:rsidRPr="00D90E51">
        <w:rPr>
          <w:rFonts w:asciiTheme="minorHAnsi" w:hAnsiTheme="minorHAnsi" w:cstheme="minorHAnsi"/>
          <w:b/>
          <w:color w:val="auto"/>
          <w:sz w:val="22"/>
          <w:szCs w:val="22"/>
        </w:rPr>
        <w:t>. Información sobre la Deuda y el R</w:t>
      </w:r>
      <w:r w:rsidR="005E231E" w:rsidRPr="00D90E51">
        <w:rPr>
          <w:rFonts w:asciiTheme="minorHAnsi" w:hAnsiTheme="minorHAnsi" w:cstheme="minorHAnsi"/>
          <w:b/>
          <w:color w:val="auto"/>
          <w:sz w:val="22"/>
          <w:szCs w:val="22"/>
        </w:rPr>
        <w:t>eporte Analítico de la Deuda:</w:t>
      </w:r>
      <w:bookmarkEnd w:id="11"/>
    </w:p>
    <w:p w14:paraId="2733703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B63D2E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3F9DDBBA" w14:textId="6EE105D6" w:rsidR="007D1E76" w:rsidRPr="00D90E51" w:rsidRDefault="00BE109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se tiene deuda</w:t>
      </w:r>
    </w:p>
    <w:p w14:paraId="37141A27" w14:textId="77777777" w:rsidR="00BE1099" w:rsidRPr="00D90E51" w:rsidRDefault="00BE1099" w:rsidP="00CB41C4">
      <w:pPr>
        <w:tabs>
          <w:tab w:val="left" w:leader="underscore" w:pos="9639"/>
        </w:tabs>
        <w:spacing w:after="0" w:line="240" w:lineRule="auto"/>
        <w:jc w:val="both"/>
        <w:rPr>
          <w:rFonts w:asciiTheme="minorHAnsi" w:hAnsiTheme="minorHAnsi" w:cstheme="minorHAnsi"/>
        </w:rPr>
      </w:pPr>
    </w:p>
    <w:p w14:paraId="26034E4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Información de manera agrupada por tipo de valor gubernamental o instrumento financiero en la que se considere</w:t>
      </w:r>
      <w:r w:rsidR="001973A2" w:rsidRPr="00D90E51">
        <w:rPr>
          <w:rFonts w:asciiTheme="minorHAnsi" w:hAnsiTheme="minorHAnsi" w:cstheme="minorHAnsi"/>
        </w:rPr>
        <w:t>n</w:t>
      </w:r>
      <w:r w:rsidRPr="00D90E51">
        <w:rPr>
          <w:rFonts w:asciiTheme="minorHAnsi" w:hAnsiTheme="minorHAnsi" w:cstheme="minorHAnsi"/>
        </w:rPr>
        <w:t xml:space="preserve"> intereses, comisiones, tasa, perfil de vencimiento y otros gastos de la deuda.</w:t>
      </w:r>
    </w:p>
    <w:p w14:paraId="67DDEBBA" w14:textId="00AEA81A"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 Se </w:t>
      </w:r>
      <w:r w:rsidR="000C3365" w:rsidRPr="00D90E51">
        <w:rPr>
          <w:rFonts w:asciiTheme="minorHAnsi" w:hAnsiTheme="minorHAnsi" w:cstheme="minorHAnsi"/>
        </w:rPr>
        <w:t>anexará</w:t>
      </w:r>
      <w:r w:rsidRPr="00D90E51">
        <w:rPr>
          <w:rFonts w:asciiTheme="minorHAnsi" w:hAnsiTheme="minorHAnsi" w:cstheme="minorHAnsi"/>
        </w:rPr>
        <w:t xml:space="preserve"> la informació</w:t>
      </w:r>
      <w:r w:rsidR="005E231E" w:rsidRPr="00D90E51">
        <w:rPr>
          <w:rFonts w:asciiTheme="minorHAnsi" w:hAnsiTheme="minorHAnsi" w:cstheme="minorHAnsi"/>
        </w:rPr>
        <w:t>n en las notas de desglose.</w:t>
      </w:r>
    </w:p>
    <w:p w14:paraId="47A92FC9" w14:textId="7DA5DE44" w:rsidR="007D1E76" w:rsidRPr="00D90E51" w:rsidRDefault="00BE109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lastRenderedPageBreak/>
        <w:t>No se tienen este tipo de valores</w:t>
      </w:r>
    </w:p>
    <w:p w14:paraId="409B1D78"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9C64A34" w14:textId="7E11CC12" w:rsidR="007D1E76" w:rsidRPr="00D90E51" w:rsidRDefault="007D1E76" w:rsidP="000C3365">
      <w:pPr>
        <w:pStyle w:val="Ttulo2"/>
        <w:rPr>
          <w:rFonts w:asciiTheme="minorHAnsi" w:hAnsiTheme="minorHAnsi" w:cstheme="minorHAnsi"/>
          <w:b/>
          <w:color w:val="auto"/>
          <w:sz w:val="22"/>
          <w:szCs w:val="22"/>
        </w:rPr>
      </w:pPr>
      <w:bookmarkStart w:id="12" w:name="_Toc161472876"/>
      <w:r w:rsidRPr="00D90E51">
        <w:rPr>
          <w:rFonts w:asciiTheme="minorHAnsi" w:hAnsiTheme="minorHAnsi" w:cstheme="minorHAnsi"/>
          <w:b/>
          <w:color w:val="auto"/>
          <w:sz w:val="22"/>
          <w:szCs w:val="22"/>
        </w:rPr>
        <w:t>1</w:t>
      </w:r>
      <w:r w:rsidR="005F2900" w:rsidRPr="00D90E51">
        <w:rPr>
          <w:rFonts w:asciiTheme="minorHAnsi" w:hAnsiTheme="minorHAnsi" w:cstheme="minorHAnsi"/>
          <w:b/>
          <w:color w:val="auto"/>
          <w:sz w:val="22"/>
          <w:szCs w:val="22"/>
        </w:rPr>
        <w:t>1</w:t>
      </w:r>
      <w:r w:rsidRPr="00D90E51">
        <w:rPr>
          <w:rFonts w:asciiTheme="minorHAnsi" w:hAnsiTheme="minorHAnsi" w:cstheme="minorHAnsi"/>
          <w:b/>
          <w:color w:val="auto"/>
          <w:sz w:val="22"/>
          <w:szCs w:val="22"/>
        </w:rPr>
        <w:t>.</w:t>
      </w:r>
      <w:r w:rsidR="005E231E" w:rsidRPr="00D90E51">
        <w:rPr>
          <w:rFonts w:asciiTheme="minorHAnsi" w:hAnsiTheme="minorHAnsi" w:cstheme="minorHAnsi"/>
          <w:b/>
          <w:color w:val="auto"/>
          <w:sz w:val="22"/>
          <w:szCs w:val="22"/>
        </w:rPr>
        <w:t xml:space="preserve"> Calificaciones otorgadas:</w:t>
      </w:r>
      <w:bookmarkEnd w:id="12"/>
    </w:p>
    <w:p w14:paraId="67197CE9"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7D9F68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Informar, tanto del ente público como cualquier transacción realizada, que haya sido sujeta a una calificación crediticia:</w:t>
      </w:r>
    </w:p>
    <w:p w14:paraId="52C7390D" w14:textId="77777777" w:rsidR="00A07DBF" w:rsidRPr="00D90E51" w:rsidRDefault="00A07DBF" w:rsidP="00A07DBF">
      <w:pPr>
        <w:spacing w:after="0" w:line="240" w:lineRule="auto"/>
        <w:jc w:val="both"/>
        <w:rPr>
          <w:rFonts w:asciiTheme="minorHAnsi" w:hAnsiTheme="minorHAnsi" w:cstheme="minorHAnsi"/>
        </w:rPr>
      </w:pPr>
      <w:r w:rsidRPr="00A07DBF">
        <w:rPr>
          <w:rFonts w:asciiTheme="minorHAnsi" w:hAnsiTheme="minorHAnsi" w:cstheme="minorHAnsi"/>
        </w:rPr>
        <w:t>No se cuenta con calificaciones otorgadas o  certificaciones</w:t>
      </w:r>
    </w:p>
    <w:p w14:paraId="69F2550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0B4C763" w14:textId="43FCCE22" w:rsidR="007D1E76" w:rsidRPr="00D90E51" w:rsidRDefault="007D1E76" w:rsidP="000C3365">
      <w:pPr>
        <w:pStyle w:val="Ttulo2"/>
        <w:rPr>
          <w:rFonts w:asciiTheme="minorHAnsi" w:hAnsiTheme="minorHAnsi" w:cstheme="minorHAnsi"/>
          <w:b/>
          <w:color w:val="auto"/>
          <w:sz w:val="22"/>
          <w:szCs w:val="22"/>
        </w:rPr>
      </w:pPr>
      <w:bookmarkStart w:id="13" w:name="_Toc161472877"/>
      <w:r w:rsidRPr="00D90E51">
        <w:rPr>
          <w:rFonts w:asciiTheme="minorHAnsi" w:hAnsiTheme="minorHAnsi" w:cstheme="minorHAnsi"/>
          <w:b/>
          <w:color w:val="auto"/>
          <w:sz w:val="22"/>
          <w:szCs w:val="22"/>
        </w:rPr>
        <w:t>1</w:t>
      </w:r>
      <w:r w:rsidR="00F6759B" w:rsidRPr="00D90E51">
        <w:rPr>
          <w:rFonts w:asciiTheme="minorHAnsi" w:hAnsiTheme="minorHAnsi" w:cstheme="minorHAnsi"/>
          <w:b/>
          <w:color w:val="auto"/>
          <w:sz w:val="22"/>
          <w:szCs w:val="22"/>
        </w:rPr>
        <w:t>2</w:t>
      </w:r>
      <w:r w:rsidRPr="00D90E51">
        <w:rPr>
          <w:rFonts w:asciiTheme="minorHAnsi" w:hAnsiTheme="minorHAnsi" w:cstheme="minorHAnsi"/>
          <w:b/>
          <w:color w:val="auto"/>
          <w:sz w:val="22"/>
          <w:szCs w:val="22"/>
        </w:rPr>
        <w:t>. Proceso de Mejora:</w:t>
      </w:r>
      <w:bookmarkEnd w:id="13"/>
    </w:p>
    <w:p w14:paraId="0251CC47" w14:textId="77777777" w:rsidR="007D1E76" w:rsidRPr="00D90E51" w:rsidRDefault="007D1E76" w:rsidP="00CB41C4">
      <w:pPr>
        <w:tabs>
          <w:tab w:val="left" w:leader="underscore" w:pos="9639"/>
        </w:tabs>
        <w:spacing w:after="0" w:line="240" w:lineRule="auto"/>
        <w:jc w:val="both"/>
        <w:rPr>
          <w:rFonts w:asciiTheme="minorHAnsi" w:hAnsiTheme="minorHAnsi" w:cstheme="minorHAnsi"/>
          <w:color w:val="FF0000"/>
        </w:rPr>
      </w:pPr>
    </w:p>
    <w:p w14:paraId="171672D2"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rPr>
        <w:t>Se informará de:</w:t>
      </w:r>
    </w:p>
    <w:p w14:paraId="533FB084"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p>
    <w:p w14:paraId="4D639AB5"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b/>
        </w:rPr>
        <w:t>a)</w:t>
      </w:r>
      <w:r w:rsidRPr="00ED0639">
        <w:rPr>
          <w:rFonts w:asciiTheme="minorHAnsi" w:hAnsiTheme="minorHAnsi" w:cstheme="minorHAnsi"/>
        </w:rPr>
        <w:t xml:space="preserve"> Principales Políticas de control interno:</w:t>
      </w:r>
    </w:p>
    <w:p w14:paraId="5C23726E" w14:textId="77777777" w:rsidR="004C7699" w:rsidRPr="004C7699" w:rsidRDefault="004C7699" w:rsidP="004C7699">
      <w:pPr>
        <w:spacing w:after="0" w:line="240" w:lineRule="auto"/>
        <w:jc w:val="both"/>
        <w:rPr>
          <w:rFonts w:ascii="Arial" w:eastAsia="Times New Roman" w:hAnsi="Arial" w:cs="Arial"/>
          <w:color w:val="000000"/>
          <w:sz w:val="16"/>
          <w:szCs w:val="16"/>
          <w:lang w:eastAsia="es-MX"/>
        </w:rPr>
      </w:pPr>
      <w:r w:rsidRPr="004C7699">
        <w:rPr>
          <w:rFonts w:asciiTheme="minorHAnsi" w:hAnsiTheme="minorHAnsi" w:cstheme="minorHAnsi"/>
        </w:rPr>
        <w:t>Apego  al  presupuesto  con  racionalidad  y  transparencia</w:t>
      </w:r>
    </w:p>
    <w:p w14:paraId="1BD51D41"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1E553E98"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59CFF4B2"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b/>
        </w:rPr>
        <w:t>b)</w:t>
      </w:r>
      <w:r w:rsidRPr="00ED0639">
        <w:rPr>
          <w:rFonts w:asciiTheme="minorHAnsi" w:hAnsiTheme="minorHAnsi" w:cstheme="minorHAnsi"/>
        </w:rPr>
        <w:t xml:space="preserve"> Medidas de desempeño financiero, metas y alcance:</w:t>
      </w:r>
    </w:p>
    <w:p w14:paraId="5762AEB7" w14:textId="77777777" w:rsidR="004C7699" w:rsidRPr="004C6397" w:rsidRDefault="004C7699" w:rsidP="004C7699">
      <w:pPr>
        <w:spacing w:after="0" w:line="240" w:lineRule="auto"/>
        <w:jc w:val="both"/>
        <w:rPr>
          <w:rFonts w:asciiTheme="minorHAnsi" w:hAnsiTheme="minorHAnsi" w:cstheme="minorHAnsi"/>
        </w:rPr>
      </w:pPr>
      <w:r w:rsidRPr="004C7699">
        <w:rPr>
          <w:rFonts w:asciiTheme="minorHAnsi" w:hAnsiTheme="minorHAnsi" w:cstheme="minorHAnsi"/>
        </w:rPr>
        <w:t>Racionar    el    uso    de    los     recursos     sobre    todo    en    el    primer    semestre    del    año    para    alcanzar     el cumplimiento  de  las  funciones  para  el  ejercicio  completo.</w:t>
      </w:r>
    </w:p>
    <w:p w14:paraId="6DD757E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95495B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D010C2A" w14:textId="279F5D07" w:rsidR="007D1E76" w:rsidRPr="00D90E51" w:rsidRDefault="007D1E76" w:rsidP="000C3365">
      <w:pPr>
        <w:pStyle w:val="Ttulo2"/>
        <w:rPr>
          <w:rFonts w:asciiTheme="minorHAnsi" w:hAnsiTheme="minorHAnsi" w:cstheme="minorHAnsi"/>
          <w:b/>
          <w:color w:val="auto"/>
          <w:sz w:val="22"/>
          <w:szCs w:val="22"/>
        </w:rPr>
      </w:pPr>
      <w:bookmarkStart w:id="14" w:name="_Toc161472878"/>
      <w:r w:rsidRPr="00D90E51">
        <w:rPr>
          <w:rFonts w:asciiTheme="minorHAnsi" w:hAnsiTheme="minorHAnsi" w:cstheme="minorHAnsi"/>
          <w:b/>
          <w:color w:val="auto"/>
          <w:sz w:val="22"/>
          <w:szCs w:val="22"/>
        </w:rPr>
        <w:t>1</w:t>
      </w:r>
      <w:r w:rsidR="00F6759B" w:rsidRPr="00D90E51">
        <w:rPr>
          <w:rFonts w:asciiTheme="minorHAnsi" w:hAnsiTheme="minorHAnsi" w:cstheme="minorHAnsi"/>
          <w:b/>
          <w:color w:val="auto"/>
          <w:sz w:val="22"/>
          <w:szCs w:val="22"/>
        </w:rPr>
        <w:t>3</w:t>
      </w:r>
      <w:r w:rsidR="005E231E" w:rsidRPr="00D90E51">
        <w:rPr>
          <w:rFonts w:asciiTheme="minorHAnsi" w:hAnsiTheme="minorHAnsi" w:cstheme="minorHAnsi"/>
          <w:b/>
          <w:color w:val="auto"/>
          <w:sz w:val="22"/>
          <w:szCs w:val="22"/>
        </w:rPr>
        <w:t>. Información por Segmentos:</w:t>
      </w:r>
      <w:bookmarkEnd w:id="14"/>
    </w:p>
    <w:p w14:paraId="6C3C6A0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4BC1596" w14:textId="46D52ADD" w:rsidR="007D1E76" w:rsidRPr="00D90E51" w:rsidRDefault="0080626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D90E51">
        <w:rPr>
          <w:rFonts w:asciiTheme="minorHAnsi" w:hAnsiTheme="minorHAnsi" w:cstheme="minorHAnsi"/>
        </w:rPr>
        <w:t>.</w:t>
      </w:r>
    </w:p>
    <w:p w14:paraId="1E94F8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078A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Consecuentemente, esta información contribuye al análisis más preciso de la situación financiera, grados y fuentes de riesgo y crec</w:t>
      </w:r>
      <w:r w:rsidR="005E231E" w:rsidRPr="00D90E51">
        <w:rPr>
          <w:rFonts w:asciiTheme="minorHAnsi" w:hAnsiTheme="minorHAnsi" w:cstheme="minorHAnsi"/>
        </w:rPr>
        <w:t>imiento potencial de negocio.</w:t>
      </w:r>
    </w:p>
    <w:p w14:paraId="4054793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762DF27" w14:textId="77777777" w:rsidR="00A71F2B" w:rsidRPr="00D90E51" w:rsidRDefault="00A71F2B" w:rsidP="00A71F2B">
      <w:pPr>
        <w:spacing w:after="0" w:line="240" w:lineRule="auto"/>
        <w:jc w:val="both"/>
        <w:rPr>
          <w:rFonts w:asciiTheme="minorHAnsi" w:hAnsiTheme="minorHAnsi" w:cstheme="minorHAnsi"/>
        </w:rPr>
      </w:pPr>
      <w:r w:rsidRPr="00A71F2B">
        <w:rPr>
          <w:rFonts w:asciiTheme="minorHAnsi" w:hAnsiTheme="minorHAnsi" w:cstheme="minorHAnsi"/>
        </w:rPr>
        <w:t>Toda la información del Fideicomiso, está procesada y clasificada según el  origen  de  los  recursos (Federal ,   Estatal),  y   al  programa  al  que  están  enfocados .</w:t>
      </w:r>
    </w:p>
    <w:p w14:paraId="03BBF6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CE772DA" w14:textId="7AAD6A4E" w:rsidR="007D1E76" w:rsidRPr="00D90E51" w:rsidRDefault="007D1E76" w:rsidP="000C3365">
      <w:pPr>
        <w:pStyle w:val="Ttulo2"/>
        <w:rPr>
          <w:rFonts w:asciiTheme="minorHAnsi" w:hAnsiTheme="minorHAnsi" w:cstheme="minorHAnsi"/>
          <w:b/>
          <w:color w:val="auto"/>
          <w:sz w:val="22"/>
          <w:szCs w:val="22"/>
        </w:rPr>
      </w:pPr>
      <w:bookmarkStart w:id="15" w:name="_Toc161472879"/>
      <w:r w:rsidRPr="00D90E51">
        <w:rPr>
          <w:rFonts w:asciiTheme="minorHAnsi" w:hAnsiTheme="minorHAnsi" w:cstheme="minorHAnsi"/>
          <w:b/>
          <w:color w:val="auto"/>
          <w:sz w:val="22"/>
          <w:szCs w:val="22"/>
        </w:rPr>
        <w:t>1</w:t>
      </w:r>
      <w:r w:rsidR="004A1077" w:rsidRPr="00D90E51">
        <w:rPr>
          <w:rFonts w:asciiTheme="minorHAnsi" w:hAnsiTheme="minorHAnsi" w:cstheme="minorHAnsi"/>
          <w:b/>
          <w:color w:val="auto"/>
          <w:sz w:val="22"/>
          <w:szCs w:val="22"/>
        </w:rPr>
        <w:t>4</w:t>
      </w:r>
      <w:r w:rsidRPr="00D90E51">
        <w:rPr>
          <w:rFonts w:asciiTheme="minorHAnsi" w:hAnsiTheme="minorHAnsi" w:cstheme="minorHAnsi"/>
          <w:b/>
          <w:color w:val="auto"/>
          <w:sz w:val="22"/>
          <w:szCs w:val="22"/>
        </w:rPr>
        <w:t>. E</w:t>
      </w:r>
      <w:r w:rsidR="005E231E" w:rsidRPr="00D90E51">
        <w:rPr>
          <w:rFonts w:asciiTheme="minorHAnsi" w:hAnsiTheme="minorHAnsi" w:cstheme="minorHAnsi"/>
          <w:b/>
          <w:color w:val="auto"/>
          <w:sz w:val="22"/>
          <w:szCs w:val="22"/>
        </w:rPr>
        <w:t>ventos Posteriores al Cierre:</w:t>
      </w:r>
      <w:bookmarkEnd w:id="15"/>
    </w:p>
    <w:p w14:paraId="362DF4F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A364806" w14:textId="666FB683" w:rsidR="00FA00B9" w:rsidRPr="00D90E51" w:rsidRDefault="007D1E76" w:rsidP="00393B68">
      <w:pPr>
        <w:tabs>
          <w:tab w:val="left" w:leader="underscore" w:pos="9639"/>
        </w:tabs>
        <w:spacing w:after="0" w:line="240" w:lineRule="auto"/>
        <w:rPr>
          <w:rFonts w:asciiTheme="minorHAnsi" w:hAnsiTheme="minorHAnsi" w:cstheme="minorHAnsi"/>
        </w:rPr>
      </w:pPr>
      <w:r w:rsidRPr="00D90E51">
        <w:rPr>
          <w:rFonts w:asciiTheme="minorHAnsi" w:hAnsiTheme="minorHAnsi" w:cstheme="minorHAnsi"/>
        </w:rPr>
        <w:t>El ente público informará el efecto en sus estados financieros de aquellos hechos ocurridos en el período posterior al que informa, que proporcionan mayor evidencia sobre eventos que le afectan económicamente</w:t>
      </w:r>
      <w:r w:rsidR="00393B68">
        <w:rPr>
          <w:rFonts w:asciiTheme="minorHAnsi" w:hAnsiTheme="minorHAnsi" w:cstheme="minorHAnsi"/>
        </w:rPr>
        <w:t xml:space="preserve"> y que no se conocían a la fecha del cierre</w:t>
      </w:r>
      <w:r w:rsidR="005E231E" w:rsidRPr="00D90E51">
        <w:rPr>
          <w:rFonts w:asciiTheme="minorHAnsi" w:hAnsiTheme="minorHAnsi" w:cstheme="minorHAnsi"/>
        </w:rPr>
        <w:cr/>
      </w:r>
    </w:p>
    <w:p w14:paraId="6CD5A0F2" w14:textId="77777777" w:rsidR="00393B68" w:rsidRDefault="0098649D" w:rsidP="00FA00B9">
      <w:pPr>
        <w:spacing w:after="0" w:line="240" w:lineRule="auto"/>
        <w:jc w:val="both"/>
        <w:rPr>
          <w:rFonts w:asciiTheme="minorHAnsi" w:hAnsiTheme="minorHAnsi" w:cstheme="minorHAnsi"/>
        </w:rPr>
      </w:pPr>
      <w:r>
        <w:rPr>
          <w:rFonts w:asciiTheme="minorHAnsi" w:hAnsiTheme="minorHAnsi" w:cstheme="minorHAnsi"/>
        </w:rPr>
        <w:t xml:space="preserve">Se informa que posterior al cierre del ejercicio se realizaron </w:t>
      </w:r>
      <w:r w:rsidR="00393B68">
        <w:rPr>
          <w:rFonts w:asciiTheme="minorHAnsi" w:hAnsiTheme="minorHAnsi" w:cstheme="minorHAnsi"/>
        </w:rPr>
        <w:t>los siguientes movimientos mismos que afectan al resultado del ejercicio anterior:</w:t>
      </w:r>
    </w:p>
    <w:p w14:paraId="7AACF235" w14:textId="77777777" w:rsidR="00393B68" w:rsidRDefault="00393B68" w:rsidP="00FA00B9">
      <w:pPr>
        <w:spacing w:after="0" w:line="240" w:lineRule="auto"/>
        <w:jc w:val="both"/>
        <w:rPr>
          <w:rFonts w:asciiTheme="minorHAnsi" w:hAnsiTheme="minorHAnsi" w:cstheme="minorHAnsi"/>
        </w:rPr>
      </w:pPr>
    </w:p>
    <w:p w14:paraId="5D65BEA2" w14:textId="77777777" w:rsidR="00393B68" w:rsidRDefault="00393B68" w:rsidP="00FA00B9">
      <w:pPr>
        <w:spacing w:after="0" w:line="240" w:lineRule="auto"/>
        <w:jc w:val="both"/>
        <w:rPr>
          <w:rFonts w:asciiTheme="minorHAnsi" w:hAnsiTheme="minorHAnsi" w:cstheme="minorHAnsi"/>
        </w:rPr>
      </w:pPr>
    </w:p>
    <w:p w14:paraId="3E168382" w14:textId="77777777" w:rsidR="00393B68" w:rsidRDefault="00393B68" w:rsidP="00393B68">
      <w:pPr>
        <w:pStyle w:val="Prrafodelista"/>
        <w:numPr>
          <w:ilvl w:val="0"/>
          <w:numId w:val="2"/>
        </w:numPr>
        <w:spacing w:after="0" w:line="240" w:lineRule="auto"/>
        <w:jc w:val="both"/>
        <w:rPr>
          <w:rFonts w:asciiTheme="minorHAnsi" w:hAnsiTheme="minorHAnsi" w:cstheme="minorHAnsi"/>
        </w:rPr>
      </w:pPr>
      <w:r>
        <w:rPr>
          <w:rFonts w:asciiTheme="minorHAnsi" w:hAnsiTheme="minorHAnsi" w:cstheme="minorHAnsi"/>
        </w:rPr>
        <w:lastRenderedPageBreak/>
        <w:t>R</w:t>
      </w:r>
      <w:r w:rsidR="0098649D" w:rsidRPr="00393B68">
        <w:rPr>
          <w:rFonts w:asciiTheme="minorHAnsi" w:hAnsiTheme="minorHAnsi" w:cstheme="minorHAnsi"/>
        </w:rPr>
        <w:t xml:space="preserve">eintegros </w:t>
      </w:r>
      <w:r w:rsidR="00126188" w:rsidRPr="00393B68">
        <w:rPr>
          <w:rFonts w:asciiTheme="minorHAnsi" w:hAnsiTheme="minorHAnsi" w:cstheme="minorHAnsi"/>
        </w:rPr>
        <w:t>a la</w:t>
      </w:r>
      <w:r w:rsidR="0098649D" w:rsidRPr="00393B68">
        <w:rPr>
          <w:rFonts w:asciiTheme="minorHAnsi" w:hAnsiTheme="minorHAnsi" w:cstheme="minorHAnsi"/>
        </w:rPr>
        <w:t xml:space="preserve"> Tesorería de la Federación por la cantidad de </w:t>
      </w:r>
      <w:r w:rsidR="00530118" w:rsidRPr="00393B68">
        <w:rPr>
          <w:rFonts w:asciiTheme="minorHAnsi" w:hAnsiTheme="minorHAnsi" w:cstheme="minorHAnsi"/>
        </w:rPr>
        <w:t>$</w:t>
      </w:r>
      <w:r w:rsidR="00703210" w:rsidRPr="00393B68">
        <w:rPr>
          <w:rFonts w:asciiTheme="minorHAnsi" w:hAnsiTheme="minorHAnsi" w:cstheme="minorHAnsi"/>
        </w:rPr>
        <w:t>16,700.00.</w:t>
      </w:r>
    </w:p>
    <w:p w14:paraId="0FA21067" w14:textId="7ABE40E3" w:rsidR="00FA00B9" w:rsidRDefault="00530118" w:rsidP="00393B68">
      <w:pPr>
        <w:pStyle w:val="Prrafodelista"/>
        <w:numPr>
          <w:ilvl w:val="0"/>
          <w:numId w:val="2"/>
        </w:numPr>
        <w:spacing w:after="0" w:line="240" w:lineRule="auto"/>
        <w:jc w:val="both"/>
        <w:rPr>
          <w:rFonts w:asciiTheme="minorHAnsi" w:hAnsiTheme="minorHAnsi" w:cstheme="minorHAnsi"/>
        </w:rPr>
      </w:pPr>
      <w:r w:rsidRPr="00393B68">
        <w:rPr>
          <w:rFonts w:asciiTheme="minorHAnsi" w:hAnsiTheme="minorHAnsi" w:cstheme="minorHAnsi"/>
        </w:rPr>
        <w:t xml:space="preserve"> </w:t>
      </w:r>
      <w:r w:rsidR="00393B68">
        <w:rPr>
          <w:rFonts w:asciiTheme="minorHAnsi" w:hAnsiTheme="minorHAnsi" w:cstheme="minorHAnsi"/>
        </w:rPr>
        <w:t>Devolución de recursos estatales no ejercidos por la cantidad de $4´200,000.00</w:t>
      </w:r>
    </w:p>
    <w:p w14:paraId="0A95A452" w14:textId="1C2B6741" w:rsidR="00393B68" w:rsidRDefault="00393B68" w:rsidP="00393B68">
      <w:pPr>
        <w:pStyle w:val="Prrafodelista"/>
        <w:numPr>
          <w:ilvl w:val="0"/>
          <w:numId w:val="2"/>
        </w:numPr>
        <w:spacing w:after="0" w:line="240" w:lineRule="auto"/>
        <w:jc w:val="both"/>
        <w:rPr>
          <w:rFonts w:asciiTheme="minorHAnsi" w:hAnsiTheme="minorHAnsi" w:cstheme="minorHAnsi"/>
        </w:rPr>
      </w:pPr>
      <w:r>
        <w:rPr>
          <w:rFonts w:asciiTheme="minorHAnsi" w:hAnsiTheme="minorHAnsi" w:cstheme="minorHAnsi"/>
        </w:rPr>
        <w:t>Retiro de la cuenta de remanente</w:t>
      </w:r>
      <w:r w:rsidR="00AD35A9">
        <w:rPr>
          <w:rFonts w:asciiTheme="minorHAnsi" w:hAnsiTheme="minorHAnsi" w:cstheme="minorHAnsi"/>
        </w:rPr>
        <w:t xml:space="preserve"> y productos financieros de ejercicios </w:t>
      </w:r>
      <w:r w:rsidR="00735673">
        <w:rPr>
          <w:rFonts w:asciiTheme="minorHAnsi" w:hAnsiTheme="minorHAnsi" w:cstheme="minorHAnsi"/>
        </w:rPr>
        <w:t>anteriores por</w:t>
      </w:r>
      <w:r>
        <w:rPr>
          <w:rFonts w:asciiTheme="minorHAnsi" w:hAnsiTheme="minorHAnsi" w:cstheme="minorHAnsi"/>
        </w:rPr>
        <w:t xml:space="preserve"> la cantidad de </w:t>
      </w:r>
      <w:r w:rsidR="00AD35A9">
        <w:rPr>
          <w:rFonts w:asciiTheme="minorHAnsi" w:hAnsiTheme="minorHAnsi" w:cstheme="minorHAnsi"/>
        </w:rPr>
        <w:t>$</w:t>
      </w:r>
      <w:r>
        <w:rPr>
          <w:rFonts w:asciiTheme="minorHAnsi" w:hAnsiTheme="minorHAnsi" w:cstheme="minorHAnsi"/>
        </w:rPr>
        <w:t>2´350,000.00 para se</w:t>
      </w:r>
      <w:r w:rsidR="00AD35A9">
        <w:rPr>
          <w:rFonts w:asciiTheme="minorHAnsi" w:hAnsiTheme="minorHAnsi" w:cstheme="minorHAnsi"/>
        </w:rPr>
        <w:t xml:space="preserve">r </w:t>
      </w:r>
      <w:r>
        <w:rPr>
          <w:rFonts w:asciiTheme="minorHAnsi" w:hAnsiTheme="minorHAnsi" w:cstheme="minorHAnsi"/>
        </w:rPr>
        <w:t>tomada como aportación estatal.</w:t>
      </w:r>
    </w:p>
    <w:p w14:paraId="358B0015" w14:textId="4BF195AB" w:rsidR="00AD35A9" w:rsidRDefault="00AD35A9" w:rsidP="00393B68">
      <w:pPr>
        <w:pStyle w:val="Prrafodelista"/>
        <w:numPr>
          <w:ilvl w:val="0"/>
          <w:numId w:val="2"/>
        </w:numPr>
        <w:spacing w:after="0" w:line="240" w:lineRule="auto"/>
        <w:jc w:val="both"/>
        <w:rPr>
          <w:rFonts w:asciiTheme="minorHAnsi" w:hAnsiTheme="minorHAnsi" w:cstheme="minorHAnsi"/>
        </w:rPr>
      </w:pPr>
      <w:r>
        <w:rPr>
          <w:rFonts w:asciiTheme="minorHAnsi" w:hAnsiTheme="minorHAnsi" w:cstheme="minorHAnsi"/>
        </w:rPr>
        <w:t>Retiro de la cuenta de remanentes por la cantidad de $</w:t>
      </w:r>
    </w:p>
    <w:p w14:paraId="53103537" w14:textId="104B191F" w:rsidR="00AD35A9" w:rsidRPr="00393B68" w:rsidRDefault="00AD35A9" w:rsidP="00393B68">
      <w:pPr>
        <w:pStyle w:val="Prrafodelista"/>
        <w:numPr>
          <w:ilvl w:val="0"/>
          <w:numId w:val="2"/>
        </w:numPr>
        <w:spacing w:after="0" w:line="240" w:lineRule="auto"/>
        <w:jc w:val="both"/>
        <w:rPr>
          <w:rFonts w:asciiTheme="minorHAnsi" w:hAnsiTheme="minorHAnsi" w:cstheme="minorHAnsi"/>
        </w:rPr>
      </w:pPr>
      <w:r>
        <w:rPr>
          <w:rFonts w:asciiTheme="minorHAnsi" w:hAnsiTheme="minorHAnsi" w:cstheme="minorHAnsi"/>
        </w:rPr>
        <w:t xml:space="preserve">Derivado de las conciliaciones entre el inventario físico </w:t>
      </w:r>
      <w:r w:rsidR="00735673">
        <w:rPr>
          <w:rFonts w:asciiTheme="minorHAnsi" w:hAnsiTheme="minorHAnsi" w:cstheme="minorHAnsi"/>
        </w:rPr>
        <w:t>y contable se realizo el registro de bienes muebles.</w:t>
      </w:r>
    </w:p>
    <w:p w14:paraId="55D08D4D" w14:textId="3F7606F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2073EA5" w14:textId="77777777" w:rsidR="00FA00B9" w:rsidRPr="00D90E51" w:rsidRDefault="00FA00B9"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D90E51" w:rsidRDefault="005E231E" w:rsidP="000C3365">
      <w:pPr>
        <w:pStyle w:val="Ttulo2"/>
        <w:rPr>
          <w:rFonts w:asciiTheme="minorHAnsi" w:hAnsiTheme="minorHAnsi" w:cstheme="minorHAnsi"/>
          <w:b/>
          <w:color w:val="auto"/>
          <w:sz w:val="22"/>
          <w:szCs w:val="22"/>
        </w:rPr>
      </w:pPr>
      <w:bookmarkStart w:id="16" w:name="_Toc161472880"/>
      <w:r w:rsidRPr="00D90E51">
        <w:rPr>
          <w:rFonts w:asciiTheme="minorHAnsi" w:hAnsiTheme="minorHAnsi" w:cstheme="minorHAnsi"/>
          <w:b/>
          <w:color w:val="auto"/>
          <w:sz w:val="22"/>
          <w:szCs w:val="22"/>
        </w:rPr>
        <w:t>1</w:t>
      </w:r>
      <w:r w:rsidR="001C34BC" w:rsidRPr="00D90E51">
        <w:rPr>
          <w:rFonts w:asciiTheme="minorHAnsi" w:hAnsiTheme="minorHAnsi" w:cstheme="minorHAnsi"/>
          <w:b/>
          <w:color w:val="auto"/>
          <w:sz w:val="22"/>
          <w:szCs w:val="22"/>
        </w:rPr>
        <w:t>5</w:t>
      </w:r>
      <w:r w:rsidRPr="00D90E51">
        <w:rPr>
          <w:rFonts w:asciiTheme="minorHAnsi" w:hAnsiTheme="minorHAnsi" w:cstheme="minorHAnsi"/>
          <w:b/>
          <w:color w:val="auto"/>
          <w:sz w:val="22"/>
          <w:szCs w:val="22"/>
        </w:rPr>
        <w:t>. Partes Relacionadas:</w:t>
      </w:r>
      <w:bookmarkEnd w:id="16"/>
    </w:p>
    <w:p w14:paraId="20438A3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A1981F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debe establecer por escrito que no existen partes relacionadas que pudieran ejercer influencia significativa sobre la toma de decisiones financieras y operativas:</w:t>
      </w:r>
    </w:p>
    <w:p w14:paraId="3B17F0FE" w14:textId="77777777" w:rsidR="002C273F" w:rsidRPr="00D90E51" w:rsidRDefault="002C273F" w:rsidP="002C273F">
      <w:pPr>
        <w:spacing w:after="0" w:line="240" w:lineRule="auto"/>
        <w:jc w:val="both"/>
        <w:rPr>
          <w:rFonts w:asciiTheme="minorHAnsi" w:hAnsiTheme="minorHAnsi" w:cstheme="minorHAnsi"/>
        </w:rPr>
      </w:pPr>
      <w:r w:rsidRPr="002C273F">
        <w:rPr>
          <w:rFonts w:asciiTheme="minorHAnsi" w:hAnsiTheme="minorHAnsi" w:cstheme="minorHAnsi"/>
        </w:rPr>
        <w:t>No existen partes relacionadas que pudieran ejercer influencia significativa sobre la toma de decisiones financieras y operativas.</w:t>
      </w:r>
    </w:p>
    <w:p w14:paraId="7D723F86" w14:textId="77777777" w:rsidR="002C273F" w:rsidRPr="00D90E51" w:rsidRDefault="002C273F" w:rsidP="00CB41C4">
      <w:pPr>
        <w:tabs>
          <w:tab w:val="left" w:leader="underscore" w:pos="9639"/>
        </w:tabs>
        <w:spacing w:after="0" w:line="240" w:lineRule="auto"/>
        <w:jc w:val="both"/>
        <w:rPr>
          <w:rFonts w:asciiTheme="minorHAnsi" w:hAnsiTheme="minorHAnsi" w:cstheme="minorHAnsi"/>
        </w:rPr>
      </w:pPr>
    </w:p>
    <w:p w14:paraId="06707DA2" w14:textId="111599B2" w:rsidR="007D1E76" w:rsidRPr="00D90E51" w:rsidRDefault="007D1E76" w:rsidP="00F46719">
      <w:pPr>
        <w:pStyle w:val="Ttulo2"/>
        <w:rPr>
          <w:rFonts w:asciiTheme="minorHAnsi" w:hAnsiTheme="minorHAnsi" w:cstheme="minorHAnsi"/>
          <w:b/>
          <w:color w:val="auto"/>
          <w:sz w:val="22"/>
          <w:szCs w:val="22"/>
        </w:rPr>
      </w:pPr>
      <w:bookmarkStart w:id="17" w:name="_Toc161472881"/>
      <w:r w:rsidRPr="00D90E51">
        <w:rPr>
          <w:rFonts w:asciiTheme="minorHAnsi" w:hAnsiTheme="minorHAnsi" w:cstheme="minorHAnsi"/>
          <w:b/>
          <w:color w:val="auto"/>
          <w:sz w:val="22"/>
          <w:szCs w:val="22"/>
        </w:rPr>
        <w:t>1</w:t>
      </w:r>
      <w:r w:rsidR="001C34BC" w:rsidRPr="00D90E51">
        <w:rPr>
          <w:rFonts w:asciiTheme="minorHAnsi" w:hAnsiTheme="minorHAnsi" w:cstheme="minorHAnsi"/>
          <w:b/>
          <w:color w:val="auto"/>
          <w:sz w:val="22"/>
          <w:szCs w:val="22"/>
        </w:rPr>
        <w:t>6</w:t>
      </w:r>
      <w:r w:rsidRPr="00D90E51">
        <w:rPr>
          <w:rFonts w:asciiTheme="minorHAnsi" w:hAnsiTheme="minorHAnsi" w:cstheme="minorHAnsi"/>
          <w:b/>
          <w:color w:val="auto"/>
          <w:sz w:val="22"/>
          <w:szCs w:val="22"/>
        </w:rPr>
        <w:t xml:space="preserve">. </w:t>
      </w:r>
      <w:r w:rsidR="001973A2" w:rsidRPr="00D90E51">
        <w:rPr>
          <w:rFonts w:asciiTheme="minorHAnsi" w:hAnsiTheme="minorHAnsi" w:cstheme="minorHAnsi"/>
          <w:b/>
          <w:color w:val="auto"/>
          <w:sz w:val="22"/>
          <w:szCs w:val="22"/>
        </w:rPr>
        <w:t>Responsabilidad Sobre la Presentación Razonable de la Información Contable</w:t>
      </w:r>
      <w:r w:rsidR="005E231E" w:rsidRPr="00D90E51">
        <w:rPr>
          <w:rFonts w:asciiTheme="minorHAnsi" w:hAnsiTheme="minorHAnsi" w:cstheme="minorHAnsi"/>
          <w:b/>
          <w:color w:val="auto"/>
          <w:sz w:val="22"/>
          <w:szCs w:val="22"/>
        </w:rPr>
        <w:t>:</w:t>
      </w:r>
      <w:bookmarkEnd w:id="17"/>
    </w:p>
    <w:p w14:paraId="2490581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0903296" w14:textId="5A74BBD3" w:rsidR="007D1E76" w:rsidRPr="00D90E51" w:rsidRDefault="00C4625D"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D90E51">
        <w:rPr>
          <w:rFonts w:asciiTheme="minorHAnsi" w:hAnsiTheme="minorHAnsi" w:cstheme="minorHAnsi"/>
        </w:rPr>
        <w:t>.</w:t>
      </w:r>
    </w:p>
    <w:p w14:paraId="2092EF68" w14:textId="77777777" w:rsidR="00D5018E" w:rsidRPr="00D90E51"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16E74ADB" w14:textId="77777777" w:rsidR="00231FBE" w:rsidRPr="00D90E51" w:rsidRDefault="00231FB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3FF73356" w14:textId="77777777" w:rsidR="00D5018E" w:rsidRPr="00D90E51" w:rsidRDefault="00D5018E" w:rsidP="00D5018E">
      <w:pPr>
        <w:tabs>
          <w:tab w:val="left" w:leader="underscore" w:pos="9639"/>
        </w:tabs>
        <w:spacing w:after="0" w:line="240" w:lineRule="auto"/>
        <w:jc w:val="both"/>
        <w:rPr>
          <w:rFonts w:asciiTheme="minorHAnsi" w:hAnsiTheme="minorHAnsi" w:cstheme="minorHAnsi"/>
          <w:b/>
        </w:rPr>
      </w:pPr>
    </w:p>
    <w:p w14:paraId="097939D2" w14:textId="251AB0E9" w:rsidR="00D5018E" w:rsidRPr="00D90E51" w:rsidRDefault="00D5018E" w:rsidP="00D5018E">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Nota 1</w:t>
      </w:r>
      <w:r w:rsidRPr="00D90E51">
        <w:rPr>
          <w:rFonts w:asciiTheme="minorHAnsi" w:hAnsiTheme="minorHAnsi" w:cstheme="minorHAnsi"/>
        </w:rPr>
        <w:t>: En cada una de las 1</w:t>
      </w:r>
      <w:r w:rsidR="005053EE" w:rsidRPr="00D90E51">
        <w:rPr>
          <w:rFonts w:asciiTheme="minorHAnsi" w:hAnsiTheme="minorHAnsi" w:cstheme="minorHAnsi"/>
        </w:rPr>
        <w:t>5</w:t>
      </w:r>
      <w:r w:rsidRPr="00D90E51">
        <w:rPr>
          <w:rFonts w:asciiTheme="minorHAnsi" w:hAnsiTheme="minorHAnsi" w:cstheme="minorHAnsi"/>
        </w:rPr>
        <w:t xml:space="preserve"> notas de gestión administrativa el ente público deberá poner la nota correspondiente o en su caso la leyenda “</w:t>
      </w:r>
      <w:r w:rsidRPr="00D90E51">
        <w:rPr>
          <w:rFonts w:asciiTheme="minorHAnsi" w:hAnsiTheme="minorHAnsi" w:cstheme="minorHAnsi"/>
          <w:b/>
          <w:bCs/>
        </w:rPr>
        <w:t>Esta nota no le aplica al ente público” y una breve explicación del motivo por el cual no le es aplicable</w:t>
      </w:r>
      <w:r w:rsidRPr="00D90E51">
        <w:rPr>
          <w:rFonts w:asciiTheme="minorHAnsi" w:hAnsiTheme="minorHAnsi" w:cstheme="minorHAnsi"/>
        </w:rPr>
        <w:t>.</w:t>
      </w:r>
      <w:r w:rsidR="000310EF" w:rsidRPr="00D90E51">
        <w:rPr>
          <w:rFonts w:asciiTheme="minorHAnsi" w:hAnsiTheme="minorHAnsi" w:cstheme="minorHAnsi"/>
        </w:rPr>
        <w:t xml:space="preserve"> 06-12-2022</w:t>
      </w:r>
    </w:p>
    <w:p w14:paraId="0AABDD06" w14:textId="77777777" w:rsidR="00D5018E" w:rsidRPr="00D90E51"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74D16815" w14:textId="77777777" w:rsidR="00D5018E" w:rsidRDefault="00D5018E" w:rsidP="00CB41C4">
      <w:pPr>
        <w:tabs>
          <w:tab w:val="left" w:leader="underscore" w:pos="9639"/>
        </w:tabs>
        <w:spacing w:after="0" w:line="240" w:lineRule="auto"/>
        <w:jc w:val="both"/>
        <w:rPr>
          <w:rFonts w:asciiTheme="minorHAnsi" w:hAnsiTheme="minorHAnsi" w:cstheme="minorHAnsi"/>
        </w:rPr>
      </w:pPr>
    </w:p>
    <w:p w14:paraId="368A81B4"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3229B825"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221053D5"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5584567C"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23F13F84"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2016113C"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578059AF"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4C67CB75" w14:textId="51EDF882" w:rsidR="0049226C" w:rsidRDefault="00DA3364" w:rsidP="0049226C">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Ing. Marisol Suárez Correa</w:t>
      </w:r>
      <w:r w:rsidR="0049226C">
        <w:rPr>
          <w:rFonts w:asciiTheme="minorHAnsi" w:hAnsiTheme="minorHAnsi" w:cstheme="minorHAnsi"/>
        </w:rPr>
        <w:t xml:space="preserve">                                                             Juan Lara Centeno</w:t>
      </w:r>
    </w:p>
    <w:p w14:paraId="44F52B88" w14:textId="287F53FA" w:rsidR="0049226C" w:rsidRPr="009C4B27" w:rsidRDefault="0049226C" w:rsidP="0049226C">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w:t>
      </w:r>
      <w:r w:rsidR="00DA3364">
        <w:rPr>
          <w:rFonts w:asciiTheme="minorHAnsi" w:hAnsiTheme="minorHAnsi" w:cstheme="minorHAnsi"/>
        </w:rPr>
        <w:t>a</w:t>
      </w:r>
      <w:r>
        <w:rPr>
          <w:rFonts w:asciiTheme="minorHAnsi" w:hAnsiTheme="minorHAnsi" w:cstheme="minorHAnsi"/>
        </w:rPr>
        <w:t xml:space="preserve"> Suplente del Comité Técnico                               Dirección de Control y Seguimiento de Fideicomisos</w:t>
      </w:r>
    </w:p>
    <w:p w14:paraId="22D7ADF5" w14:textId="77777777" w:rsidR="0049226C" w:rsidRPr="00D90E51" w:rsidRDefault="0049226C" w:rsidP="00CB41C4">
      <w:pPr>
        <w:tabs>
          <w:tab w:val="left" w:leader="underscore" w:pos="9639"/>
        </w:tabs>
        <w:spacing w:after="0" w:line="240" w:lineRule="auto"/>
        <w:jc w:val="both"/>
        <w:rPr>
          <w:rFonts w:asciiTheme="minorHAnsi" w:hAnsiTheme="minorHAnsi" w:cstheme="minorHAnsi"/>
        </w:rPr>
      </w:pPr>
    </w:p>
    <w:sectPr w:rsidR="0049226C" w:rsidRPr="00D90E51" w:rsidSect="00987C4D">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CE2B" w14:textId="77777777" w:rsidR="00411619" w:rsidRDefault="00411619" w:rsidP="00E00323">
      <w:pPr>
        <w:spacing w:after="0" w:line="240" w:lineRule="auto"/>
      </w:pPr>
      <w:r>
        <w:separator/>
      </w:r>
    </w:p>
  </w:endnote>
  <w:endnote w:type="continuationSeparator" w:id="0">
    <w:p w14:paraId="1D9633F9" w14:textId="77777777" w:rsidR="00411619" w:rsidRDefault="0041161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FE13" w14:textId="77777777" w:rsidR="00411619" w:rsidRDefault="00411619" w:rsidP="00E00323">
      <w:pPr>
        <w:spacing w:after="0" w:line="240" w:lineRule="auto"/>
      </w:pPr>
      <w:r>
        <w:separator/>
      </w:r>
    </w:p>
  </w:footnote>
  <w:footnote w:type="continuationSeparator" w:id="0">
    <w:p w14:paraId="2ADE8B37" w14:textId="77777777" w:rsidR="00411619" w:rsidRDefault="0041161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85505F8" w:rsidR="00154BA3" w:rsidRDefault="00090DB2" w:rsidP="00A4610E">
    <w:pPr>
      <w:pStyle w:val="Encabezado"/>
      <w:spacing w:after="0" w:line="240" w:lineRule="auto"/>
      <w:jc w:val="center"/>
    </w:pPr>
    <w:r>
      <w:t>FIDEICOMISO DE ALIANZA PARA EL CAMPO DE GUANAJUATO</w:t>
    </w:r>
  </w:p>
  <w:p w14:paraId="651A4C4F" w14:textId="40669FAD" w:rsidR="00A4610E" w:rsidRDefault="00A4610E" w:rsidP="00A4610E">
    <w:pPr>
      <w:pStyle w:val="Encabezado"/>
      <w:spacing w:after="0" w:line="240" w:lineRule="auto"/>
      <w:jc w:val="center"/>
    </w:pPr>
    <w:r w:rsidRPr="00A4610E">
      <w:t>CORRESPONDI</w:t>
    </w:r>
    <w:r w:rsidR="00DD018C">
      <w:t>E</w:t>
    </w:r>
    <w:r w:rsidRPr="00A4610E">
      <w:t xml:space="preserve">NTES AL </w:t>
    </w:r>
    <w:r w:rsidR="007754FA">
      <w:t>3</w:t>
    </w:r>
    <w:r w:rsidR="0027146A">
      <w:t>0</w:t>
    </w:r>
    <w:r w:rsidR="00090DB2">
      <w:t xml:space="preserve"> DE</w:t>
    </w:r>
    <w:r w:rsidR="007754FA">
      <w:t xml:space="preserve"> </w:t>
    </w:r>
    <w:r w:rsidR="00AD35A9">
      <w:t>SEPTIEMBRE</w:t>
    </w:r>
    <w:r w:rsidR="00DA3364">
      <w:t xml:space="preserve"> </w:t>
    </w:r>
    <w:r w:rsidR="00090DB2">
      <w:t>DEL 202</w:t>
    </w:r>
    <w:r w:rsidR="0070321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DAF26F2"/>
    <w:multiLevelType w:val="hybridMultilevel"/>
    <w:tmpl w:val="AA028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 w:numId="2" w16cid:durableId="2040544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35851"/>
    <w:rsid w:val="00040D4F"/>
    <w:rsid w:val="000645C0"/>
    <w:rsid w:val="00084EAE"/>
    <w:rsid w:val="00090DB2"/>
    <w:rsid w:val="00091CE6"/>
    <w:rsid w:val="000B2A2F"/>
    <w:rsid w:val="000B7810"/>
    <w:rsid w:val="000C3365"/>
    <w:rsid w:val="000D6071"/>
    <w:rsid w:val="000E4574"/>
    <w:rsid w:val="000E529B"/>
    <w:rsid w:val="000F5D9F"/>
    <w:rsid w:val="00106425"/>
    <w:rsid w:val="00106EE9"/>
    <w:rsid w:val="00113F98"/>
    <w:rsid w:val="0012405A"/>
    <w:rsid w:val="0012493A"/>
    <w:rsid w:val="00126188"/>
    <w:rsid w:val="00154BA3"/>
    <w:rsid w:val="0016444F"/>
    <w:rsid w:val="00166AB9"/>
    <w:rsid w:val="00167530"/>
    <w:rsid w:val="001973A2"/>
    <w:rsid w:val="001C24B6"/>
    <w:rsid w:val="001C34BC"/>
    <w:rsid w:val="001C710C"/>
    <w:rsid w:val="001C75F2"/>
    <w:rsid w:val="001D2063"/>
    <w:rsid w:val="001D43E9"/>
    <w:rsid w:val="00224821"/>
    <w:rsid w:val="00231FBE"/>
    <w:rsid w:val="00232175"/>
    <w:rsid w:val="0024740E"/>
    <w:rsid w:val="0025023B"/>
    <w:rsid w:val="00256E94"/>
    <w:rsid w:val="002602BE"/>
    <w:rsid w:val="0027146A"/>
    <w:rsid w:val="002722DD"/>
    <w:rsid w:val="00290633"/>
    <w:rsid w:val="00295B72"/>
    <w:rsid w:val="002A1527"/>
    <w:rsid w:val="002B32FD"/>
    <w:rsid w:val="002C273F"/>
    <w:rsid w:val="002F2100"/>
    <w:rsid w:val="003047F7"/>
    <w:rsid w:val="00315F90"/>
    <w:rsid w:val="00343121"/>
    <w:rsid w:val="00343FE0"/>
    <w:rsid w:val="003453CA"/>
    <w:rsid w:val="003748BD"/>
    <w:rsid w:val="00393B68"/>
    <w:rsid w:val="00396D53"/>
    <w:rsid w:val="003E6C64"/>
    <w:rsid w:val="003F3250"/>
    <w:rsid w:val="00403B98"/>
    <w:rsid w:val="00411619"/>
    <w:rsid w:val="00414DB5"/>
    <w:rsid w:val="0043078C"/>
    <w:rsid w:val="00435A87"/>
    <w:rsid w:val="00470673"/>
    <w:rsid w:val="004746E3"/>
    <w:rsid w:val="004854EE"/>
    <w:rsid w:val="00486BD1"/>
    <w:rsid w:val="0049226C"/>
    <w:rsid w:val="004A1077"/>
    <w:rsid w:val="004A58C8"/>
    <w:rsid w:val="004C6397"/>
    <w:rsid w:val="004C7699"/>
    <w:rsid w:val="004F234D"/>
    <w:rsid w:val="004F6FAC"/>
    <w:rsid w:val="005053EE"/>
    <w:rsid w:val="00516100"/>
    <w:rsid w:val="00516A8F"/>
    <w:rsid w:val="00525F54"/>
    <w:rsid w:val="00530118"/>
    <w:rsid w:val="005311FD"/>
    <w:rsid w:val="005364B4"/>
    <w:rsid w:val="00540261"/>
    <w:rsid w:val="0054701E"/>
    <w:rsid w:val="00554E7A"/>
    <w:rsid w:val="005A67DE"/>
    <w:rsid w:val="005B5531"/>
    <w:rsid w:val="005D3AC5"/>
    <w:rsid w:val="005D3E43"/>
    <w:rsid w:val="005D4E6A"/>
    <w:rsid w:val="005E231E"/>
    <w:rsid w:val="005F2900"/>
    <w:rsid w:val="005F51CC"/>
    <w:rsid w:val="00617660"/>
    <w:rsid w:val="0064059E"/>
    <w:rsid w:val="00657009"/>
    <w:rsid w:val="00666B27"/>
    <w:rsid w:val="00681C79"/>
    <w:rsid w:val="006B1ADF"/>
    <w:rsid w:val="006C2EDE"/>
    <w:rsid w:val="006E29D8"/>
    <w:rsid w:val="006F0687"/>
    <w:rsid w:val="006F579D"/>
    <w:rsid w:val="006F77A8"/>
    <w:rsid w:val="00703210"/>
    <w:rsid w:val="00704370"/>
    <w:rsid w:val="00735673"/>
    <w:rsid w:val="007610BC"/>
    <w:rsid w:val="007714AB"/>
    <w:rsid w:val="007754FA"/>
    <w:rsid w:val="007D1E76"/>
    <w:rsid w:val="007D4484"/>
    <w:rsid w:val="007E38A2"/>
    <w:rsid w:val="007F699D"/>
    <w:rsid w:val="00806269"/>
    <w:rsid w:val="00861728"/>
    <w:rsid w:val="0086420E"/>
    <w:rsid w:val="0086459F"/>
    <w:rsid w:val="008C3BB8"/>
    <w:rsid w:val="008E076C"/>
    <w:rsid w:val="008E2256"/>
    <w:rsid w:val="008F7735"/>
    <w:rsid w:val="009111C4"/>
    <w:rsid w:val="0092497E"/>
    <w:rsid w:val="0092765C"/>
    <w:rsid w:val="00933A1C"/>
    <w:rsid w:val="00967DDA"/>
    <w:rsid w:val="009700D6"/>
    <w:rsid w:val="009736CB"/>
    <w:rsid w:val="0098649D"/>
    <w:rsid w:val="00987C4D"/>
    <w:rsid w:val="009B2EC3"/>
    <w:rsid w:val="00A07342"/>
    <w:rsid w:val="00A07DBF"/>
    <w:rsid w:val="00A373FF"/>
    <w:rsid w:val="00A4610E"/>
    <w:rsid w:val="00A6346D"/>
    <w:rsid w:val="00A71F2B"/>
    <w:rsid w:val="00A730E0"/>
    <w:rsid w:val="00A84EB4"/>
    <w:rsid w:val="00AA2768"/>
    <w:rsid w:val="00AA41E5"/>
    <w:rsid w:val="00AA64E7"/>
    <w:rsid w:val="00AB722B"/>
    <w:rsid w:val="00AC48BB"/>
    <w:rsid w:val="00AD35A9"/>
    <w:rsid w:val="00AE1F6A"/>
    <w:rsid w:val="00AE3C70"/>
    <w:rsid w:val="00AE70F2"/>
    <w:rsid w:val="00AF4375"/>
    <w:rsid w:val="00B003D9"/>
    <w:rsid w:val="00B073DE"/>
    <w:rsid w:val="00B20A50"/>
    <w:rsid w:val="00B6368B"/>
    <w:rsid w:val="00B77BA1"/>
    <w:rsid w:val="00B875C9"/>
    <w:rsid w:val="00BA53FE"/>
    <w:rsid w:val="00BA58CF"/>
    <w:rsid w:val="00BE02EB"/>
    <w:rsid w:val="00BE1099"/>
    <w:rsid w:val="00C41B4F"/>
    <w:rsid w:val="00C4250B"/>
    <w:rsid w:val="00C4625D"/>
    <w:rsid w:val="00C54C12"/>
    <w:rsid w:val="00C93C67"/>
    <w:rsid w:val="00C97E1E"/>
    <w:rsid w:val="00CB22A4"/>
    <w:rsid w:val="00CB3179"/>
    <w:rsid w:val="00CB41C4"/>
    <w:rsid w:val="00CF1316"/>
    <w:rsid w:val="00D13C44"/>
    <w:rsid w:val="00D32331"/>
    <w:rsid w:val="00D40FC2"/>
    <w:rsid w:val="00D5018E"/>
    <w:rsid w:val="00D52367"/>
    <w:rsid w:val="00D546B2"/>
    <w:rsid w:val="00D5582C"/>
    <w:rsid w:val="00D90E51"/>
    <w:rsid w:val="00D975B1"/>
    <w:rsid w:val="00DA0490"/>
    <w:rsid w:val="00DA2050"/>
    <w:rsid w:val="00DA3364"/>
    <w:rsid w:val="00DD018C"/>
    <w:rsid w:val="00E00323"/>
    <w:rsid w:val="00E11758"/>
    <w:rsid w:val="00E263D3"/>
    <w:rsid w:val="00E65D72"/>
    <w:rsid w:val="00E74967"/>
    <w:rsid w:val="00E7559F"/>
    <w:rsid w:val="00E85520"/>
    <w:rsid w:val="00E9132F"/>
    <w:rsid w:val="00EA37F5"/>
    <w:rsid w:val="00EA7915"/>
    <w:rsid w:val="00ED0639"/>
    <w:rsid w:val="00ED5ED5"/>
    <w:rsid w:val="00ED7AA0"/>
    <w:rsid w:val="00F067C8"/>
    <w:rsid w:val="00F22B14"/>
    <w:rsid w:val="00F412F6"/>
    <w:rsid w:val="00F43AC5"/>
    <w:rsid w:val="00F46719"/>
    <w:rsid w:val="00F54F6F"/>
    <w:rsid w:val="00F6102D"/>
    <w:rsid w:val="00F65A92"/>
    <w:rsid w:val="00F6759B"/>
    <w:rsid w:val="00F93DFB"/>
    <w:rsid w:val="00FA00B9"/>
    <w:rsid w:val="00FA276A"/>
    <w:rsid w:val="00FB377D"/>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333">
      <w:bodyDiv w:val="1"/>
      <w:marLeft w:val="0"/>
      <w:marRight w:val="0"/>
      <w:marTop w:val="0"/>
      <w:marBottom w:val="0"/>
      <w:divBdr>
        <w:top w:val="none" w:sz="0" w:space="0" w:color="auto"/>
        <w:left w:val="none" w:sz="0" w:space="0" w:color="auto"/>
        <w:bottom w:val="none" w:sz="0" w:space="0" w:color="auto"/>
        <w:right w:val="none" w:sz="0" w:space="0" w:color="auto"/>
      </w:divBdr>
    </w:div>
    <w:div w:id="49499022">
      <w:bodyDiv w:val="1"/>
      <w:marLeft w:val="0"/>
      <w:marRight w:val="0"/>
      <w:marTop w:val="0"/>
      <w:marBottom w:val="0"/>
      <w:divBdr>
        <w:top w:val="none" w:sz="0" w:space="0" w:color="auto"/>
        <w:left w:val="none" w:sz="0" w:space="0" w:color="auto"/>
        <w:bottom w:val="none" w:sz="0" w:space="0" w:color="auto"/>
        <w:right w:val="none" w:sz="0" w:space="0" w:color="auto"/>
      </w:divBdr>
    </w:div>
    <w:div w:id="67114884">
      <w:bodyDiv w:val="1"/>
      <w:marLeft w:val="0"/>
      <w:marRight w:val="0"/>
      <w:marTop w:val="0"/>
      <w:marBottom w:val="0"/>
      <w:divBdr>
        <w:top w:val="none" w:sz="0" w:space="0" w:color="auto"/>
        <w:left w:val="none" w:sz="0" w:space="0" w:color="auto"/>
        <w:bottom w:val="none" w:sz="0" w:space="0" w:color="auto"/>
        <w:right w:val="none" w:sz="0" w:space="0" w:color="auto"/>
      </w:divBdr>
    </w:div>
    <w:div w:id="73817169">
      <w:bodyDiv w:val="1"/>
      <w:marLeft w:val="0"/>
      <w:marRight w:val="0"/>
      <w:marTop w:val="0"/>
      <w:marBottom w:val="0"/>
      <w:divBdr>
        <w:top w:val="none" w:sz="0" w:space="0" w:color="auto"/>
        <w:left w:val="none" w:sz="0" w:space="0" w:color="auto"/>
        <w:bottom w:val="none" w:sz="0" w:space="0" w:color="auto"/>
        <w:right w:val="none" w:sz="0" w:space="0" w:color="auto"/>
      </w:divBdr>
    </w:div>
    <w:div w:id="78606410">
      <w:bodyDiv w:val="1"/>
      <w:marLeft w:val="0"/>
      <w:marRight w:val="0"/>
      <w:marTop w:val="0"/>
      <w:marBottom w:val="0"/>
      <w:divBdr>
        <w:top w:val="none" w:sz="0" w:space="0" w:color="auto"/>
        <w:left w:val="none" w:sz="0" w:space="0" w:color="auto"/>
        <w:bottom w:val="none" w:sz="0" w:space="0" w:color="auto"/>
        <w:right w:val="none" w:sz="0" w:space="0" w:color="auto"/>
      </w:divBdr>
    </w:div>
    <w:div w:id="115412741">
      <w:bodyDiv w:val="1"/>
      <w:marLeft w:val="0"/>
      <w:marRight w:val="0"/>
      <w:marTop w:val="0"/>
      <w:marBottom w:val="0"/>
      <w:divBdr>
        <w:top w:val="none" w:sz="0" w:space="0" w:color="auto"/>
        <w:left w:val="none" w:sz="0" w:space="0" w:color="auto"/>
        <w:bottom w:val="none" w:sz="0" w:space="0" w:color="auto"/>
        <w:right w:val="none" w:sz="0" w:space="0" w:color="auto"/>
      </w:divBdr>
    </w:div>
    <w:div w:id="176508448">
      <w:bodyDiv w:val="1"/>
      <w:marLeft w:val="0"/>
      <w:marRight w:val="0"/>
      <w:marTop w:val="0"/>
      <w:marBottom w:val="0"/>
      <w:divBdr>
        <w:top w:val="none" w:sz="0" w:space="0" w:color="auto"/>
        <w:left w:val="none" w:sz="0" w:space="0" w:color="auto"/>
        <w:bottom w:val="none" w:sz="0" w:space="0" w:color="auto"/>
        <w:right w:val="none" w:sz="0" w:space="0" w:color="auto"/>
      </w:divBdr>
    </w:div>
    <w:div w:id="187455236">
      <w:bodyDiv w:val="1"/>
      <w:marLeft w:val="0"/>
      <w:marRight w:val="0"/>
      <w:marTop w:val="0"/>
      <w:marBottom w:val="0"/>
      <w:divBdr>
        <w:top w:val="none" w:sz="0" w:space="0" w:color="auto"/>
        <w:left w:val="none" w:sz="0" w:space="0" w:color="auto"/>
        <w:bottom w:val="none" w:sz="0" w:space="0" w:color="auto"/>
        <w:right w:val="none" w:sz="0" w:space="0" w:color="auto"/>
      </w:divBdr>
    </w:div>
    <w:div w:id="194122011">
      <w:bodyDiv w:val="1"/>
      <w:marLeft w:val="0"/>
      <w:marRight w:val="0"/>
      <w:marTop w:val="0"/>
      <w:marBottom w:val="0"/>
      <w:divBdr>
        <w:top w:val="none" w:sz="0" w:space="0" w:color="auto"/>
        <w:left w:val="none" w:sz="0" w:space="0" w:color="auto"/>
        <w:bottom w:val="none" w:sz="0" w:space="0" w:color="auto"/>
        <w:right w:val="none" w:sz="0" w:space="0" w:color="auto"/>
      </w:divBdr>
    </w:div>
    <w:div w:id="214976654">
      <w:bodyDiv w:val="1"/>
      <w:marLeft w:val="0"/>
      <w:marRight w:val="0"/>
      <w:marTop w:val="0"/>
      <w:marBottom w:val="0"/>
      <w:divBdr>
        <w:top w:val="none" w:sz="0" w:space="0" w:color="auto"/>
        <w:left w:val="none" w:sz="0" w:space="0" w:color="auto"/>
        <w:bottom w:val="none" w:sz="0" w:space="0" w:color="auto"/>
        <w:right w:val="none" w:sz="0" w:space="0" w:color="auto"/>
      </w:divBdr>
    </w:div>
    <w:div w:id="225068912">
      <w:bodyDiv w:val="1"/>
      <w:marLeft w:val="0"/>
      <w:marRight w:val="0"/>
      <w:marTop w:val="0"/>
      <w:marBottom w:val="0"/>
      <w:divBdr>
        <w:top w:val="none" w:sz="0" w:space="0" w:color="auto"/>
        <w:left w:val="none" w:sz="0" w:space="0" w:color="auto"/>
        <w:bottom w:val="none" w:sz="0" w:space="0" w:color="auto"/>
        <w:right w:val="none" w:sz="0" w:space="0" w:color="auto"/>
      </w:divBdr>
    </w:div>
    <w:div w:id="272903994">
      <w:bodyDiv w:val="1"/>
      <w:marLeft w:val="0"/>
      <w:marRight w:val="0"/>
      <w:marTop w:val="0"/>
      <w:marBottom w:val="0"/>
      <w:divBdr>
        <w:top w:val="none" w:sz="0" w:space="0" w:color="auto"/>
        <w:left w:val="none" w:sz="0" w:space="0" w:color="auto"/>
        <w:bottom w:val="none" w:sz="0" w:space="0" w:color="auto"/>
        <w:right w:val="none" w:sz="0" w:space="0" w:color="auto"/>
      </w:divBdr>
    </w:div>
    <w:div w:id="283773905">
      <w:bodyDiv w:val="1"/>
      <w:marLeft w:val="0"/>
      <w:marRight w:val="0"/>
      <w:marTop w:val="0"/>
      <w:marBottom w:val="0"/>
      <w:divBdr>
        <w:top w:val="none" w:sz="0" w:space="0" w:color="auto"/>
        <w:left w:val="none" w:sz="0" w:space="0" w:color="auto"/>
        <w:bottom w:val="none" w:sz="0" w:space="0" w:color="auto"/>
        <w:right w:val="none" w:sz="0" w:space="0" w:color="auto"/>
      </w:divBdr>
    </w:div>
    <w:div w:id="290669211">
      <w:bodyDiv w:val="1"/>
      <w:marLeft w:val="0"/>
      <w:marRight w:val="0"/>
      <w:marTop w:val="0"/>
      <w:marBottom w:val="0"/>
      <w:divBdr>
        <w:top w:val="none" w:sz="0" w:space="0" w:color="auto"/>
        <w:left w:val="none" w:sz="0" w:space="0" w:color="auto"/>
        <w:bottom w:val="none" w:sz="0" w:space="0" w:color="auto"/>
        <w:right w:val="none" w:sz="0" w:space="0" w:color="auto"/>
      </w:divBdr>
    </w:div>
    <w:div w:id="493909419">
      <w:bodyDiv w:val="1"/>
      <w:marLeft w:val="0"/>
      <w:marRight w:val="0"/>
      <w:marTop w:val="0"/>
      <w:marBottom w:val="0"/>
      <w:divBdr>
        <w:top w:val="none" w:sz="0" w:space="0" w:color="auto"/>
        <w:left w:val="none" w:sz="0" w:space="0" w:color="auto"/>
        <w:bottom w:val="none" w:sz="0" w:space="0" w:color="auto"/>
        <w:right w:val="none" w:sz="0" w:space="0" w:color="auto"/>
      </w:divBdr>
    </w:div>
    <w:div w:id="505367336">
      <w:bodyDiv w:val="1"/>
      <w:marLeft w:val="0"/>
      <w:marRight w:val="0"/>
      <w:marTop w:val="0"/>
      <w:marBottom w:val="0"/>
      <w:divBdr>
        <w:top w:val="none" w:sz="0" w:space="0" w:color="auto"/>
        <w:left w:val="none" w:sz="0" w:space="0" w:color="auto"/>
        <w:bottom w:val="none" w:sz="0" w:space="0" w:color="auto"/>
        <w:right w:val="none" w:sz="0" w:space="0" w:color="auto"/>
      </w:divBdr>
    </w:div>
    <w:div w:id="509953198">
      <w:bodyDiv w:val="1"/>
      <w:marLeft w:val="0"/>
      <w:marRight w:val="0"/>
      <w:marTop w:val="0"/>
      <w:marBottom w:val="0"/>
      <w:divBdr>
        <w:top w:val="none" w:sz="0" w:space="0" w:color="auto"/>
        <w:left w:val="none" w:sz="0" w:space="0" w:color="auto"/>
        <w:bottom w:val="none" w:sz="0" w:space="0" w:color="auto"/>
        <w:right w:val="none" w:sz="0" w:space="0" w:color="auto"/>
      </w:divBdr>
    </w:div>
    <w:div w:id="528224528">
      <w:bodyDiv w:val="1"/>
      <w:marLeft w:val="0"/>
      <w:marRight w:val="0"/>
      <w:marTop w:val="0"/>
      <w:marBottom w:val="0"/>
      <w:divBdr>
        <w:top w:val="none" w:sz="0" w:space="0" w:color="auto"/>
        <w:left w:val="none" w:sz="0" w:space="0" w:color="auto"/>
        <w:bottom w:val="none" w:sz="0" w:space="0" w:color="auto"/>
        <w:right w:val="none" w:sz="0" w:space="0" w:color="auto"/>
      </w:divBdr>
    </w:div>
    <w:div w:id="529613663">
      <w:bodyDiv w:val="1"/>
      <w:marLeft w:val="0"/>
      <w:marRight w:val="0"/>
      <w:marTop w:val="0"/>
      <w:marBottom w:val="0"/>
      <w:divBdr>
        <w:top w:val="none" w:sz="0" w:space="0" w:color="auto"/>
        <w:left w:val="none" w:sz="0" w:space="0" w:color="auto"/>
        <w:bottom w:val="none" w:sz="0" w:space="0" w:color="auto"/>
        <w:right w:val="none" w:sz="0" w:space="0" w:color="auto"/>
      </w:divBdr>
    </w:div>
    <w:div w:id="556475693">
      <w:bodyDiv w:val="1"/>
      <w:marLeft w:val="0"/>
      <w:marRight w:val="0"/>
      <w:marTop w:val="0"/>
      <w:marBottom w:val="0"/>
      <w:divBdr>
        <w:top w:val="none" w:sz="0" w:space="0" w:color="auto"/>
        <w:left w:val="none" w:sz="0" w:space="0" w:color="auto"/>
        <w:bottom w:val="none" w:sz="0" w:space="0" w:color="auto"/>
        <w:right w:val="none" w:sz="0" w:space="0" w:color="auto"/>
      </w:divBdr>
    </w:div>
    <w:div w:id="560748075">
      <w:bodyDiv w:val="1"/>
      <w:marLeft w:val="0"/>
      <w:marRight w:val="0"/>
      <w:marTop w:val="0"/>
      <w:marBottom w:val="0"/>
      <w:divBdr>
        <w:top w:val="none" w:sz="0" w:space="0" w:color="auto"/>
        <w:left w:val="none" w:sz="0" w:space="0" w:color="auto"/>
        <w:bottom w:val="none" w:sz="0" w:space="0" w:color="auto"/>
        <w:right w:val="none" w:sz="0" w:space="0" w:color="auto"/>
      </w:divBdr>
    </w:div>
    <w:div w:id="565070364">
      <w:bodyDiv w:val="1"/>
      <w:marLeft w:val="0"/>
      <w:marRight w:val="0"/>
      <w:marTop w:val="0"/>
      <w:marBottom w:val="0"/>
      <w:divBdr>
        <w:top w:val="none" w:sz="0" w:space="0" w:color="auto"/>
        <w:left w:val="none" w:sz="0" w:space="0" w:color="auto"/>
        <w:bottom w:val="none" w:sz="0" w:space="0" w:color="auto"/>
        <w:right w:val="none" w:sz="0" w:space="0" w:color="auto"/>
      </w:divBdr>
    </w:div>
    <w:div w:id="603346121">
      <w:bodyDiv w:val="1"/>
      <w:marLeft w:val="0"/>
      <w:marRight w:val="0"/>
      <w:marTop w:val="0"/>
      <w:marBottom w:val="0"/>
      <w:divBdr>
        <w:top w:val="none" w:sz="0" w:space="0" w:color="auto"/>
        <w:left w:val="none" w:sz="0" w:space="0" w:color="auto"/>
        <w:bottom w:val="none" w:sz="0" w:space="0" w:color="auto"/>
        <w:right w:val="none" w:sz="0" w:space="0" w:color="auto"/>
      </w:divBdr>
    </w:div>
    <w:div w:id="617832672">
      <w:bodyDiv w:val="1"/>
      <w:marLeft w:val="0"/>
      <w:marRight w:val="0"/>
      <w:marTop w:val="0"/>
      <w:marBottom w:val="0"/>
      <w:divBdr>
        <w:top w:val="none" w:sz="0" w:space="0" w:color="auto"/>
        <w:left w:val="none" w:sz="0" w:space="0" w:color="auto"/>
        <w:bottom w:val="none" w:sz="0" w:space="0" w:color="auto"/>
        <w:right w:val="none" w:sz="0" w:space="0" w:color="auto"/>
      </w:divBdr>
    </w:div>
    <w:div w:id="677847667">
      <w:bodyDiv w:val="1"/>
      <w:marLeft w:val="0"/>
      <w:marRight w:val="0"/>
      <w:marTop w:val="0"/>
      <w:marBottom w:val="0"/>
      <w:divBdr>
        <w:top w:val="none" w:sz="0" w:space="0" w:color="auto"/>
        <w:left w:val="none" w:sz="0" w:space="0" w:color="auto"/>
        <w:bottom w:val="none" w:sz="0" w:space="0" w:color="auto"/>
        <w:right w:val="none" w:sz="0" w:space="0" w:color="auto"/>
      </w:divBdr>
    </w:div>
    <w:div w:id="682365849">
      <w:bodyDiv w:val="1"/>
      <w:marLeft w:val="0"/>
      <w:marRight w:val="0"/>
      <w:marTop w:val="0"/>
      <w:marBottom w:val="0"/>
      <w:divBdr>
        <w:top w:val="none" w:sz="0" w:space="0" w:color="auto"/>
        <w:left w:val="none" w:sz="0" w:space="0" w:color="auto"/>
        <w:bottom w:val="none" w:sz="0" w:space="0" w:color="auto"/>
        <w:right w:val="none" w:sz="0" w:space="0" w:color="auto"/>
      </w:divBdr>
    </w:div>
    <w:div w:id="708146643">
      <w:bodyDiv w:val="1"/>
      <w:marLeft w:val="0"/>
      <w:marRight w:val="0"/>
      <w:marTop w:val="0"/>
      <w:marBottom w:val="0"/>
      <w:divBdr>
        <w:top w:val="none" w:sz="0" w:space="0" w:color="auto"/>
        <w:left w:val="none" w:sz="0" w:space="0" w:color="auto"/>
        <w:bottom w:val="none" w:sz="0" w:space="0" w:color="auto"/>
        <w:right w:val="none" w:sz="0" w:space="0" w:color="auto"/>
      </w:divBdr>
    </w:div>
    <w:div w:id="729303552">
      <w:bodyDiv w:val="1"/>
      <w:marLeft w:val="0"/>
      <w:marRight w:val="0"/>
      <w:marTop w:val="0"/>
      <w:marBottom w:val="0"/>
      <w:divBdr>
        <w:top w:val="none" w:sz="0" w:space="0" w:color="auto"/>
        <w:left w:val="none" w:sz="0" w:space="0" w:color="auto"/>
        <w:bottom w:val="none" w:sz="0" w:space="0" w:color="auto"/>
        <w:right w:val="none" w:sz="0" w:space="0" w:color="auto"/>
      </w:divBdr>
    </w:div>
    <w:div w:id="736822373">
      <w:bodyDiv w:val="1"/>
      <w:marLeft w:val="0"/>
      <w:marRight w:val="0"/>
      <w:marTop w:val="0"/>
      <w:marBottom w:val="0"/>
      <w:divBdr>
        <w:top w:val="none" w:sz="0" w:space="0" w:color="auto"/>
        <w:left w:val="none" w:sz="0" w:space="0" w:color="auto"/>
        <w:bottom w:val="none" w:sz="0" w:space="0" w:color="auto"/>
        <w:right w:val="none" w:sz="0" w:space="0" w:color="auto"/>
      </w:divBdr>
    </w:div>
    <w:div w:id="765612391">
      <w:bodyDiv w:val="1"/>
      <w:marLeft w:val="0"/>
      <w:marRight w:val="0"/>
      <w:marTop w:val="0"/>
      <w:marBottom w:val="0"/>
      <w:divBdr>
        <w:top w:val="none" w:sz="0" w:space="0" w:color="auto"/>
        <w:left w:val="none" w:sz="0" w:space="0" w:color="auto"/>
        <w:bottom w:val="none" w:sz="0" w:space="0" w:color="auto"/>
        <w:right w:val="none" w:sz="0" w:space="0" w:color="auto"/>
      </w:divBdr>
    </w:div>
    <w:div w:id="816805327">
      <w:bodyDiv w:val="1"/>
      <w:marLeft w:val="0"/>
      <w:marRight w:val="0"/>
      <w:marTop w:val="0"/>
      <w:marBottom w:val="0"/>
      <w:divBdr>
        <w:top w:val="none" w:sz="0" w:space="0" w:color="auto"/>
        <w:left w:val="none" w:sz="0" w:space="0" w:color="auto"/>
        <w:bottom w:val="none" w:sz="0" w:space="0" w:color="auto"/>
        <w:right w:val="none" w:sz="0" w:space="0" w:color="auto"/>
      </w:divBdr>
    </w:div>
    <w:div w:id="832716330">
      <w:bodyDiv w:val="1"/>
      <w:marLeft w:val="0"/>
      <w:marRight w:val="0"/>
      <w:marTop w:val="0"/>
      <w:marBottom w:val="0"/>
      <w:divBdr>
        <w:top w:val="none" w:sz="0" w:space="0" w:color="auto"/>
        <w:left w:val="none" w:sz="0" w:space="0" w:color="auto"/>
        <w:bottom w:val="none" w:sz="0" w:space="0" w:color="auto"/>
        <w:right w:val="none" w:sz="0" w:space="0" w:color="auto"/>
      </w:divBdr>
    </w:div>
    <w:div w:id="940259842">
      <w:bodyDiv w:val="1"/>
      <w:marLeft w:val="0"/>
      <w:marRight w:val="0"/>
      <w:marTop w:val="0"/>
      <w:marBottom w:val="0"/>
      <w:divBdr>
        <w:top w:val="none" w:sz="0" w:space="0" w:color="auto"/>
        <w:left w:val="none" w:sz="0" w:space="0" w:color="auto"/>
        <w:bottom w:val="none" w:sz="0" w:space="0" w:color="auto"/>
        <w:right w:val="none" w:sz="0" w:space="0" w:color="auto"/>
      </w:divBdr>
    </w:div>
    <w:div w:id="1004015747">
      <w:bodyDiv w:val="1"/>
      <w:marLeft w:val="0"/>
      <w:marRight w:val="0"/>
      <w:marTop w:val="0"/>
      <w:marBottom w:val="0"/>
      <w:divBdr>
        <w:top w:val="none" w:sz="0" w:space="0" w:color="auto"/>
        <w:left w:val="none" w:sz="0" w:space="0" w:color="auto"/>
        <w:bottom w:val="none" w:sz="0" w:space="0" w:color="auto"/>
        <w:right w:val="none" w:sz="0" w:space="0" w:color="auto"/>
      </w:divBdr>
    </w:div>
    <w:div w:id="1019355183">
      <w:bodyDiv w:val="1"/>
      <w:marLeft w:val="0"/>
      <w:marRight w:val="0"/>
      <w:marTop w:val="0"/>
      <w:marBottom w:val="0"/>
      <w:divBdr>
        <w:top w:val="none" w:sz="0" w:space="0" w:color="auto"/>
        <w:left w:val="none" w:sz="0" w:space="0" w:color="auto"/>
        <w:bottom w:val="none" w:sz="0" w:space="0" w:color="auto"/>
        <w:right w:val="none" w:sz="0" w:space="0" w:color="auto"/>
      </w:divBdr>
    </w:div>
    <w:div w:id="1029061133">
      <w:bodyDiv w:val="1"/>
      <w:marLeft w:val="0"/>
      <w:marRight w:val="0"/>
      <w:marTop w:val="0"/>
      <w:marBottom w:val="0"/>
      <w:divBdr>
        <w:top w:val="none" w:sz="0" w:space="0" w:color="auto"/>
        <w:left w:val="none" w:sz="0" w:space="0" w:color="auto"/>
        <w:bottom w:val="none" w:sz="0" w:space="0" w:color="auto"/>
        <w:right w:val="none" w:sz="0" w:space="0" w:color="auto"/>
      </w:divBdr>
    </w:div>
    <w:div w:id="1099838215">
      <w:bodyDiv w:val="1"/>
      <w:marLeft w:val="0"/>
      <w:marRight w:val="0"/>
      <w:marTop w:val="0"/>
      <w:marBottom w:val="0"/>
      <w:divBdr>
        <w:top w:val="none" w:sz="0" w:space="0" w:color="auto"/>
        <w:left w:val="none" w:sz="0" w:space="0" w:color="auto"/>
        <w:bottom w:val="none" w:sz="0" w:space="0" w:color="auto"/>
        <w:right w:val="none" w:sz="0" w:space="0" w:color="auto"/>
      </w:divBdr>
    </w:div>
    <w:div w:id="1125000114">
      <w:bodyDiv w:val="1"/>
      <w:marLeft w:val="0"/>
      <w:marRight w:val="0"/>
      <w:marTop w:val="0"/>
      <w:marBottom w:val="0"/>
      <w:divBdr>
        <w:top w:val="none" w:sz="0" w:space="0" w:color="auto"/>
        <w:left w:val="none" w:sz="0" w:space="0" w:color="auto"/>
        <w:bottom w:val="none" w:sz="0" w:space="0" w:color="auto"/>
        <w:right w:val="none" w:sz="0" w:space="0" w:color="auto"/>
      </w:divBdr>
    </w:div>
    <w:div w:id="1128931621">
      <w:bodyDiv w:val="1"/>
      <w:marLeft w:val="0"/>
      <w:marRight w:val="0"/>
      <w:marTop w:val="0"/>
      <w:marBottom w:val="0"/>
      <w:divBdr>
        <w:top w:val="none" w:sz="0" w:space="0" w:color="auto"/>
        <w:left w:val="none" w:sz="0" w:space="0" w:color="auto"/>
        <w:bottom w:val="none" w:sz="0" w:space="0" w:color="auto"/>
        <w:right w:val="none" w:sz="0" w:space="0" w:color="auto"/>
      </w:divBdr>
    </w:div>
    <w:div w:id="1133987847">
      <w:bodyDiv w:val="1"/>
      <w:marLeft w:val="0"/>
      <w:marRight w:val="0"/>
      <w:marTop w:val="0"/>
      <w:marBottom w:val="0"/>
      <w:divBdr>
        <w:top w:val="none" w:sz="0" w:space="0" w:color="auto"/>
        <w:left w:val="none" w:sz="0" w:space="0" w:color="auto"/>
        <w:bottom w:val="none" w:sz="0" w:space="0" w:color="auto"/>
        <w:right w:val="none" w:sz="0" w:space="0" w:color="auto"/>
      </w:divBdr>
    </w:div>
    <w:div w:id="1171799232">
      <w:bodyDiv w:val="1"/>
      <w:marLeft w:val="0"/>
      <w:marRight w:val="0"/>
      <w:marTop w:val="0"/>
      <w:marBottom w:val="0"/>
      <w:divBdr>
        <w:top w:val="none" w:sz="0" w:space="0" w:color="auto"/>
        <w:left w:val="none" w:sz="0" w:space="0" w:color="auto"/>
        <w:bottom w:val="none" w:sz="0" w:space="0" w:color="auto"/>
        <w:right w:val="none" w:sz="0" w:space="0" w:color="auto"/>
      </w:divBdr>
    </w:div>
    <w:div w:id="1185166448">
      <w:bodyDiv w:val="1"/>
      <w:marLeft w:val="0"/>
      <w:marRight w:val="0"/>
      <w:marTop w:val="0"/>
      <w:marBottom w:val="0"/>
      <w:divBdr>
        <w:top w:val="none" w:sz="0" w:space="0" w:color="auto"/>
        <w:left w:val="none" w:sz="0" w:space="0" w:color="auto"/>
        <w:bottom w:val="none" w:sz="0" w:space="0" w:color="auto"/>
        <w:right w:val="none" w:sz="0" w:space="0" w:color="auto"/>
      </w:divBdr>
    </w:div>
    <w:div w:id="1191795684">
      <w:bodyDiv w:val="1"/>
      <w:marLeft w:val="0"/>
      <w:marRight w:val="0"/>
      <w:marTop w:val="0"/>
      <w:marBottom w:val="0"/>
      <w:divBdr>
        <w:top w:val="none" w:sz="0" w:space="0" w:color="auto"/>
        <w:left w:val="none" w:sz="0" w:space="0" w:color="auto"/>
        <w:bottom w:val="none" w:sz="0" w:space="0" w:color="auto"/>
        <w:right w:val="none" w:sz="0" w:space="0" w:color="auto"/>
      </w:divBdr>
    </w:div>
    <w:div w:id="1214775812">
      <w:bodyDiv w:val="1"/>
      <w:marLeft w:val="0"/>
      <w:marRight w:val="0"/>
      <w:marTop w:val="0"/>
      <w:marBottom w:val="0"/>
      <w:divBdr>
        <w:top w:val="none" w:sz="0" w:space="0" w:color="auto"/>
        <w:left w:val="none" w:sz="0" w:space="0" w:color="auto"/>
        <w:bottom w:val="none" w:sz="0" w:space="0" w:color="auto"/>
        <w:right w:val="none" w:sz="0" w:space="0" w:color="auto"/>
      </w:divBdr>
    </w:div>
    <w:div w:id="1225069386">
      <w:bodyDiv w:val="1"/>
      <w:marLeft w:val="0"/>
      <w:marRight w:val="0"/>
      <w:marTop w:val="0"/>
      <w:marBottom w:val="0"/>
      <w:divBdr>
        <w:top w:val="none" w:sz="0" w:space="0" w:color="auto"/>
        <w:left w:val="none" w:sz="0" w:space="0" w:color="auto"/>
        <w:bottom w:val="none" w:sz="0" w:space="0" w:color="auto"/>
        <w:right w:val="none" w:sz="0" w:space="0" w:color="auto"/>
      </w:divBdr>
    </w:div>
    <w:div w:id="1253317455">
      <w:bodyDiv w:val="1"/>
      <w:marLeft w:val="0"/>
      <w:marRight w:val="0"/>
      <w:marTop w:val="0"/>
      <w:marBottom w:val="0"/>
      <w:divBdr>
        <w:top w:val="none" w:sz="0" w:space="0" w:color="auto"/>
        <w:left w:val="none" w:sz="0" w:space="0" w:color="auto"/>
        <w:bottom w:val="none" w:sz="0" w:space="0" w:color="auto"/>
        <w:right w:val="none" w:sz="0" w:space="0" w:color="auto"/>
      </w:divBdr>
    </w:div>
    <w:div w:id="1290547752">
      <w:bodyDiv w:val="1"/>
      <w:marLeft w:val="0"/>
      <w:marRight w:val="0"/>
      <w:marTop w:val="0"/>
      <w:marBottom w:val="0"/>
      <w:divBdr>
        <w:top w:val="none" w:sz="0" w:space="0" w:color="auto"/>
        <w:left w:val="none" w:sz="0" w:space="0" w:color="auto"/>
        <w:bottom w:val="none" w:sz="0" w:space="0" w:color="auto"/>
        <w:right w:val="none" w:sz="0" w:space="0" w:color="auto"/>
      </w:divBdr>
    </w:div>
    <w:div w:id="1331983878">
      <w:bodyDiv w:val="1"/>
      <w:marLeft w:val="0"/>
      <w:marRight w:val="0"/>
      <w:marTop w:val="0"/>
      <w:marBottom w:val="0"/>
      <w:divBdr>
        <w:top w:val="none" w:sz="0" w:space="0" w:color="auto"/>
        <w:left w:val="none" w:sz="0" w:space="0" w:color="auto"/>
        <w:bottom w:val="none" w:sz="0" w:space="0" w:color="auto"/>
        <w:right w:val="none" w:sz="0" w:space="0" w:color="auto"/>
      </w:divBdr>
    </w:div>
    <w:div w:id="1339426849">
      <w:bodyDiv w:val="1"/>
      <w:marLeft w:val="0"/>
      <w:marRight w:val="0"/>
      <w:marTop w:val="0"/>
      <w:marBottom w:val="0"/>
      <w:divBdr>
        <w:top w:val="none" w:sz="0" w:space="0" w:color="auto"/>
        <w:left w:val="none" w:sz="0" w:space="0" w:color="auto"/>
        <w:bottom w:val="none" w:sz="0" w:space="0" w:color="auto"/>
        <w:right w:val="none" w:sz="0" w:space="0" w:color="auto"/>
      </w:divBdr>
    </w:div>
    <w:div w:id="1378815633">
      <w:bodyDiv w:val="1"/>
      <w:marLeft w:val="0"/>
      <w:marRight w:val="0"/>
      <w:marTop w:val="0"/>
      <w:marBottom w:val="0"/>
      <w:divBdr>
        <w:top w:val="none" w:sz="0" w:space="0" w:color="auto"/>
        <w:left w:val="none" w:sz="0" w:space="0" w:color="auto"/>
        <w:bottom w:val="none" w:sz="0" w:space="0" w:color="auto"/>
        <w:right w:val="none" w:sz="0" w:space="0" w:color="auto"/>
      </w:divBdr>
    </w:div>
    <w:div w:id="1442798692">
      <w:bodyDiv w:val="1"/>
      <w:marLeft w:val="0"/>
      <w:marRight w:val="0"/>
      <w:marTop w:val="0"/>
      <w:marBottom w:val="0"/>
      <w:divBdr>
        <w:top w:val="none" w:sz="0" w:space="0" w:color="auto"/>
        <w:left w:val="none" w:sz="0" w:space="0" w:color="auto"/>
        <w:bottom w:val="none" w:sz="0" w:space="0" w:color="auto"/>
        <w:right w:val="none" w:sz="0" w:space="0" w:color="auto"/>
      </w:divBdr>
    </w:div>
    <w:div w:id="1476949729">
      <w:bodyDiv w:val="1"/>
      <w:marLeft w:val="0"/>
      <w:marRight w:val="0"/>
      <w:marTop w:val="0"/>
      <w:marBottom w:val="0"/>
      <w:divBdr>
        <w:top w:val="none" w:sz="0" w:space="0" w:color="auto"/>
        <w:left w:val="none" w:sz="0" w:space="0" w:color="auto"/>
        <w:bottom w:val="none" w:sz="0" w:space="0" w:color="auto"/>
        <w:right w:val="none" w:sz="0" w:space="0" w:color="auto"/>
      </w:divBdr>
    </w:div>
    <w:div w:id="1555505295">
      <w:bodyDiv w:val="1"/>
      <w:marLeft w:val="0"/>
      <w:marRight w:val="0"/>
      <w:marTop w:val="0"/>
      <w:marBottom w:val="0"/>
      <w:divBdr>
        <w:top w:val="none" w:sz="0" w:space="0" w:color="auto"/>
        <w:left w:val="none" w:sz="0" w:space="0" w:color="auto"/>
        <w:bottom w:val="none" w:sz="0" w:space="0" w:color="auto"/>
        <w:right w:val="none" w:sz="0" w:space="0" w:color="auto"/>
      </w:divBdr>
    </w:div>
    <w:div w:id="1648046698">
      <w:bodyDiv w:val="1"/>
      <w:marLeft w:val="0"/>
      <w:marRight w:val="0"/>
      <w:marTop w:val="0"/>
      <w:marBottom w:val="0"/>
      <w:divBdr>
        <w:top w:val="none" w:sz="0" w:space="0" w:color="auto"/>
        <w:left w:val="none" w:sz="0" w:space="0" w:color="auto"/>
        <w:bottom w:val="none" w:sz="0" w:space="0" w:color="auto"/>
        <w:right w:val="none" w:sz="0" w:space="0" w:color="auto"/>
      </w:divBdr>
    </w:div>
    <w:div w:id="1652754081">
      <w:bodyDiv w:val="1"/>
      <w:marLeft w:val="0"/>
      <w:marRight w:val="0"/>
      <w:marTop w:val="0"/>
      <w:marBottom w:val="0"/>
      <w:divBdr>
        <w:top w:val="none" w:sz="0" w:space="0" w:color="auto"/>
        <w:left w:val="none" w:sz="0" w:space="0" w:color="auto"/>
        <w:bottom w:val="none" w:sz="0" w:space="0" w:color="auto"/>
        <w:right w:val="none" w:sz="0" w:space="0" w:color="auto"/>
      </w:divBdr>
    </w:div>
    <w:div w:id="1684086994">
      <w:bodyDiv w:val="1"/>
      <w:marLeft w:val="0"/>
      <w:marRight w:val="0"/>
      <w:marTop w:val="0"/>
      <w:marBottom w:val="0"/>
      <w:divBdr>
        <w:top w:val="none" w:sz="0" w:space="0" w:color="auto"/>
        <w:left w:val="none" w:sz="0" w:space="0" w:color="auto"/>
        <w:bottom w:val="none" w:sz="0" w:space="0" w:color="auto"/>
        <w:right w:val="none" w:sz="0" w:space="0" w:color="auto"/>
      </w:divBdr>
    </w:div>
    <w:div w:id="1744645006">
      <w:bodyDiv w:val="1"/>
      <w:marLeft w:val="0"/>
      <w:marRight w:val="0"/>
      <w:marTop w:val="0"/>
      <w:marBottom w:val="0"/>
      <w:divBdr>
        <w:top w:val="none" w:sz="0" w:space="0" w:color="auto"/>
        <w:left w:val="none" w:sz="0" w:space="0" w:color="auto"/>
        <w:bottom w:val="none" w:sz="0" w:space="0" w:color="auto"/>
        <w:right w:val="none" w:sz="0" w:space="0" w:color="auto"/>
      </w:divBdr>
    </w:div>
    <w:div w:id="1751269777">
      <w:bodyDiv w:val="1"/>
      <w:marLeft w:val="0"/>
      <w:marRight w:val="0"/>
      <w:marTop w:val="0"/>
      <w:marBottom w:val="0"/>
      <w:divBdr>
        <w:top w:val="none" w:sz="0" w:space="0" w:color="auto"/>
        <w:left w:val="none" w:sz="0" w:space="0" w:color="auto"/>
        <w:bottom w:val="none" w:sz="0" w:space="0" w:color="auto"/>
        <w:right w:val="none" w:sz="0" w:space="0" w:color="auto"/>
      </w:divBdr>
    </w:div>
    <w:div w:id="1818107056">
      <w:bodyDiv w:val="1"/>
      <w:marLeft w:val="0"/>
      <w:marRight w:val="0"/>
      <w:marTop w:val="0"/>
      <w:marBottom w:val="0"/>
      <w:divBdr>
        <w:top w:val="none" w:sz="0" w:space="0" w:color="auto"/>
        <w:left w:val="none" w:sz="0" w:space="0" w:color="auto"/>
        <w:bottom w:val="none" w:sz="0" w:space="0" w:color="auto"/>
        <w:right w:val="none" w:sz="0" w:space="0" w:color="auto"/>
      </w:divBdr>
    </w:div>
    <w:div w:id="1838573116">
      <w:bodyDiv w:val="1"/>
      <w:marLeft w:val="0"/>
      <w:marRight w:val="0"/>
      <w:marTop w:val="0"/>
      <w:marBottom w:val="0"/>
      <w:divBdr>
        <w:top w:val="none" w:sz="0" w:space="0" w:color="auto"/>
        <w:left w:val="none" w:sz="0" w:space="0" w:color="auto"/>
        <w:bottom w:val="none" w:sz="0" w:space="0" w:color="auto"/>
        <w:right w:val="none" w:sz="0" w:space="0" w:color="auto"/>
      </w:divBdr>
    </w:div>
    <w:div w:id="1843741711">
      <w:bodyDiv w:val="1"/>
      <w:marLeft w:val="0"/>
      <w:marRight w:val="0"/>
      <w:marTop w:val="0"/>
      <w:marBottom w:val="0"/>
      <w:divBdr>
        <w:top w:val="none" w:sz="0" w:space="0" w:color="auto"/>
        <w:left w:val="none" w:sz="0" w:space="0" w:color="auto"/>
        <w:bottom w:val="none" w:sz="0" w:space="0" w:color="auto"/>
        <w:right w:val="none" w:sz="0" w:space="0" w:color="auto"/>
      </w:divBdr>
    </w:div>
    <w:div w:id="1847399254">
      <w:bodyDiv w:val="1"/>
      <w:marLeft w:val="0"/>
      <w:marRight w:val="0"/>
      <w:marTop w:val="0"/>
      <w:marBottom w:val="0"/>
      <w:divBdr>
        <w:top w:val="none" w:sz="0" w:space="0" w:color="auto"/>
        <w:left w:val="none" w:sz="0" w:space="0" w:color="auto"/>
        <w:bottom w:val="none" w:sz="0" w:space="0" w:color="auto"/>
        <w:right w:val="none" w:sz="0" w:space="0" w:color="auto"/>
      </w:divBdr>
    </w:div>
    <w:div w:id="1861507726">
      <w:bodyDiv w:val="1"/>
      <w:marLeft w:val="0"/>
      <w:marRight w:val="0"/>
      <w:marTop w:val="0"/>
      <w:marBottom w:val="0"/>
      <w:divBdr>
        <w:top w:val="none" w:sz="0" w:space="0" w:color="auto"/>
        <w:left w:val="none" w:sz="0" w:space="0" w:color="auto"/>
        <w:bottom w:val="none" w:sz="0" w:space="0" w:color="auto"/>
        <w:right w:val="none" w:sz="0" w:space="0" w:color="auto"/>
      </w:divBdr>
    </w:div>
    <w:div w:id="1882211122">
      <w:bodyDiv w:val="1"/>
      <w:marLeft w:val="0"/>
      <w:marRight w:val="0"/>
      <w:marTop w:val="0"/>
      <w:marBottom w:val="0"/>
      <w:divBdr>
        <w:top w:val="none" w:sz="0" w:space="0" w:color="auto"/>
        <w:left w:val="none" w:sz="0" w:space="0" w:color="auto"/>
        <w:bottom w:val="none" w:sz="0" w:space="0" w:color="auto"/>
        <w:right w:val="none" w:sz="0" w:space="0" w:color="auto"/>
      </w:divBdr>
    </w:div>
    <w:div w:id="1905679371">
      <w:bodyDiv w:val="1"/>
      <w:marLeft w:val="0"/>
      <w:marRight w:val="0"/>
      <w:marTop w:val="0"/>
      <w:marBottom w:val="0"/>
      <w:divBdr>
        <w:top w:val="none" w:sz="0" w:space="0" w:color="auto"/>
        <w:left w:val="none" w:sz="0" w:space="0" w:color="auto"/>
        <w:bottom w:val="none" w:sz="0" w:space="0" w:color="auto"/>
        <w:right w:val="none" w:sz="0" w:space="0" w:color="auto"/>
      </w:divBdr>
    </w:div>
    <w:div w:id="1910964902">
      <w:bodyDiv w:val="1"/>
      <w:marLeft w:val="0"/>
      <w:marRight w:val="0"/>
      <w:marTop w:val="0"/>
      <w:marBottom w:val="0"/>
      <w:divBdr>
        <w:top w:val="none" w:sz="0" w:space="0" w:color="auto"/>
        <w:left w:val="none" w:sz="0" w:space="0" w:color="auto"/>
        <w:bottom w:val="none" w:sz="0" w:space="0" w:color="auto"/>
        <w:right w:val="none" w:sz="0" w:space="0" w:color="auto"/>
      </w:divBdr>
    </w:div>
    <w:div w:id="1924097802">
      <w:bodyDiv w:val="1"/>
      <w:marLeft w:val="0"/>
      <w:marRight w:val="0"/>
      <w:marTop w:val="0"/>
      <w:marBottom w:val="0"/>
      <w:divBdr>
        <w:top w:val="none" w:sz="0" w:space="0" w:color="auto"/>
        <w:left w:val="none" w:sz="0" w:space="0" w:color="auto"/>
        <w:bottom w:val="none" w:sz="0" w:space="0" w:color="auto"/>
        <w:right w:val="none" w:sz="0" w:space="0" w:color="auto"/>
      </w:divBdr>
    </w:div>
    <w:div w:id="1927491942">
      <w:bodyDiv w:val="1"/>
      <w:marLeft w:val="0"/>
      <w:marRight w:val="0"/>
      <w:marTop w:val="0"/>
      <w:marBottom w:val="0"/>
      <w:divBdr>
        <w:top w:val="none" w:sz="0" w:space="0" w:color="auto"/>
        <w:left w:val="none" w:sz="0" w:space="0" w:color="auto"/>
        <w:bottom w:val="none" w:sz="0" w:space="0" w:color="auto"/>
        <w:right w:val="none" w:sz="0" w:space="0" w:color="auto"/>
      </w:divBdr>
    </w:div>
    <w:div w:id="1984771025">
      <w:bodyDiv w:val="1"/>
      <w:marLeft w:val="0"/>
      <w:marRight w:val="0"/>
      <w:marTop w:val="0"/>
      <w:marBottom w:val="0"/>
      <w:divBdr>
        <w:top w:val="none" w:sz="0" w:space="0" w:color="auto"/>
        <w:left w:val="none" w:sz="0" w:space="0" w:color="auto"/>
        <w:bottom w:val="none" w:sz="0" w:space="0" w:color="auto"/>
        <w:right w:val="none" w:sz="0" w:space="0" w:color="auto"/>
      </w:divBdr>
    </w:div>
    <w:div w:id="2038774198">
      <w:bodyDiv w:val="1"/>
      <w:marLeft w:val="0"/>
      <w:marRight w:val="0"/>
      <w:marTop w:val="0"/>
      <w:marBottom w:val="0"/>
      <w:divBdr>
        <w:top w:val="none" w:sz="0" w:space="0" w:color="auto"/>
        <w:left w:val="none" w:sz="0" w:space="0" w:color="auto"/>
        <w:bottom w:val="none" w:sz="0" w:space="0" w:color="auto"/>
        <w:right w:val="none" w:sz="0" w:space="0" w:color="auto"/>
      </w:divBdr>
    </w:div>
    <w:div w:id="2052487413">
      <w:bodyDiv w:val="1"/>
      <w:marLeft w:val="0"/>
      <w:marRight w:val="0"/>
      <w:marTop w:val="0"/>
      <w:marBottom w:val="0"/>
      <w:divBdr>
        <w:top w:val="none" w:sz="0" w:space="0" w:color="auto"/>
        <w:left w:val="none" w:sz="0" w:space="0" w:color="auto"/>
        <w:bottom w:val="none" w:sz="0" w:space="0" w:color="auto"/>
        <w:right w:val="none" w:sz="0" w:space="0" w:color="auto"/>
      </w:divBdr>
    </w:div>
    <w:div w:id="2053143210">
      <w:bodyDiv w:val="1"/>
      <w:marLeft w:val="0"/>
      <w:marRight w:val="0"/>
      <w:marTop w:val="0"/>
      <w:marBottom w:val="0"/>
      <w:divBdr>
        <w:top w:val="none" w:sz="0" w:space="0" w:color="auto"/>
        <w:left w:val="none" w:sz="0" w:space="0" w:color="auto"/>
        <w:bottom w:val="none" w:sz="0" w:space="0" w:color="auto"/>
        <w:right w:val="none" w:sz="0" w:space="0" w:color="auto"/>
      </w:divBdr>
    </w:div>
    <w:div w:id="2057851068">
      <w:bodyDiv w:val="1"/>
      <w:marLeft w:val="0"/>
      <w:marRight w:val="0"/>
      <w:marTop w:val="0"/>
      <w:marBottom w:val="0"/>
      <w:divBdr>
        <w:top w:val="none" w:sz="0" w:space="0" w:color="auto"/>
        <w:left w:val="none" w:sz="0" w:space="0" w:color="auto"/>
        <w:bottom w:val="none" w:sz="0" w:space="0" w:color="auto"/>
        <w:right w:val="none" w:sz="0" w:space="0" w:color="auto"/>
      </w:divBdr>
    </w:div>
    <w:div w:id="2058435365">
      <w:bodyDiv w:val="1"/>
      <w:marLeft w:val="0"/>
      <w:marRight w:val="0"/>
      <w:marTop w:val="0"/>
      <w:marBottom w:val="0"/>
      <w:divBdr>
        <w:top w:val="none" w:sz="0" w:space="0" w:color="auto"/>
        <w:left w:val="none" w:sz="0" w:space="0" w:color="auto"/>
        <w:bottom w:val="none" w:sz="0" w:space="0" w:color="auto"/>
        <w:right w:val="none" w:sz="0" w:space="0" w:color="auto"/>
      </w:divBdr>
    </w:div>
    <w:div w:id="2069835617">
      <w:bodyDiv w:val="1"/>
      <w:marLeft w:val="0"/>
      <w:marRight w:val="0"/>
      <w:marTop w:val="0"/>
      <w:marBottom w:val="0"/>
      <w:divBdr>
        <w:top w:val="none" w:sz="0" w:space="0" w:color="auto"/>
        <w:left w:val="none" w:sz="0" w:space="0" w:color="auto"/>
        <w:bottom w:val="none" w:sz="0" w:space="0" w:color="auto"/>
        <w:right w:val="none" w:sz="0" w:space="0" w:color="auto"/>
      </w:divBdr>
    </w:div>
    <w:div w:id="2087721434">
      <w:bodyDiv w:val="1"/>
      <w:marLeft w:val="0"/>
      <w:marRight w:val="0"/>
      <w:marTop w:val="0"/>
      <w:marBottom w:val="0"/>
      <w:divBdr>
        <w:top w:val="none" w:sz="0" w:space="0" w:color="auto"/>
        <w:left w:val="none" w:sz="0" w:space="0" w:color="auto"/>
        <w:bottom w:val="none" w:sz="0" w:space="0" w:color="auto"/>
        <w:right w:val="none" w:sz="0" w:space="0" w:color="auto"/>
      </w:divBdr>
    </w:div>
    <w:div w:id="2105808859">
      <w:bodyDiv w:val="1"/>
      <w:marLeft w:val="0"/>
      <w:marRight w:val="0"/>
      <w:marTop w:val="0"/>
      <w:marBottom w:val="0"/>
      <w:divBdr>
        <w:top w:val="none" w:sz="0" w:space="0" w:color="auto"/>
        <w:left w:val="none" w:sz="0" w:space="0" w:color="auto"/>
        <w:bottom w:val="none" w:sz="0" w:space="0" w:color="auto"/>
        <w:right w:val="none" w:sz="0" w:space="0" w:color="auto"/>
      </w:divBdr>
    </w:div>
    <w:div w:id="2109541124">
      <w:bodyDiv w:val="1"/>
      <w:marLeft w:val="0"/>
      <w:marRight w:val="0"/>
      <w:marTop w:val="0"/>
      <w:marBottom w:val="0"/>
      <w:divBdr>
        <w:top w:val="none" w:sz="0" w:space="0" w:color="auto"/>
        <w:left w:val="none" w:sz="0" w:space="0" w:color="auto"/>
        <w:bottom w:val="none" w:sz="0" w:space="0" w:color="auto"/>
        <w:right w:val="none" w:sz="0" w:space="0" w:color="auto"/>
      </w:divBdr>
    </w:div>
    <w:div w:id="21338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3624</Words>
  <Characters>19932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23509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NOEMI CAMARGO ZAMUDIO</cp:lastModifiedBy>
  <cp:revision>17</cp:revision>
  <dcterms:created xsi:type="dcterms:W3CDTF">2024-09-18T18:58:00Z</dcterms:created>
  <dcterms:modified xsi:type="dcterms:W3CDTF">2025-10-13T16:13:00Z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