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15943346" w:rsidR="000B7810" w:rsidRPr="00657009" w:rsidRDefault="00570C98"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bookmarkStart w:id="0" w:name="_GoBack"/>
    <w:bookmarkEnd w:id="0"/>
    <w:p w14:paraId="507776DB" w14:textId="77777777" w:rsidR="007D1E76" w:rsidRPr="00E74967" w:rsidRDefault="00251606" w:rsidP="00F067C8">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2F65D88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5AFB2A7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6738A">
              <w:rPr>
                <w:noProof/>
                <w:webHidden/>
              </w:rPr>
              <w:t>2</w:t>
            </w:r>
            <w:r w:rsidR="005F51CC">
              <w:rPr>
                <w:noProof/>
                <w:webHidden/>
              </w:rPr>
              <w:fldChar w:fldCharType="end"/>
            </w:r>
          </w:hyperlink>
        </w:p>
        <w:p w14:paraId="6A6756CA" w14:textId="349FEB50"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76738A">
              <w:rPr>
                <w:noProof/>
                <w:webHidden/>
              </w:rPr>
              <w:t>2</w:t>
            </w:r>
            <w:r w:rsidR="005F51CC">
              <w:rPr>
                <w:noProof/>
                <w:webHidden/>
              </w:rPr>
              <w:fldChar w:fldCharType="end"/>
            </w:r>
          </w:hyperlink>
        </w:p>
        <w:p w14:paraId="19796F35" w14:textId="58BFFF55"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76738A">
              <w:rPr>
                <w:noProof/>
                <w:webHidden/>
              </w:rPr>
              <w:t>3</w:t>
            </w:r>
            <w:r w:rsidR="005F51CC">
              <w:rPr>
                <w:noProof/>
                <w:webHidden/>
              </w:rPr>
              <w:fldChar w:fldCharType="end"/>
            </w:r>
          </w:hyperlink>
        </w:p>
        <w:p w14:paraId="62AC0657" w14:textId="701309FE"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76738A">
              <w:rPr>
                <w:noProof/>
                <w:webHidden/>
              </w:rPr>
              <w:t>4</w:t>
            </w:r>
            <w:r w:rsidR="005F51CC">
              <w:rPr>
                <w:noProof/>
                <w:webHidden/>
              </w:rPr>
              <w:fldChar w:fldCharType="end"/>
            </w:r>
          </w:hyperlink>
        </w:p>
        <w:p w14:paraId="7C7C1962" w14:textId="5532B49A"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76738A">
              <w:rPr>
                <w:noProof/>
                <w:webHidden/>
              </w:rPr>
              <w:t>7</w:t>
            </w:r>
            <w:r w:rsidR="005F51CC">
              <w:rPr>
                <w:noProof/>
                <w:webHidden/>
              </w:rPr>
              <w:fldChar w:fldCharType="end"/>
            </w:r>
          </w:hyperlink>
        </w:p>
        <w:p w14:paraId="3FE6C661" w14:textId="6AF14B02"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76738A">
              <w:rPr>
                <w:noProof/>
                <w:webHidden/>
              </w:rPr>
              <w:t>8</w:t>
            </w:r>
            <w:r w:rsidR="005F51CC">
              <w:rPr>
                <w:noProof/>
                <w:webHidden/>
              </w:rPr>
              <w:fldChar w:fldCharType="end"/>
            </w:r>
          </w:hyperlink>
        </w:p>
        <w:p w14:paraId="135541CC" w14:textId="796D97CA"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76738A">
              <w:rPr>
                <w:noProof/>
                <w:webHidden/>
              </w:rPr>
              <w:t>8</w:t>
            </w:r>
            <w:r w:rsidR="005F51CC">
              <w:rPr>
                <w:noProof/>
                <w:webHidden/>
              </w:rPr>
              <w:fldChar w:fldCharType="end"/>
            </w:r>
          </w:hyperlink>
        </w:p>
        <w:p w14:paraId="48C9D852" w14:textId="4B7830A7"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76738A">
              <w:rPr>
                <w:noProof/>
                <w:webHidden/>
              </w:rPr>
              <w:t>10</w:t>
            </w:r>
            <w:r w:rsidR="005F51CC">
              <w:rPr>
                <w:noProof/>
                <w:webHidden/>
              </w:rPr>
              <w:fldChar w:fldCharType="end"/>
            </w:r>
          </w:hyperlink>
        </w:p>
        <w:p w14:paraId="027C97E3" w14:textId="6709B934"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76738A">
              <w:rPr>
                <w:noProof/>
                <w:webHidden/>
              </w:rPr>
              <w:t>10</w:t>
            </w:r>
            <w:r w:rsidR="005F51CC">
              <w:rPr>
                <w:noProof/>
                <w:webHidden/>
              </w:rPr>
              <w:fldChar w:fldCharType="end"/>
            </w:r>
          </w:hyperlink>
        </w:p>
        <w:p w14:paraId="00DB87A1" w14:textId="1F2BD61B"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76738A">
              <w:rPr>
                <w:noProof/>
                <w:webHidden/>
              </w:rPr>
              <w:t>10</w:t>
            </w:r>
            <w:r w:rsidR="005F51CC">
              <w:rPr>
                <w:noProof/>
                <w:webHidden/>
              </w:rPr>
              <w:fldChar w:fldCharType="end"/>
            </w:r>
          </w:hyperlink>
        </w:p>
        <w:p w14:paraId="00EEECC2" w14:textId="6EA51788"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76738A">
              <w:rPr>
                <w:noProof/>
                <w:webHidden/>
              </w:rPr>
              <w:t>11</w:t>
            </w:r>
            <w:r w:rsidR="005F51CC">
              <w:rPr>
                <w:noProof/>
                <w:webHidden/>
              </w:rPr>
              <w:fldChar w:fldCharType="end"/>
            </w:r>
          </w:hyperlink>
        </w:p>
        <w:p w14:paraId="68FD7A9A" w14:textId="535614A9"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76738A">
              <w:rPr>
                <w:noProof/>
                <w:webHidden/>
              </w:rPr>
              <w:t>11</w:t>
            </w:r>
            <w:r w:rsidR="005F51CC">
              <w:rPr>
                <w:noProof/>
                <w:webHidden/>
              </w:rPr>
              <w:fldChar w:fldCharType="end"/>
            </w:r>
          </w:hyperlink>
        </w:p>
        <w:p w14:paraId="5F55527F" w14:textId="0DB351AA"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76738A">
              <w:rPr>
                <w:noProof/>
                <w:webHidden/>
              </w:rPr>
              <w:t>11</w:t>
            </w:r>
            <w:r w:rsidR="005F51CC">
              <w:rPr>
                <w:noProof/>
                <w:webHidden/>
              </w:rPr>
              <w:fldChar w:fldCharType="end"/>
            </w:r>
          </w:hyperlink>
        </w:p>
        <w:p w14:paraId="674ABB69" w14:textId="38B504E3"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76738A">
              <w:rPr>
                <w:noProof/>
                <w:webHidden/>
              </w:rPr>
              <w:t>11</w:t>
            </w:r>
            <w:r w:rsidR="005F51CC">
              <w:rPr>
                <w:noProof/>
                <w:webHidden/>
              </w:rPr>
              <w:fldChar w:fldCharType="end"/>
            </w:r>
          </w:hyperlink>
        </w:p>
        <w:p w14:paraId="39048CDA" w14:textId="17945B96"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76738A">
              <w:rPr>
                <w:noProof/>
                <w:webHidden/>
              </w:rPr>
              <w:t>11</w:t>
            </w:r>
            <w:r w:rsidR="005F51CC">
              <w:rPr>
                <w:noProof/>
                <w:webHidden/>
              </w:rPr>
              <w:fldChar w:fldCharType="end"/>
            </w:r>
          </w:hyperlink>
        </w:p>
        <w:p w14:paraId="7E9C5BA3" w14:textId="214E90E1" w:rsidR="005F51CC" w:rsidRDefault="0025160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76738A">
              <w:rPr>
                <w:noProof/>
                <w:webHidden/>
              </w:rPr>
              <w:t>12</w:t>
            </w:r>
            <w:r w:rsidR="005F51CC">
              <w:rPr>
                <w:noProof/>
                <w:webHidden/>
              </w:rPr>
              <w:fldChar w:fldCharType="end"/>
            </w:r>
          </w:hyperlink>
        </w:p>
        <w:p w14:paraId="43551857" w14:textId="4F747141" w:rsidR="00F46719" w:rsidRDefault="00F46719">
          <w:r>
            <w:rPr>
              <w:b/>
              <w:bCs/>
              <w:lang w:val="es-ES"/>
            </w:rPr>
            <w:fldChar w:fldCharType="end"/>
          </w:r>
        </w:p>
      </w:sdtContent>
    </w:sdt>
    <w:p w14:paraId="2B785782" w14:textId="77777777" w:rsidR="000F1690" w:rsidRDefault="000F1690">
      <w:pPr>
        <w:spacing w:after="0" w:line="240" w:lineRule="auto"/>
        <w:rPr>
          <w:rFonts w:asciiTheme="minorHAnsi" w:eastAsiaTheme="majorEastAsia" w:hAnsiTheme="minorHAnsi" w:cstheme="minorHAnsi"/>
          <w:b/>
          <w:szCs w:val="26"/>
        </w:rPr>
      </w:pPr>
      <w:bookmarkStart w:id="1" w:name="_Toc161472866"/>
      <w:r>
        <w:rPr>
          <w:rFonts w:asciiTheme="minorHAnsi" w:hAnsiTheme="minorHAnsi" w:cstheme="minorHAnsi"/>
          <w:b/>
        </w:rPr>
        <w:br w:type="page"/>
      </w:r>
    </w:p>
    <w:p w14:paraId="54575967" w14:textId="09B9798A" w:rsidR="007D1E76" w:rsidRDefault="007D1E76" w:rsidP="002263E1">
      <w:pPr>
        <w:pStyle w:val="Ttulo2"/>
        <w:numPr>
          <w:ilvl w:val="0"/>
          <w:numId w:val="2"/>
        </w:numPr>
        <w:rPr>
          <w:rFonts w:asciiTheme="minorHAnsi" w:hAnsiTheme="minorHAnsi" w:cstheme="minorHAnsi"/>
          <w:b/>
          <w:color w:val="auto"/>
          <w:sz w:val="22"/>
        </w:rPr>
      </w:pPr>
      <w:r w:rsidRPr="000C3365">
        <w:rPr>
          <w:rFonts w:asciiTheme="minorHAnsi" w:hAnsiTheme="minorHAnsi" w:cstheme="minorHAnsi"/>
          <w:b/>
          <w:color w:val="auto"/>
          <w:sz w:val="22"/>
        </w:rPr>
        <w:lastRenderedPageBreak/>
        <w:t>Autoriza</w:t>
      </w:r>
      <w:r w:rsidR="00E00323" w:rsidRPr="000C3365">
        <w:rPr>
          <w:rFonts w:asciiTheme="minorHAnsi" w:hAnsiTheme="minorHAnsi" w:cstheme="minorHAnsi"/>
          <w:b/>
          <w:color w:val="auto"/>
          <w:sz w:val="22"/>
        </w:rPr>
        <w:t>ción e Historia:</w:t>
      </w:r>
      <w:bookmarkEnd w:id="1"/>
    </w:p>
    <w:p w14:paraId="68C84489" w14:textId="77777777" w:rsidR="002263E1" w:rsidRPr="002263E1" w:rsidRDefault="002263E1" w:rsidP="002263E1">
      <w:pPr>
        <w:tabs>
          <w:tab w:val="left" w:leader="underscore" w:pos="9639"/>
        </w:tabs>
        <w:spacing w:after="0" w:line="240" w:lineRule="auto"/>
        <w:jc w:val="both"/>
        <w:rPr>
          <w:rFonts w:cs="Calibri"/>
          <w:b/>
        </w:rPr>
      </w:pPr>
      <w:r w:rsidRPr="002263E1">
        <w:rPr>
          <w:rFonts w:cs="Calibri"/>
          <w:b/>
        </w:rPr>
        <w:t>a) Fecha de creación del ente.</w:t>
      </w:r>
    </w:p>
    <w:p w14:paraId="35FDB5B8" w14:textId="77777777" w:rsidR="002263E1" w:rsidRDefault="002263E1" w:rsidP="002263E1">
      <w:pPr>
        <w:tabs>
          <w:tab w:val="left" w:leader="underscore" w:pos="9639"/>
        </w:tabs>
        <w:spacing w:after="0" w:line="240" w:lineRule="auto"/>
        <w:jc w:val="both"/>
        <w:rPr>
          <w:rFonts w:cs="Calibri"/>
        </w:rPr>
      </w:pPr>
    </w:p>
    <w:p w14:paraId="294B19DD" w14:textId="77E8B892" w:rsidR="002263E1" w:rsidRPr="002263E1" w:rsidRDefault="002263E1" w:rsidP="002263E1">
      <w:pPr>
        <w:tabs>
          <w:tab w:val="left" w:leader="underscore" w:pos="9639"/>
        </w:tabs>
        <w:spacing w:after="0" w:line="240" w:lineRule="auto"/>
        <w:jc w:val="both"/>
        <w:rPr>
          <w:rFonts w:cs="Calibri"/>
        </w:rPr>
      </w:pPr>
      <w:r w:rsidRPr="002263E1">
        <w:rPr>
          <w:rFonts w:cs="Calibri"/>
        </w:rPr>
        <w:t>En el año de 1993, se dio inicio a la capacitación de personal de seguridad pública en el Estado, mediante la instalación de un Centro de Adiestramiento que diseñó un programa de capacitación básico denominado “Curso de Formación de oficiales de seguridad”. Es en el año de 1995 cuando se formaliza la capacitación del personal de las corporaciones policiacas en el Estado, mediante la publicación de la primera Ley de Seguridad Pública del Estado de Guanajuato, la cual creaba al Instituto para la Formación de Los Cuerpos de Seguridad Pública del Estado (IFCSPE). Con posterioridad, reformas a la Ley Estatal en el año 2007, dieron vida al Instituto Estatal de Ciencias Penales (INECIPE), como un órgano desconcentrado por función, jerárquicamente subordinado a la Secretaría de Seguridad Pública, con autonomía operativa, técnica y funcional. Finalmente, con la promulgación de la Ley del Sistema de Seguridad Pública del Estado de Guanajuato publicada el 25 de noviembre de 2014, se modifica el INECIPE, cambiando en sus objetivos y denominación, para llamarse ahora Instituto de Formación en Seguridad Pública del Estado (INFOSPE). Y es en el Decreto número 2, emitido por la Sexagésima Cuarta Legislatura Constitucional del Congreso del Estado Libre y Soberano de Guanajuato, de fecha 14 de noviembre de 2018, mediante el cual se reforman, adicionan y derogan diversas disposiciones de la Ley del Sistema de Seguridad Pública del Estado de Guanajuato, quedando como un organismo público descentralizado, con personalidad jurídica y patrimonio propio, sectorizado a la Secretaría y tiene a su cargo la rectoría de la capacitación y profesionalización en materia de seguridad pública.</w:t>
      </w:r>
    </w:p>
    <w:p w14:paraId="412BFF7D" w14:textId="77777777" w:rsidR="002263E1" w:rsidRPr="002263E1" w:rsidRDefault="002263E1" w:rsidP="002263E1">
      <w:pPr>
        <w:tabs>
          <w:tab w:val="left" w:leader="underscore" w:pos="9639"/>
        </w:tabs>
        <w:spacing w:after="0" w:line="240" w:lineRule="auto"/>
        <w:jc w:val="both"/>
        <w:rPr>
          <w:rFonts w:cs="Calibri"/>
        </w:rPr>
      </w:pPr>
    </w:p>
    <w:p w14:paraId="4FF52DD5" w14:textId="77777777" w:rsidR="002263E1" w:rsidRPr="002263E1" w:rsidRDefault="002263E1" w:rsidP="002263E1">
      <w:pPr>
        <w:tabs>
          <w:tab w:val="left" w:leader="underscore" w:pos="9639"/>
        </w:tabs>
        <w:spacing w:after="0" w:line="240" w:lineRule="auto"/>
        <w:jc w:val="both"/>
        <w:rPr>
          <w:rFonts w:cs="Calibri"/>
          <w:b/>
        </w:rPr>
      </w:pPr>
      <w:r w:rsidRPr="002263E1">
        <w:rPr>
          <w:rFonts w:cs="Calibri"/>
          <w:b/>
        </w:rPr>
        <w:t>b) Principales cambios en su estructura (interna históricamente).</w:t>
      </w:r>
    </w:p>
    <w:p w14:paraId="0BEC32E7"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Con fecha 1 de junio del 2021 se reformó el Reglamento Interior del Instituto de Formación en Seguridad Pública del Estado quedando su estructura organizativa de la siguiente manera:</w:t>
      </w:r>
    </w:p>
    <w:p w14:paraId="7F697851" w14:textId="77777777" w:rsidR="002263E1" w:rsidRPr="002263E1" w:rsidRDefault="002263E1" w:rsidP="002263E1">
      <w:pPr>
        <w:tabs>
          <w:tab w:val="left" w:leader="underscore" w:pos="9639"/>
        </w:tabs>
        <w:spacing w:after="0" w:line="240" w:lineRule="auto"/>
        <w:jc w:val="both"/>
        <w:rPr>
          <w:rFonts w:cs="Calibri"/>
        </w:rPr>
      </w:pPr>
    </w:p>
    <w:p w14:paraId="0C39C8AB"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 xml:space="preserve">I. Despacho de la Dirección General </w:t>
      </w:r>
    </w:p>
    <w:p w14:paraId="1FD40ABC"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a) Coordinación de Gestión Directiva.</w:t>
      </w:r>
    </w:p>
    <w:p w14:paraId="24AC9422"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 xml:space="preserve">b) Coordinación Jurídica y de Seguridad Privada. </w:t>
      </w:r>
    </w:p>
    <w:p w14:paraId="0BBB9AEC"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c) Coordinación del Servicio Profesional de Carrera Policial.</w:t>
      </w:r>
    </w:p>
    <w:p w14:paraId="3732F68C"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II. Dirección de Formación Académica</w:t>
      </w:r>
    </w:p>
    <w:p w14:paraId="39293625"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III. Dirección de Formación en Seguridad Pública</w:t>
      </w:r>
    </w:p>
    <w:p w14:paraId="7D0F08BF"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IV. Dirección de Investigación y Análisis de Información</w:t>
      </w:r>
    </w:p>
    <w:p w14:paraId="44CF8963" w14:textId="77777777" w:rsidR="002263E1" w:rsidRPr="002263E1" w:rsidRDefault="002263E1" w:rsidP="002263E1">
      <w:pPr>
        <w:tabs>
          <w:tab w:val="left" w:leader="underscore" w:pos="9639"/>
        </w:tabs>
        <w:spacing w:after="0" w:line="240" w:lineRule="auto"/>
        <w:jc w:val="both"/>
        <w:rPr>
          <w:rFonts w:cs="Calibri"/>
        </w:rPr>
      </w:pPr>
      <w:r w:rsidRPr="002263E1">
        <w:rPr>
          <w:rFonts w:cs="Calibri"/>
        </w:rPr>
        <w:t>VI. Dirección de Administración y Finanzas</w:t>
      </w:r>
    </w:p>
    <w:p w14:paraId="16A215A1" w14:textId="68D67A7F" w:rsidR="00516A8F" w:rsidRPr="00E74967" w:rsidRDefault="002263E1" w:rsidP="002263E1">
      <w:pPr>
        <w:tabs>
          <w:tab w:val="left" w:leader="underscore" w:pos="9639"/>
        </w:tabs>
        <w:spacing w:after="0" w:line="240" w:lineRule="auto"/>
        <w:jc w:val="both"/>
        <w:rPr>
          <w:rFonts w:cs="Calibri"/>
        </w:rPr>
      </w:pPr>
      <w:r w:rsidRPr="002263E1">
        <w:rPr>
          <w:rFonts w:cs="Calibri"/>
        </w:rPr>
        <w:t>VII. Órgano Interno de Control.</w:t>
      </w:r>
    </w:p>
    <w:p w14:paraId="0537849B" w14:textId="77777777" w:rsidR="002263E1" w:rsidRDefault="002263E1" w:rsidP="000C3365">
      <w:pPr>
        <w:pStyle w:val="Ttulo2"/>
        <w:rPr>
          <w:rFonts w:asciiTheme="minorHAnsi" w:hAnsiTheme="minorHAnsi" w:cstheme="minorHAnsi"/>
          <w:b/>
          <w:color w:val="auto"/>
          <w:sz w:val="22"/>
        </w:rPr>
      </w:pPr>
      <w:bookmarkStart w:id="2" w:name="_Toc161472867"/>
    </w:p>
    <w:p w14:paraId="5A494C73" w14:textId="3FFDC33B" w:rsidR="00BE02EB" w:rsidRDefault="00BE02EB" w:rsidP="000C3365">
      <w:pPr>
        <w:pStyle w:val="Ttulo2"/>
        <w:rPr>
          <w:rFonts w:asciiTheme="minorHAnsi" w:hAnsiTheme="minorHAnsi" w:cstheme="minorHAnsi"/>
          <w:b/>
          <w:color w:val="auto"/>
          <w:sz w:val="22"/>
        </w:rPr>
      </w:pPr>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400F08CA" w14:textId="77777777" w:rsidR="002263E1" w:rsidRDefault="002263E1" w:rsidP="002263E1">
      <w:pPr>
        <w:tabs>
          <w:tab w:val="left" w:leader="underscore" w:pos="9639"/>
        </w:tabs>
        <w:spacing w:after="0" w:line="240" w:lineRule="auto"/>
        <w:jc w:val="both"/>
        <w:rPr>
          <w:rFonts w:cs="Calibri"/>
        </w:rPr>
      </w:pPr>
    </w:p>
    <w:p w14:paraId="49B00704" w14:textId="0CA20E66" w:rsidR="002263E1" w:rsidRPr="00E74967" w:rsidRDefault="002263E1" w:rsidP="002263E1">
      <w:pPr>
        <w:tabs>
          <w:tab w:val="left" w:leader="underscore" w:pos="9639"/>
        </w:tabs>
        <w:spacing w:after="0" w:line="240" w:lineRule="auto"/>
        <w:jc w:val="both"/>
        <w:rPr>
          <w:rFonts w:cs="Calibri"/>
        </w:rPr>
      </w:pPr>
      <w:r>
        <w:rPr>
          <w:rFonts w:cs="Calibri"/>
        </w:rPr>
        <w:t>El Instituto de Formación en Seguridad Pública del Estado se le confirió la naturaleza jurídica de un organismo público descentralizado, con personalidad jurídica y patrimonio propio, sectorizado a la Secretaría de Seguridad Pública, que tiene a cargo la rectoría de la capacitación y profesionalización en materia de seguridad pública.</w:t>
      </w:r>
    </w:p>
    <w:p w14:paraId="0305CEA0" w14:textId="77777777" w:rsidR="0012493A" w:rsidRPr="00E74967" w:rsidRDefault="0012493A" w:rsidP="00516A8F">
      <w:pPr>
        <w:tabs>
          <w:tab w:val="left" w:leader="underscore" w:pos="9639"/>
        </w:tabs>
        <w:spacing w:after="0" w:line="240" w:lineRule="auto"/>
        <w:jc w:val="both"/>
        <w:rPr>
          <w:rFonts w:cs="Calibri"/>
        </w:rPr>
      </w:pPr>
    </w:p>
    <w:p w14:paraId="6500E470" w14:textId="77777777" w:rsidR="000B0C27" w:rsidRDefault="000B0C27">
      <w:pPr>
        <w:spacing w:after="0" w:line="240" w:lineRule="auto"/>
        <w:rPr>
          <w:rFonts w:asciiTheme="minorHAnsi" w:eastAsiaTheme="majorEastAsia" w:hAnsiTheme="minorHAnsi" w:cstheme="minorHAnsi"/>
          <w:b/>
          <w:szCs w:val="26"/>
        </w:rPr>
      </w:pPr>
      <w:bookmarkStart w:id="3" w:name="_Toc161472868"/>
      <w:r>
        <w:rPr>
          <w:rFonts w:asciiTheme="minorHAnsi" w:hAnsiTheme="minorHAnsi" w:cstheme="minorHAnsi"/>
          <w:b/>
        </w:rPr>
        <w:br w:type="page"/>
      </w:r>
    </w:p>
    <w:p w14:paraId="08136E94" w14:textId="02287443" w:rsidR="007D1E76" w:rsidRPr="000C3365" w:rsidRDefault="009736CB" w:rsidP="000C3365">
      <w:pPr>
        <w:pStyle w:val="Ttulo2"/>
        <w:rPr>
          <w:rFonts w:asciiTheme="minorHAnsi" w:hAnsiTheme="minorHAnsi" w:cstheme="minorHAnsi"/>
          <w:b/>
          <w:color w:val="auto"/>
          <w:sz w:val="22"/>
        </w:rPr>
      </w:pPr>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67F5632"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E1AADE8" w14:textId="77777777" w:rsidR="007143EF" w:rsidRPr="00E74967" w:rsidRDefault="007143EF" w:rsidP="007143EF">
      <w:pPr>
        <w:tabs>
          <w:tab w:val="left" w:leader="underscore" w:pos="9639"/>
        </w:tabs>
        <w:spacing w:after="0" w:line="240" w:lineRule="auto"/>
        <w:jc w:val="both"/>
        <w:rPr>
          <w:rFonts w:cs="Calibri"/>
        </w:rPr>
      </w:pPr>
      <w:r w:rsidRPr="00FE28C4">
        <w:rPr>
          <w:rFonts w:cs="Calibri"/>
        </w:rPr>
        <w:t>Tendrá por objeto la formación, profesionalización y certificación de los servidores públicos en el área de seguridad pública, a través de la docencia, investigación y extensión; así como la impartición de programas académicos de nivel superior y postgrado, en las diversas áreas de seguridad pública; además la validación y supervisión de los planes y programas de capacitación del personal de los prestadores de servicios de seguridad privada, acreditando a los instructores y a las empresas de capacitación en esta materia, conforme a los términos y condiciones que establezca la reglamentación respectiva, así como los lineamientos emitidos por éste. Para efectos de la Ley General del Sistema Nacional de Seguridad Pública, el Instituto, fungirá como Academia del Estado.</w:t>
      </w:r>
    </w:p>
    <w:p w14:paraId="208E6CC8" w14:textId="77777777" w:rsidR="007143EF" w:rsidRPr="00E74967" w:rsidRDefault="007143EF" w:rsidP="007143EF">
      <w:pPr>
        <w:tabs>
          <w:tab w:val="left" w:leader="underscore" w:pos="9639"/>
        </w:tabs>
        <w:spacing w:after="0" w:line="240" w:lineRule="auto"/>
        <w:jc w:val="both"/>
        <w:rPr>
          <w:rFonts w:cs="Calibri"/>
        </w:rPr>
      </w:pPr>
    </w:p>
    <w:p w14:paraId="12F003C9"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CCDE24E" w14:textId="77777777" w:rsidR="007143EF" w:rsidRPr="00E74967" w:rsidRDefault="007143EF" w:rsidP="007143EF">
      <w:pPr>
        <w:tabs>
          <w:tab w:val="left" w:leader="underscore" w:pos="9639"/>
        </w:tabs>
        <w:spacing w:after="0" w:line="240" w:lineRule="auto"/>
        <w:jc w:val="both"/>
        <w:rPr>
          <w:rFonts w:cs="Calibri"/>
        </w:rPr>
      </w:pPr>
      <w:r w:rsidRPr="00303137">
        <w:rPr>
          <w:rFonts w:cs="Calibri"/>
        </w:rPr>
        <w:t>El Instituto de Formación en Seguridad Pública del Estado (INFOSPE) capacita y profesionaliza permanentemente a las instituciones de seguridad pública del Estado, de las Entidades federativas y sus municipios. Coadyuva con el sistema de seguridad pública, el de justicia penal y en general, con la política criminológica del estado, cuenta con el respaldo de estudios e investigaciones académicas. Además, diseña, desarrolla, evalúa y da seguimiento al programa permanente de capacitación, actualización, especialización y alta dirección para los servidores públicos que conforman el Sistema Estatal de Seguridad Pública, así mismo el INFOSPE, fortalece la formación de investigadores, profesores, especialistas y técnicos en las diversas áreas de las ciencias penales.</w:t>
      </w:r>
    </w:p>
    <w:p w14:paraId="216F8B3A" w14:textId="77777777" w:rsidR="007143EF" w:rsidRPr="00E74967" w:rsidRDefault="007143EF" w:rsidP="007143EF">
      <w:pPr>
        <w:tabs>
          <w:tab w:val="left" w:leader="underscore" w:pos="9639"/>
        </w:tabs>
        <w:spacing w:after="0" w:line="240" w:lineRule="auto"/>
        <w:jc w:val="both"/>
        <w:rPr>
          <w:rFonts w:cs="Calibri"/>
        </w:rPr>
      </w:pPr>
    </w:p>
    <w:p w14:paraId="4F3CEF16"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c)</w:t>
      </w:r>
      <w:r>
        <w:rPr>
          <w:rFonts w:cs="Calibri"/>
        </w:rPr>
        <w:t xml:space="preserve"> Ejercicio fiscal.</w:t>
      </w:r>
    </w:p>
    <w:p w14:paraId="6FACEF9D" w14:textId="741F7030" w:rsidR="007143EF" w:rsidRPr="00E74967" w:rsidRDefault="00AF0090" w:rsidP="007143EF">
      <w:pPr>
        <w:tabs>
          <w:tab w:val="left" w:leader="underscore" w:pos="9639"/>
        </w:tabs>
        <w:spacing w:after="0" w:line="240" w:lineRule="auto"/>
        <w:jc w:val="both"/>
        <w:rPr>
          <w:rFonts w:cs="Calibri"/>
        </w:rPr>
      </w:pPr>
      <w:r w:rsidRPr="00251606">
        <w:rPr>
          <w:rFonts w:cs="Calibri"/>
        </w:rPr>
        <w:t xml:space="preserve">Enero a </w:t>
      </w:r>
      <w:proofErr w:type="gramStart"/>
      <w:r w:rsidR="00570C98" w:rsidRPr="00251606">
        <w:rPr>
          <w:rFonts w:cs="Calibri"/>
        </w:rPr>
        <w:t>Septiembre</w:t>
      </w:r>
      <w:proofErr w:type="gramEnd"/>
      <w:r w:rsidR="000F1690" w:rsidRPr="00251606">
        <w:rPr>
          <w:rFonts w:cs="Calibri"/>
        </w:rPr>
        <w:t xml:space="preserve"> 2024</w:t>
      </w:r>
      <w:r w:rsidR="00251606">
        <w:rPr>
          <w:rFonts w:cs="Calibri"/>
        </w:rPr>
        <w:t>.</w:t>
      </w:r>
    </w:p>
    <w:p w14:paraId="587144F5" w14:textId="77777777" w:rsidR="007143EF" w:rsidRPr="00E74967" w:rsidRDefault="007143EF" w:rsidP="007143EF">
      <w:pPr>
        <w:tabs>
          <w:tab w:val="left" w:leader="underscore" w:pos="9639"/>
        </w:tabs>
        <w:spacing w:after="0" w:line="240" w:lineRule="auto"/>
        <w:jc w:val="both"/>
        <w:rPr>
          <w:rFonts w:cs="Calibri"/>
        </w:rPr>
      </w:pPr>
    </w:p>
    <w:p w14:paraId="0C6F4CA4"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d)</w:t>
      </w:r>
      <w:r>
        <w:rPr>
          <w:rFonts w:cs="Calibri"/>
        </w:rPr>
        <w:t xml:space="preserve"> Régimen jurídico</w:t>
      </w:r>
    </w:p>
    <w:p w14:paraId="24DBD6B1" w14:textId="77777777" w:rsidR="007143EF" w:rsidRPr="00E74967" w:rsidRDefault="007143EF" w:rsidP="007143EF">
      <w:pPr>
        <w:tabs>
          <w:tab w:val="left" w:leader="underscore" w:pos="9639"/>
        </w:tabs>
        <w:spacing w:after="0" w:line="240" w:lineRule="auto"/>
        <w:jc w:val="both"/>
        <w:rPr>
          <w:rFonts w:cs="Calibri"/>
        </w:rPr>
      </w:pPr>
      <w:r w:rsidRPr="00E46D62">
        <w:rPr>
          <w:rFonts w:cs="Calibri"/>
        </w:rPr>
        <w:t>Persona Moral sin fines de Lucro</w:t>
      </w:r>
    </w:p>
    <w:p w14:paraId="20C81719" w14:textId="77777777" w:rsidR="007143EF" w:rsidRPr="00E74967" w:rsidRDefault="007143EF" w:rsidP="007143EF">
      <w:pPr>
        <w:tabs>
          <w:tab w:val="left" w:leader="underscore" w:pos="9639"/>
        </w:tabs>
        <w:spacing w:after="0" w:line="240" w:lineRule="auto"/>
        <w:jc w:val="both"/>
        <w:rPr>
          <w:rFonts w:cs="Calibri"/>
        </w:rPr>
      </w:pPr>
    </w:p>
    <w:p w14:paraId="372AE8E8"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tbl>
      <w:tblPr>
        <w:tblW w:w="10207" w:type="dxa"/>
        <w:tblInd w:w="-292" w:type="dxa"/>
        <w:tblCellMar>
          <w:left w:w="0" w:type="dxa"/>
          <w:right w:w="0" w:type="dxa"/>
        </w:tblCellMar>
        <w:tblLook w:val="0000" w:firstRow="0" w:lastRow="0" w:firstColumn="0" w:lastColumn="0" w:noHBand="0" w:noVBand="0"/>
      </w:tblPr>
      <w:tblGrid>
        <w:gridCol w:w="10207"/>
      </w:tblGrid>
      <w:tr w:rsidR="007143EF" w:rsidRPr="00A57910" w14:paraId="41915791" w14:textId="77777777" w:rsidTr="000F1690">
        <w:trPr>
          <w:trHeight w:val="1159"/>
        </w:trPr>
        <w:tc>
          <w:tcPr>
            <w:tcW w:w="10207" w:type="dxa"/>
            <w:tcBorders>
              <w:top w:val="single" w:sz="6" w:space="0" w:color="000000"/>
              <w:left w:val="single" w:sz="6" w:space="0" w:color="000000"/>
              <w:bottom w:val="single" w:sz="6" w:space="0" w:color="000000"/>
              <w:right w:val="single" w:sz="6" w:space="0" w:color="000000"/>
            </w:tcBorders>
            <w:tcMar>
              <w:top w:w="0" w:type="dxa"/>
              <w:left w:w="69" w:type="dxa"/>
              <w:bottom w:w="0" w:type="dxa"/>
              <w:right w:w="69" w:type="dxa"/>
            </w:tcMar>
          </w:tcPr>
          <w:p w14:paraId="0435E96C" w14:textId="77777777" w:rsidR="007143EF" w:rsidRPr="00A57910" w:rsidRDefault="007143EF" w:rsidP="00185E13">
            <w:pPr>
              <w:pStyle w:val="P9"/>
              <w:rPr>
                <w:sz w:val="20"/>
              </w:rPr>
            </w:pPr>
            <w:r w:rsidRPr="00A57910">
              <w:rPr>
                <w:sz w:val="20"/>
              </w:rPr>
              <w:t>Federal</w:t>
            </w:r>
          </w:p>
          <w:p w14:paraId="2F465167" w14:textId="77777777" w:rsidR="007143EF" w:rsidRPr="00A57910" w:rsidRDefault="007143EF" w:rsidP="00185E13">
            <w:pPr>
              <w:pStyle w:val="P10"/>
              <w:rPr>
                <w:b w:val="0"/>
              </w:rPr>
            </w:pPr>
            <w:r w:rsidRPr="00A57910">
              <w:rPr>
                <w:b w:val="0"/>
              </w:rPr>
              <w:t xml:space="preserve">Declaración y pago provisional mensual de retenciones de ISR por sueldos y salarios. </w:t>
            </w:r>
          </w:p>
          <w:p w14:paraId="37ADBB21" w14:textId="77777777" w:rsidR="007143EF" w:rsidRPr="00A57910" w:rsidRDefault="007143EF" w:rsidP="00185E13">
            <w:pPr>
              <w:pStyle w:val="P10"/>
              <w:rPr>
                <w:b w:val="0"/>
              </w:rPr>
            </w:pPr>
            <w:r w:rsidRPr="00A57910">
              <w:rPr>
                <w:b w:val="0"/>
              </w:rPr>
              <w:t xml:space="preserve">Declaración y pago provisional mensual de ISR por las retenciones realizadas a los trabajadores asimilados a salarios. </w:t>
            </w:r>
          </w:p>
          <w:p w14:paraId="1EF0AB3F" w14:textId="77777777" w:rsidR="007143EF" w:rsidRPr="00A57910" w:rsidRDefault="007143EF" w:rsidP="00185E13">
            <w:pPr>
              <w:pStyle w:val="P10"/>
              <w:rPr>
                <w:b w:val="0"/>
              </w:rPr>
            </w:pPr>
            <w:r w:rsidRPr="00A57910">
              <w:rPr>
                <w:b w:val="0"/>
              </w:rPr>
              <w:t xml:space="preserve">Declaración mensual sobre las operaciones con terceros para efectos de IVA. </w:t>
            </w:r>
          </w:p>
          <w:p w14:paraId="11E64397" w14:textId="77777777" w:rsidR="007143EF" w:rsidRPr="00A57910" w:rsidRDefault="007143EF" w:rsidP="00185E13">
            <w:pPr>
              <w:pStyle w:val="P10"/>
              <w:rPr>
                <w:b w:val="0"/>
              </w:rPr>
            </w:pPr>
            <w:r w:rsidRPr="00A57910">
              <w:rPr>
                <w:b w:val="0"/>
              </w:rPr>
              <w:t xml:space="preserve">Declaración y pago provisional mensual de ISR por las retenciones realizadas por servicios profesionales. </w:t>
            </w:r>
          </w:p>
          <w:p w14:paraId="49BBB812" w14:textId="77777777" w:rsidR="007143EF" w:rsidRPr="00A57910" w:rsidRDefault="007143EF" w:rsidP="00185E13">
            <w:pPr>
              <w:pStyle w:val="P9"/>
              <w:rPr>
                <w:b w:val="0"/>
                <w:sz w:val="20"/>
              </w:rPr>
            </w:pPr>
          </w:p>
        </w:tc>
      </w:tr>
      <w:tr w:rsidR="007143EF" w:rsidRPr="00A57910" w14:paraId="76B5EBB5" w14:textId="77777777" w:rsidTr="000F1690">
        <w:trPr>
          <w:trHeight w:val="672"/>
        </w:trPr>
        <w:tc>
          <w:tcPr>
            <w:tcW w:w="10207" w:type="dxa"/>
            <w:tcBorders>
              <w:top w:val="single" w:sz="6" w:space="0" w:color="000000"/>
              <w:left w:val="single" w:sz="6" w:space="0" w:color="000000"/>
              <w:bottom w:val="single" w:sz="6" w:space="0" w:color="000000"/>
              <w:right w:val="single" w:sz="6" w:space="0" w:color="000000"/>
            </w:tcBorders>
            <w:tcMar>
              <w:top w:w="0" w:type="dxa"/>
              <w:left w:w="69" w:type="dxa"/>
              <w:bottom w:w="0" w:type="dxa"/>
              <w:right w:w="69" w:type="dxa"/>
            </w:tcMar>
          </w:tcPr>
          <w:p w14:paraId="7FD92505" w14:textId="77777777" w:rsidR="007143EF" w:rsidRPr="00A57910" w:rsidRDefault="007143EF" w:rsidP="00185E13">
            <w:pPr>
              <w:pStyle w:val="P9"/>
              <w:rPr>
                <w:sz w:val="20"/>
              </w:rPr>
            </w:pPr>
            <w:r w:rsidRPr="00A57910">
              <w:rPr>
                <w:sz w:val="20"/>
              </w:rPr>
              <w:t>Estatal</w:t>
            </w:r>
          </w:p>
          <w:p w14:paraId="486966F9" w14:textId="77777777" w:rsidR="007143EF" w:rsidRPr="00A57910" w:rsidRDefault="007143EF" w:rsidP="00185E13">
            <w:pPr>
              <w:pStyle w:val="P10"/>
              <w:rPr>
                <w:b w:val="0"/>
              </w:rPr>
            </w:pPr>
            <w:r w:rsidRPr="00A57910">
              <w:rPr>
                <w:b w:val="0"/>
              </w:rPr>
              <w:t>Declaración y pago provisional mensual del Impuesto sobre Nóminas.</w:t>
            </w:r>
          </w:p>
          <w:p w14:paraId="0EA02C89" w14:textId="77777777" w:rsidR="007143EF" w:rsidRPr="00A57910" w:rsidRDefault="007143EF" w:rsidP="00185E13">
            <w:pPr>
              <w:pStyle w:val="P10"/>
              <w:rPr>
                <w:b w:val="0"/>
              </w:rPr>
            </w:pPr>
            <w:r w:rsidRPr="00A57910">
              <w:rPr>
                <w:b w:val="0"/>
              </w:rPr>
              <w:t>Declaración y pago provisional mensual del Impuesto Cedular retenido por servicios profesionales.</w:t>
            </w:r>
          </w:p>
          <w:p w14:paraId="31D94196" w14:textId="77777777" w:rsidR="007143EF" w:rsidRPr="00A57910" w:rsidRDefault="007143EF" w:rsidP="00185E13">
            <w:pPr>
              <w:pStyle w:val="P10"/>
              <w:rPr>
                <w:b w:val="0"/>
              </w:rPr>
            </w:pPr>
          </w:p>
        </w:tc>
      </w:tr>
    </w:tbl>
    <w:p w14:paraId="47F9FF5D" w14:textId="77777777" w:rsidR="000F1690" w:rsidRDefault="000F1690" w:rsidP="000F1690">
      <w:pPr>
        <w:tabs>
          <w:tab w:val="left" w:leader="underscore" w:pos="9639"/>
        </w:tabs>
        <w:spacing w:after="0" w:line="240" w:lineRule="auto"/>
        <w:jc w:val="both"/>
        <w:rPr>
          <w:rFonts w:cs="Calibri"/>
          <w:b/>
          <w:highlight w:val="yellow"/>
        </w:rPr>
      </w:pPr>
    </w:p>
    <w:p w14:paraId="475DFE13" w14:textId="77777777" w:rsidR="000F1690" w:rsidRDefault="000F1690">
      <w:pPr>
        <w:spacing w:after="0" w:line="240" w:lineRule="auto"/>
        <w:rPr>
          <w:rFonts w:cs="Calibri"/>
          <w:b/>
          <w:highlight w:val="yellow"/>
        </w:rPr>
      </w:pPr>
      <w:r>
        <w:rPr>
          <w:rFonts w:cs="Calibri"/>
          <w:b/>
          <w:highlight w:val="yellow"/>
        </w:rPr>
        <w:br w:type="page"/>
      </w:r>
    </w:p>
    <w:p w14:paraId="7A7E95E9" w14:textId="0C8E3D79" w:rsidR="000F1690" w:rsidRPr="00E74967" w:rsidRDefault="000F1690" w:rsidP="000F1690">
      <w:pPr>
        <w:tabs>
          <w:tab w:val="left" w:leader="underscore" w:pos="9639"/>
        </w:tabs>
        <w:spacing w:after="0" w:line="240" w:lineRule="auto"/>
        <w:jc w:val="both"/>
        <w:rPr>
          <w:rFonts w:cs="Calibri"/>
        </w:rPr>
      </w:pPr>
      <w:r w:rsidRPr="000F1690">
        <w:rPr>
          <w:rFonts w:cs="Calibri"/>
          <w:b/>
        </w:rPr>
        <w:t>f)</w:t>
      </w:r>
      <w:r w:rsidRPr="000F1690">
        <w:rPr>
          <w:rFonts w:cs="Calibri"/>
        </w:rPr>
        <w:t xml:space="preserve"> </w:t>
      </w:r>
      <w:r w:rsidRPr="00251606">
        <w:rPr>
          <w:rFonts w:cs="Calibri"/>
        </w:rPr>
        <w:t>Estructura organizacional básica.</w:t>
      </w:r>
    </w:p>
    <w:p w14:paraId="3C208540" w14:textId="1D2CD68D" w:rsidR="007143EF" w:rsidRDefault="00570C98" w:rsidP="007143EF">
      <w:pPr>
        <w:tabs>
          <w:tab w:val="left" w:leader="underscore" w:pos="9639"/>
        </w:tabs>
        <w:spacing w:after="0" w:line="240" w:lineRule="auto"/>
        <w:jc w:val="both"/>
        <w:rPr>
          <w:rFonts w:cs="Calibri"/>
        </w:rPr>
      </w:pPr>
      <w:r>
        <w:rPr>
          <w:noProof/>
          <w:lang w:eastAsia="es-MX"/>
        </w:rPr>
        <w:drawing>
          <wp:inline distT="0" distB="0" distL="0" distR="0" wp14:anchorId="5C2F940C" wp14:editId="4EE5FF2F">
            <wp:extent cx="6552265" cy="4799321"/>
            <wp:effectExtent l="0" t="0" r="1270" b="1905"/>
            <wp:docPr id="531746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46968" name=""/>
                    <pic:cNvPicPr/>
                  </pic:nvPicPr>
                  <pic:blipFill rotWithShape="1">
                    <a:blip r:embed="rId11"/>
                    <a:srcRect l="28025" t="18165" r="12365" b="4220"/>
                    <a:stretch/>
                  </pic:blipFill>
                  <pic:spPr bwMode="auto">
                    <a:xfrm>
                      <a:off x="0" y="0"/>
                      <a:ext cx="6565615" cy="4809099"/>
                    </a:xfrm>
                    <a:prstGeom prst="rect">
                      <a:avLst/>
                    </a:prstGeom>
                    <a:ln>
                      <a:noFill/>
                    </a:ln>
                    <a:extLst>
                      <a:ext uri="{53640926-AAD7-44D8-BBD7-CCE9431645EC}">
                        <a14:shadowObscured xmlns:a14="http://schemas.microsoft.com/office/drawing/2010/main"/>
                      </a:ext>
                    </a:extLst>
                  </pic:spPr>
                </pic:pic>
              </a:graphicData>
            </a:graphic>
          </wp:inline>
        </w:drawing>
      </w: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01399B0E" w:rsidR="007D1E76" w:rsidRPr="00E74967" w:rsidRDefault="007143EF"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 ya que no se cuenta con fideicomisos.</w:t>
      </w:r>
    </w:p>
    <w:p w14:paraId="4241EF36" w14:textId="7E6E2FBC" w:rsidR="007D1E76" w:rsidRDefault="007D1E76"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8D6D364"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Estados Financieros son emitidos de conformidad con la Ley General de Contabilidad Gubernamental vigente, las reglas de registro, postulados básicos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0C60105"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El Sistema de Contabilidad Gubernamental está conformado por el conjunto de registros, procedimientos, criterios e informes estructurados sobre la base de principios técnicos comunes destinados a captar, valuar, registrar, procesar, exponer e interpretar en forma sistemática, las transacciones, transformaciones y eventos identificables y cuantificables que, derivados de la actividad económica y expresados en términos monetarios, modifican la situación patrimonial de los entes públicos en particular y de las finanzas públicas en general. El SCG, al que está sujeto el Instituto, registrará de manera armónica, delimitada y específica las operaciones presupuestarias y contables derivadas de la gestión pública, así como otros flujos económicos. De igual forma, generará periódicamente estados financieros de los entes públicos, confiables, oportunos, comprensibles, periódicos y comparables, expresados en términos monetarios. </w:t>
      </w:r>
    </w:p>
    <w:p w14:paraId="4721BC10"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La normatividad aplicada es la que nos señala el CONAC;</w:t>
      </w:r>
    </w:p>
    <w:p w14:paraId="743881D6"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Principales reglas de registro y valoración del patrimonio</w:t>
      </w:r>
    </w:p>
    <w:p w14:paraId="36D9D3BF"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Normas y metodología para la determinación de los momentos contables de los ingresos</w:t>
      </w:r>
    </w:p>
    <w:p w14:paraId="5D9D1A88"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Normas y metodología para la determinación de los momentos contables de los egresos</w:t>
      </w:r>
    </w:p>
    <w:p w14:paraId="6F0FAC92"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La Contabilidad Gubernamental aplicada en el Instituto </w:t>
      </w:r>
    </w:p>
    <w:p w14:paraId="475C3CB9" w14:textId="77777777" w:rsidR="007143EF" w:rsidRPr="0058724C" w:rsidRDefault="007143EF" w:rsidP="007143EF">
      <w:pPr>
        <w:tabs>
          <w:tab w:val="left" w:leader="underscore" w:pos="9639"/>
        </w:tabs>
        <w:spacing w:after="0" w:line="240" w:lineRule="auto"/>
        <w:jc w:val="both"/>
        <w:rPr>
          <w:rFonts w:cs="Calibri"/>
        </w:rPr>
      </w:pPr>
    </w:p>
    <w:p w14:paraId="38925D66"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La Ley de Contabilidad identifica a los entes públicos de cada orden de gobierno e instituye las normas y responsabilidades de los mismos con respecto a la contabilidad gubernamental. </w:t>
      </w:r>
    </w:p>
    <w:p w14:paraId="6215E3E0" w14:textId="77777777" w:rsidR="007143EF" w:rsidRPr="0058724C" w:rsidRDefault="007143EF" w:rsidP="007143EF">
      <w:pPr>
        <w:tabs>
          <w:tab w:val="left" w:leader="underscore" w:pos="9639"/>
        </w:tabs>
        <w:spacing w:after="0" w:line="240" w:lineRule="auto"/>
        <w:jc w:val="both"/>
        <w:rPr>
          <w:rFonts w:cs="Calibri"/>
        </w:rPr>
      </w:pPr>
    </w:p>
    <w:p w14:paraId="7CD3EFB3"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El Artículo 4 fracción XII de la Ley de Contabilidad, establece que son “Entes públicos: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699F925F" w14:textId="77777777" w:rsidR="007143EF" w:rsidRPr="0058724C" w:rsidRDefault="007143EF" w:rsidP="007143EF">
      <w:pPr>
        <w:tabs>
          <w:tab w:val="left" w:leader="underscore" w:pos="9639"/>
        </w:tabs>
        <w:spacing w:after="0" w:line="240" w:lineRule="auto"/>
        <w:jc w:val="both"/>
        <w:rPr>
          <w:rFonts w:cs="Calibri"/>
        </w:rPr>
      </w:pPr>
    </w:p>
    <w:p w14:paraId="29BF3987"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 xml:space="preserve">Por su parte, el Artículo 2 dispone que “Los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w:t>
      </w:r>
    </w:p>
    <w:p w14:paraId="280EC2EA" w14:textId="77777777" w:rsidR="007143EF" w:rsidRPr="0058724C" w:rsidRDefault="007143EF" w:rsidP="007143EF">
      <w:pPr>
        <w:tabs>
          <w:tab w:val="left" w:leader="underscore" w:pos="9639"/>
        </w:tabs>
        <w:spacing w:after="0" w:line="240" w:lineRule="auto"/>
        <w:jc w:val="both"/>
        <w:rPr>
          <w:rFonts w:cs="Calibri"/>
        </w:rPr>
      </w:pPr>
    </w:p>
    <w:p w14:paraId="595860CD"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Dicha contabilidad, tal como lo establece la citada Ley, deberá seguir las mejores prácticas contables nacionales e internacionales en apoyo a las tareas de planeación financiera, control de recursos, análisis y fiscalización. Asimismo, dispone en su Artículo 17 que “cada ente público será responsable de su contabilidad, de la operación del sistema; así como del cumplimiento de lo dispuesto por Ley y las decisiones que emita el Consejo”.</w:t>
      </w:r>
    </w:p>
    <w:p w14:paraId="2E86717D"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Finalmente, el Artículo 52 señala que “Los entes públicos deberán elaborar los estados de conformidad con las disposiciones normativas y técnicas que emanen de esta Ley o que emita el consejo”.</w:t>
      </w:r>
    </w:p>
    <w:p w14:paraId="76BC9A27" w14:textId="77777777" w:rsidR="007143EF" w:rsidRPr="00E74967" w:rsidRDefault="007143EF" w:rsidP="007143EF">
      <w:pPr>
        <w:tabs>
          <w:tab w:val="left" w:leader="underscore" w:pos="9639"/>
        </w:tabs>
        <w:spacing w:after="0" w:line="240" w:lineRule="auto"/>
        <w:jc w:val="both"/>
        <w:rPr>
          <w:rFonts w:cs="Calibri"/>
        </w:rPr>
      </w:pPr>
    </w:p>
    <w:p w14:paraId="3C72D0E4" w14:textId="77777777" w:rsidR="007143EF" w:rsidRPr="00E74967" w:rsidRDefault="007143EF" w:rsidP="007143EF">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BC48516" w14:textId="77777777" w:rsidR="007143EF" w:rsidRDefault="007143EF" w:rsidP="007143EF">
      <w:pPr>
        <w:tabs>
          <w:tab w:val="left" w:leader="underscore" w:pos="9639"/>
        </w:tabs>
        <w:spacing w:after="0" w:line="240" w:lineRule="auto"/>
        <w:jc w:val="both"/>
        <w:rPr>
          <w:rFonts w:cs="Calibri"/>
        </w:rPr>
      </w:pPr>
    </w:p>
    <w:p w14:paraId="5D3250B1"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postulados sustentan de manera técnica el registro de las operaciones, la elaboración y presentación de estados financieros; basados en su razonamiento, eficiencia demostrada, respaldo en legislación especializada y aplicación de la Ley General de Contabilidad Gubernamental, con la finalidad de uniformar los métodos, procedimientos y prácticas contables y otro</w:t>
      </w:r>
      <w:r>
        <w:rPr>
          <w:rFonts w:cs="Calibri"/>
        </w:rPr>
        <w:t>s eventos que afectan al INFOSPE</w:t>
      </w:r>
    </w:p>
    <w:p w14:paraId="6E4E7CE0"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A continuación, se presentan y explican los Postulados Básicos de Contabilidad Gubernamental:</w:t>
      </w:r>
    </w:p>
    <w:p w14:paraId="541990C3" w14:textId="77777777" w:rsidR="007143EF" w:rsidRPr="0058724C" w:rsidRDefault="007143EF" w:rsidP="007143EF">
      <w:pPr>
        <w:tabs>
          <w:tab w:val="left" w:leader="underscore" w:pos="9639"/>
        </w:tabs>
        <w:spacing w:after="0" w:line="240" w:lineRule="auto"/>
        <w:jc w:val="both"/>
        <w:rPr>
          <w:rFonts w:cs="Calibri"/>
        </w:rPr>
      </w:pPr>
      <w:r>
        <w:rPr>
          <w:rFonts w:cs="Calibri"/>
        </w:rPr>
        <w:t>1)</w:t>
      </w:r>
      <w:r w:rsidRPr="0058724C">
        <w:rPr>
          <w:rFonts w:cs="Calibri"/>
        </w:rPr>
        <w:t>SUSTANCIA ECONÓMICA</w:t>
      </w:r>
    </w:p>
    <w:p w14:paraId="73D37E8D"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Es el reconocimiento contable de las transacciones, transformaciones internas y otros eventos, que afectan económicamente al ente público y delimitan la operación del Sistema de Contabilidad Gubernamental (SCG).</w:t>
      </w:r>
    </w:p>
    <w:p w14:paraId="13AACEC7" w14:textId="77777777" w:rsidR="007143EF" w:rsidRPr="0058724C" w:rsidRDefault="007143EF" w:rsidP="007143EF">
      <w:pPr>
        <w:tabs>
          <w:tab w:val="left" w:leader="underscore" w:pos="9639"/>
        </w:tabs>
        <w:spacing w:after="0" w:line="240" w:lineRule="auto"/>
        <w:jc w:val="both"/>
        <w:rPr>
          <w:rFonts w:cs="Calibri"/>
        </w:rPr>
      </w:pPr>
      <w:r>
        <w:rPr>
          <w:rFonts w:cs="Calibri"/>
        </w:rPr>
        <w:t>2)</w:t>
      </w:r>
      <w:r w:rsidRPr="0058724C">
        <w:rPr>
          <w:rFonts w:cs="Calibri"/>
        </w:rPr>
        <w:t>ENTES PÚBLICOS</w:t>
      </w:r>
    </w:p>
    <w:p w14:paraId="1ACB5CF8"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06BA642C"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3)EXISTENCIA PERMANENTE</w:t>
      </w:r>
    </w:p>
    <w:p w14:paraId="37A1A9CD"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La actividad del ente público se establece por tiempo indefinido, salvo disposición legal en la que se especifique lo contrario.</w:t>
      </w:r>
    </w:p>
    <w:p w14:paraId="4FFBF1B1" w14:textId="77777777" w:rsidR="007143EF" w:rsidRPr="0058724C" w:rsidRDefault="007143EF" w:rsidP="007143EF">
      <w:pPr>
        <w:tabs>
          <w:tab w:val="left" w:leader="underscore" w:pos="9639"/>
        </w:tabs>
        <w:spacing w:after="0" w:line="240" w:lineRule="auto"/>
        <w:jc w:val="both"/>
        <w:rPr>
          <w:rFonts w:cs="Calibri"/>
        </w:rPr>
      </w:pPr>
      <w:r>
        <w:rPr>
          <w:rFonts w:cs="Calibri"/>
        </w:rPr>
        <w:t>4)</w:t>
      </w:r>
      <w:r w:rsidRPr="0058724C">
        <w:rPr>
          <w:rFonts w:cs="Calibri"/>
        </w:rPr>
        <w:t>REVELACIÓN SUFICIENTE</w:t>
      </w:r>
    </w:p>
    <w:p w14:paraId="0F73F370"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estados y la información financiera deben mostrar amplia y claramente la situación financiera y los resultados del ente público.</w:t>
      </w:r>
    </w:p>
    <w:p w14:paraId="6E4EC4E2" w14:textId="77777777" w:rsidR="007143EF" w:rsidRPr="0058724C" w:rsidRDefault="007143EF" w:rsidP="007143EF">
      <w:pPr>
        <w:tabs>
          <w:tab w:val="left" w:leader="underscore" w:pos="9639"/>
        </w:tabs>
        <w:spacing w:after="0" w:line="240" w:lineRule="auto"/>
        <w:jc w:val="both"/>
        <w:rPr>
          <w:rFonts w:cs="Calibri"/>
        </w:rPr>
      </w:pPr>
      <w:r>
        <w:rPr>
          <w:rFonts w:cs="Calibri"/>
        </w:rPr>
        <w:t>5)</w:t>
      </w:r>
      <w:r w:rsidRPr="0058724C">
        <w:rPr>
          <w:rFonts w:cs="Calibri"/>
        </w:rPr>
        <w:t>IMPORTANCIA RELATIVA</w:t>
      </w:r>
    </w:p>
    <w:p w14:paraId="5EE410F4"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La información debe mostrar los aspectos importantes de la entidad que fueron reconocidos contablemente.</w:t>
      </w:r>
    </w:p>
    <w:p w14:paraId="6E6B4E68" w14:textId="77777777" w:rsidR="007143EF" w:rsidRPr="0058724C" w:rsidRDefault="007143EF" w:rsidP="007143EF">
      <w:pPr>
        <w:tabs>
          <w:tab w:val="left" w:leader="underscore" w:pos="9639"/>
        </w:tabs>
        <w:spacing w:after="0" w:line="240" w:lineRule="auto"/>
        <w:jc w:val="both"/>
        <w:rPr>
          <w:rFonts w:cs="Calibri"/>
        </w:rPr>
      </w:pPr>
      <w:r>
        <w:rPr>
          <w:rFonts w:cs="Calibri"/>
        </w:rPr>
        <w:t>6)</w:t>
      </w:r>
      <w:r w:rsidRPr="0058724C">
        <w:rPr>
          <w:rFonts w:cs="Calibri"/>
        </w:rPr>
        <w:t>REGIST</w:t>
      </w:r>
      <w:r>
        <w:rPr>
          <w:rFonts w:cs="Calibri"/>
        </w:rPr>
        <w:t>RO E INTEGRACIÓN PRESUPUESTARIA</w:t>
      </w:r>
    </w:p>
    <w:p w14:paraId="25ABEFF5"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La información presupuestaria de los entes públicos se integra en la contabilidad en los mismos términos que se presentan en la ley de Ingresos y en el Decreto del Presupuesto Egresos, de acuerdo a la naturaleza económica que le corresponda.</w:t>
      </w:r>
    </w:p>
    <w:p w14:paraId="50214D5D"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El registro presupuestario del ingreso y del egreso en los entes públicos se debe reflejar en la contabilidad, considerando sus efectos patrimoniales y su vinculación con las etapas presupuestarias correspondientes.</w:t>
      </w:r>
    </w:p>
    <w:p w14:paraId="28A1CDF1" w14:textId="77777777" w:rsidR="007143EF" w:rsidRPr="0058724C" w:rsidRDefault="007143EF" w:rsidP="007143EF">
      <w:pPr>
        <w:tabs>
          <w:tab w:val="left" w:leader="underscore" w:pos="9639"/>
        </w:tabs>
        <w:spacing w:after="0" w:line="240" w:lineRule="auto"/>
        <w:jc w:val="both"/>
        <w:rPr>
          <w:rFonts w:cs="Calibri"/>
        </w:rPr>
      </w:pPr>
      <w:r>
        <w:rPr>
          <w:rFonts w:cs="Calibri"/>
        </w:rPr>
        <w:t>7)</w:t>
      </w:r>
      <w:r w:rsidRPr="0058724C">
        <w:rPr>
          <w:rFonts w:cs="Calibri"/>
        </w:rPr>
        <w:t>CONSOLIDACIÓN DE LA INFORMACIÓN FINANCIERA</w:t>
      </w:r>
    </w:p>
    <w:p w14:paraId="62665244"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D465757" w14:textId="77777777" w:rsidR="007143EF" w:rsidRPr="0058724C" w:rsidRDefault="007143EF" w:rsidP="007143EF">
      <w:pPr>
        <w:tabs>
          <w:tab w:val="left" w:leader="underscore" w:pos="9639"/>
        </w:tabs>
        <w:spacing w:after="0" w:line="240" w:lineRule="auto"/>
        <w:jc w:val="both"/>
        <w:rPr>
          <w:rFonts w:cs="Calibri"/>
        </w:rPr>
      </w:pPr>
      <w:r>
        <w:rPr>
          <w:rFonts w:cs="Calibri"/>
        </w:rPr>
        <w:t>8)</w:t>
      </w:r>
      <w:r w:rsidRPr="0058724C">
        <w:rPr>
          <w:rFonts w:cs="Calibri"/>
        </w:rPr>
        <w:t>DEVENGO CONTABLE</w:t>
      </w:r>
    </w:p>
    <w:p w14:paraId="6E919C0A"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Los registros contables de los entes públicos se llevarán con base acumulativa. El ingreso devengado, es el momento contable que se realiza cuando existe jurídicamente el derecho de cobro en los impuestos, cuotas y aportaciones de seguridad social, contribuciones de mejoras, derechos, productos, aprovechamientos, financiamientos internos y externos; así como de la venta de bienes y servicios, además de participaciones, aportaciones, recursos convenios y otros ingresos por parte de los entes públicos. En el caso de resoluciones en firme (definitivas) y pago en parcialidades, respectivamente.  El gasto devengado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631C1A00" w14:textId="77777777" w:rsidR="007143EF" w:rsidRPr="0058724C" w:rsidRDefault="007143EF" w:rsidP="007143EF">
      <w:pPr>
        <w:tabs>
          <w:tab w:val="left" w:leader="underscore" w:pos="9639"/>
        </w:tabs>
        <w:spacing w:after="0" w:line="240" w:lineRule="auto"/>
        <w:jc w:val="both"/>
        <w:rPr>
          <w:rFonts w:cs="Calibri"/>
        </w:rPr>
      </w:pPr>
      <w:r>
        <w:rPr>
          <w:rFonts w:cs="Calibri"/>
        </w:rPr>
        <w:t>9)</w:t>
      </w:r>
      <w:r w:rsidRPr="0058724C">
        <w:rPr>
          <w:rFonts w:cs="Calibri"/>
        </w:rPr>
        <w:t>VALUACIÓN</w:t>
      </w:r>
    </w:p>
    <w:p w14:paraId="481E6145"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Todos los eventos que afecten económicamente al ente público deben ser cuantificados en términos monetarios y se registrarán al costo histórico o al valor económico más objetivo registrándose en moneda nacional.</w:t>
      </w:r>
    </w:p>
    <w:p w14:paraId="508663CA" w14:textId="77777777" w:rsidR="007143EF" w:rsidRPr="0058724C" w:rsidRDefault="007143EF" w:rsidP="007143EF">
      <w:pPr>
        <w:tabs>
          <w:tab w:val="left" w:leader="underscore" w:pos="9639"/>
        </w:tabs>
        <w:spacing w:after="0" w:line="240" w:lineRule="auto"/>
        <w:jc w:val="both"/>
        <w:rPr>
          <w:rFonts w:cs="Calibri"/>
        </w:rPr>
      </w:pPr>
      <w:r>
        <w:rPr>
          <w:rFonts w:cs="Calibri"/>
        </w:rPr>
        <w:t xml:space="preserve">a) </w:t>
      </w:r>
      <w:r w:rsidRPr="0058724C">
        <w:rPr>
          <w:rFonts w:cs="Calibri"/>
        </w:rPr>
        <w:t>La información reflejada en los estados financieros deberá ser revaluada aplicando los métodos y lineamientos que para tal efecto emita el CONAC.</w:t>
      </w:r>
    </w:p>
    <w:p w14:paraId="4EAF2069" w14:textId="77777777" w:rsidR="007143EF" w:rsidRPr="0058724C" w:rsidRDefault="007143EF" w:rsidP="007143EF">
      <w:pPr>
        <w:tabs>
          <w:tab w:val="left" w:leader="underscore" w:pos="9639"/>
        </w:tabs>
        <w:spacing w:after="0" w:line="240" w:lineRule="auto"/>
        <w:jc w:val="both"/>
        <w:rPr>
          <w:rFonts w:cs="Calibri"/>
        </w:rPr>
      </w:pPr>
      <w:r>
        <w:rPr>
          <w:rFonts w:cs="Calibri"/>
        </w:rPr>
        <w:t>10)</w:t>
      </w:r>
      <w:r w:rsidRPr="0058724C">
        <w:rPr>
          <w:rFonts w:cs="Calibri"/>
        </w:rPr>
        <w:t>DUALIDAD ECONÓMICA</w:t>
      </w:r>
    </w:p>
    <w:p w14:paraId="2F7B48CB" w14:textId="77777777" w:rsidR="007143EF" w:rsidRPr="0058724C" w:rsidRDefault="007143EF" w:rsidP="007143EF">
      <w:pPr>
        <w:tabs>
          <w:tab w:val="left" w:leader="underscore" w:pos="9639"/>
        </w:tabs>
        <w:spacing w:after="0" w:line="240" w:lineRule="auto"/>
        <w:jc w:val="both"/>
        <w:rPr>
          <w:rFonts w:cs="Calibri"/>
        </w:rPr>
      </w:pPr>
      <w:r w:rsidRPr="0058724C">
        <w:rPr>
          <w:rFonts w:cs="Calibri"/>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27A455C2" w14:textId="77777777" w:rsidR="007143EF" w:rsidRPr="0058724C" w:rsidRDefault="007143EF" w:rsidP="007143EF">
      <w:pPr>
        <w:tabs>
          <w:tab w:val="left" w:leader="underscore" w:pos="9639"/>
        </w:tabs>
        <w:spacing w:after="0" w:line="240" w:lineRule="auto"/>
        <w:jc w:val="both"/>
        <w:rPr>
          <w:rFonts w:cs="Calibri"/>
        </w:rPr>
      </w:pPr>
      <w:r>
        <w:rPr>
          <w:rFonts w:cs="Calibri"/>
        </w:rPr>
        <w:t>11)</w:t>
      </w:r>
      <w:r w:rsidRPr="0058724C">
        <w:rPr>
          <w:rFonts w:cs="Calibri"/>
        </w:rPr>
        <w:t>CONSISTENCIA</w:t>
      </w:r>
    </w:p>
    <w:p w14:paraId="667ACE4A" w14:textId="77777777" w:rsidR="007143EF" w:rsidRPr="00E74967" w:rsidRDefault="007143EF" w:rsidP="007143EF">
      <w:pPr>
        <w:tabs>
          <w:tab w:val="left" w:leader="underscore" w:pos="9639"/>
        </w:tabs>
        <w:spacing w:after="0" w:line="240" w:lineRule="auto"/>
        <w:jc w:val="both"/>
        <w:rPr>
          <w:rFonts w:cs="Calibri"/>
        </w:rPr>
      </w:pPr>
      <w:r w:rsidRPr="0058724C">
        <w:rPr>
          <w:rFonts w:cs="Calibri"/>
        </w:rPr>
        <w:t>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C1E3505" w14:textId="05E951BB" w:rsidR="007143EF" w:rsidRDefault="007143EF"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 debido a que no se utiliza normatividad supletoria.</w:t>
      </w:r>
    </w:p>
    <w:p w14:paraId="62F12A9A" w14:textId="77777777" w:rsidR="007143EF" w:rsidRDefault="007143EF" w:rsidP="00CB41C4">
      <w:pPr>
        <w:tabs>
          <w:tab w:val="left" w:leader="underscore" w:pos="9639"/>
        </w:tabs>
        <w:spacing w:after="0" w:line="240" w:lineRule="auto"/>
        <w:jc w:val="both"/>
        <w:rPr>
          <w:rFonts w:cs="Calibri"/>
        </w:rPr>
      </w:pPr>
    </w:p>
    <w:p w14:paraId="084AD24A" w14:textId="486D1728"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3E378CA8" w:rsidR="007D1E76" w:rsidRPr="00E74967" w:rsidRDefault="007143EF"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A51D205" w:rsidR="007D1E76" w:rsidRPr="00E74967" w:rsidRDefault="007143EF"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27226026" w:rsidR="006F0687" w:rsidRDefault="007143EF" w:rsidP="006F0687">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78E537C5" w:rsidR="007D1E76" w:rsidRDefault="007143EF"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 xml:space="preserve">ota no le aplica al Instituto de Formación en Seguridad Pública del Estado. </w:t>
      </w:r>
    </w:p>
    <w:p w14:paraId="0C998C03" w14:textId="77777777" w:rsidR="007143EF" w:rsidRPr="00E74967" w:rsidRDefault="007143EF"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4D8617A8" w:rsidR="007D1E76" w:rsidRDefault="007143EF"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C467401" w14:textId="77777777" w:rsidR="007143EF" w:rsidRPr="00E74967" w:rsidRDefault="007143EF"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6266416A" w:rsidR="007D1E76" w:rsidRPr="00E74967" w:rsidRDefault="007143EF"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 ya que no se cuenta con operaciones en el extranjero.</w:t>
      </w:r>
    </w:p>
    <w:p w14:paraId="3B99BD25" w14:textId="77777777" w:rsidR="000F1690" w:rsidRDefault="000F1690" w:rsidP="00CB41C4">
      <w:pPr>
        <w:tabs>
          <w:tab w:val="left" w:leader="underscore" w:pos="9639"/>
        </w:tabs>
        <w:spacing w:after="0" w:line="240" w:lineRule="auto"/>
        <w:jc w:val="both"/>
        <w:rPr>
          <w:rFonts w:cs="Calibri"/>
          <w:b/>
        </w:rPr>
      </w:pPr>
    </w:p>
    <w:p w14:paraId="433324F3" w14:textId="08583945"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4AE56842" w:rsidR="007D1E76" w:rsidRDefault="007143EF"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w:t>
      </w:r>
      <w:r w:rsidR="00185E13">
        <w:rPr>
          <w:rFonts w:asciiTheme="minorHAnsi" w:hAnsiTheme="minorHAnsi" w:cstheme="minorHAnsi"/>
          <w:b/>
          <w:bCs/>
          <w:sz w:val="24"/>
          <w:szCs w:val="24"/>
        </w:rPr>
        <w:t>stado.</w:t>
      </w:r>
    </w:p>
    <w:p w14:paraId="5DDD7BA0" w14:textId="77777777" w:rsidR="00185E13" w:rsidRPr="00E74967" w:rsidRDefault="00185E13"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80DA2BD"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 debido a que no se manejan inventarios.</w:t>
      </w:r>
    </w:p>
    <w:p w14:paraId="7E28F6E9" w14:textId="77777777" w:rsidR="00185E13" w:rsidRPr="00E74967" w:rsidRDefault="00185E13"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5A3D9C52"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08A2DED8" w14:textId="77777777" w:rsidR="00185E13" w:rsidRPr="00E74967" w:rsidRDefault="00185E13"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688235AE"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66523099" w14:textId="77777777" w:rsidR="00185E13" w:rsidRPr="00E74967" w:rsidRDefault="00185E13"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3A11482E"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440ADBFC" w14:textId="77777777" w:rsidR="00185E13" w:rsidRPr="00E74967" w:rsidRDefault="00185E13"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0EF50F6" w14:textId="53E25ACA" w:rsidR="00185E13"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DC1EB26" w14:textId="77777777" w:rsidR="00185E13" w:rsidRDefault="00185E13" w:rsidP="00CB41C4">
      <w:pPr>
        <w:tabs>
          <w:tab w:val="left" w:leader="underscore" w:pos="9639"/>
        </w:tabs>
        <w:spacing w:after="0" w:line="240" w:lineRule="auto"/>
        <w:jc w:val="both"/>
        <w:rPr>
          <w:rFonts w:cs="Calibri"/>
        </w:rPr>
      </w:pPr>
    </w:p>
    <w:p w14:paraId="12C8FA9A" w14:textId="21BAA8ED"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36956306"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1C04B2C0" w14:textId="77777777" w:rsidR="00185E13" w:rsidRPr="00E74967" w:rsidRDefault="00185E13"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59685C3C" w:rsidR="007D1E76" w:rsidRPr="00E74967" w:rsidRDefault="00185E13"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2626A3C4" w:rsidR="007D1E76" w:rsidRDefault="007143EF" w:rsidP="007143EF">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w:t>
      </w:r>
      <w:r w:rsidR="00185E13">
        <w:rPr>
          <w:rFonts w:asciiTheme="minorHAnsi" w:hAnsiTheme="minorHAnsi" w:cstheme="minorHAnsi"/>
          <w:b/>
          <w:bCs/>
          <w:sz w:val="24"/>
          <w:szCs w:val="24"/>
        </w:rPr>
        <w:t>stado.</w:t>
      </w:r>
    </w:p>
    <w:p w14:paraId="3365554B" w14:textId="77777777" w:rsidR="00185E13" w:rsidRPr="00E74967" w:rsidRDefault="00185E13" w:rsidP="007143EF">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16411038" w:rsidR="007D1E76" w:rsidRPr="00E74967" w:rsidRDefault="00185E13"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E373AE8" w14:textId="77777777" w:rsidR="00185E13" w:rsidRDefault="00185E13" w:rsidP="00CB41C4">
      <w:pPr>
        <w:tabs>
          <w:tab w:val="left" w:leader="underscore" w:pos="9639"/>
        </w:tabs>
        <w:spacing w:after="0" w:line="240" w:lineRule="auto"/>
        <w:jc w:val="both"/>
        <w:rPr>
          <w:rFonts w:cs="Calibri"/>
          <w:b/>
        </w:rPr>
      </w:pPr>
    </w:p>
    <w:p w14:paraId="6E3298C9" w14:textId="4CF215B2"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51D58A44"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448A11C" w14:textId="77777777" w:rsidR="00185E13" w:rsidRPr="00E74967" w:rsidRDefault="00185E13"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18ECE713" w:rsidR="007D1E76" w:rsidRDefault="00185E13" w:rsidP="00CB41C4">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53698504" w14:textId="77777777" w:rsidR="00185E13" w:rsidRPr="00E74967" w:rsidRDefault="00185E13"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4E38F21" w:rsidR="007D1E76" w:rsidRPr="00E74967" w:rsidRDefault="00185E13" w:rsidP="00CB41C4">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EE12014" w14:textId="2D2EF89D" w:rsidR="00185E13" w:rsidRPr="004416EE" w:rsidRDefault="00185E13" w:rsidP="00185E13">
      <w:pPr>
        <w:tabs>
          <w:tab w:val="left" w:leader="underscore" w:pos="9639"/>
        </w:tabs>
        <w:spacing w:after="0" w:line="240" w:lineRule="auto"/>
        <w:jc w:val="both"/>
        <w:rPr>
          <w:rFonts w:cs="Calibri"/>
        </w:rPr>
      </w:pPr>
      <w:r w:rsidRPr="004416EE">
        <w:rPr>
          <w:rFonts w:cs="Calibri"/>
        </w:rPr>
        <w:t xml:space="preserve">De conformidad con la norma </w:t>
      </w:r>
      <w:r>
        <w:rPr>
          <w:rFonts w:cs="Calibri"/>
        </w:rPr>
        <w:t>de CONAC y los alcances del SIAE.</w:t>
      </w:r>
    </w:p>
    <w:p w14:paraId="2B914A04" w14:textId="712C31C2" w:rsidR="007D1E76" w:rsidRDefault="007D1E76" w:rsidP="00CB41C4">
      <w:pPr>
        <w:tabs>
          <w:tab w:val="left" w:leader="underscore" w:pos="9639"/>
        </w:tabs>
        <w:spacing w:after="0" w:line="240" w:lineRule="auto"/>
        <w:jc w:val="both"/>
        <w:rPr>
          <w:rFonts w:cs="Calibri"/>
        </w:rPr>
      </w:pPr>
    </w:p>
    <w:p w14:paraId="477DE3BA" w14:textId="77777777" w:rsidR="00185E13" w:rsidRPr="00E74967" w:rsidRDefault="00185E13"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BD0AFFA" w14:textId="55D5B2C1" w:rsidR="00185E13" w:rsidRPr="004416EE" w:rsidRDefault="00185E13" w:rsidP="00185E13">
      <w:pPr>
        <w:tabs>
          <w:tab w:val="left" w:leader="underscore" w:pos="9639"/>
        </w:tabs>
        <w:spacing w:after="0" w:line="240" w:lineRule="auto"/>
        <w:jc w:val="both"/>
        <w:rPr>
          <w:rFonts w:cs="Calibri"/>
        </w:rPr>
      </w:pPr>
      <w:r w:rsidRPr="004416EE">
        <w:rPr>
          <w:rFonts w:cs="Calibri"/>
        </w:rPr>
        <w:t xml:space="preserve">De conformidad con la norma </w:t>
      </w:r>
      <w:r>
        <w:rPr>
          <w:rFonts w:cs="Calibri"/>
        </w:rPr>
        <w:t>de CONAC y los alcances del SIAE</w:t>
      </w:r>
      <w:r w:rsidRPr="004416EE">
        <w:rPr>
          <w:rFonts w:cs="Calibri"/>
        </w:rPr>
        <w:t>, actualmente sólo pueden considerarse las 40 clases de activos vigentes.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9639310"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38709879" w14:textId="77777777" w:rsidR="00185E13" w:rsidRDefault="00185E13" w:rsidP="00CB41C4">
      <w:pPr>
        <w:tabs>
          <w:tab w:val="left" w:leader="underscore" w:pos="9639"/>
        </w:tabs>
        <w:spacing w:after="0" w:line="240" w:lineRule="auto"/>
        <w:jc w:val="both"/>
        <w:rPr>
          <w:rFonts w:cs="Calibri"/>
          <w:b/>
        </w:rPr>
      </w:pPr>
    </w:p>
    <w:p w14:paraId="64BF173F" w14:textId="14A5D1DC"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95D536F"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04C4C2E"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3208C8"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8AE820E"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6181049"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203A21D"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F075955" w14:textId="7C81937A"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127F4E03"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F6FC8BF"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ED6E041"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1948208"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EFBE8D9"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3C9A142" w14:textId="77777777" w:rsidR="00185E13" w:rsidRPr="00E74967" w:rsidRDefault="00185E13" w:rsidP="00185E13">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1B2F6440" w:rsidR="007D1E76" w:rsidRPr="0076738A" w:rsidRDefault="007D1E76" w:rsidP="0076738A">
      <w:pPr>
        <w:pStyle w:val="Prrafodelista"/>
        <w:numPr>
          <w:ilvl w:val="0"/>
          <w:numId w:val="3"/>
        </w:numPr>
        <w:tabs>
          <w:tab w:val="left" w:leader="underscore" w:pos="9639"/>
        </w:tabs>
        <w:spacing w:after="0" w:line="240" w:lineRule="auto"/>
        <w:jc w:val="both"/>
        <w:rPr>
          <w:rFonts w:cs="Calibri"/>
        </w:rPr>
      </w:pPr>
      <w:r w:rsidRPr="0076738A">
        <w:rPr>
          <w:rFonts w:cs="Calibri"/>
        </w:rPr>
        <w:t>Análisis del comportamiento de la recaudación correspondiente al ente público o cualquier tipo de ingreso, de forma separada los ingresos locales de los federales:</w:t>
      </w:r>
    </w:p>
    <w:p w14:paraId="51B1486D" w14:textId="77777777" w:rsidR="0076738A" w:rsidRPr="0076738A" w:rsidRDefault="0076738A" w:rsidP="0076738A">
      <w:pPr>
        <w:pStyle w:val="Prrafodelista"/>
        <w:tabs>
          <w:tab w:val="left" w:leader="underscore" w:pos="9639"/>
        </w:tabs>
        <w:spacing w:after="0" w:line="240" w:lineRule="auto"/>
        <w:jc w:val="both"/>
        <w:rPr>
          <w:rFonts w:cs="Calibri"/>
        </w:rPr>
      </w:pPr>
    </w:p>
    <w:tbl>
      <w:tblPr>
        <w:tblW w:w="5387" w:type="dxa"/>
        <w:tblInd w:w="1696" w:type="dxa"/>
        <w:tblCellMar>
          <w:left w:w="70" w:type="dxa"/>
          <w:right w:w="70" w:type="dxa"/>
        </w:tblCellMar>
        <w:tblLook w:val="04A0" w:firstRow="1" w:lastRow="0" w:firstColumn="1" w:lastColumn="0" w:noHBand="0" w:noVBand="1"/>
      </w:tblPr>
      <w:tblGrid>
        <w:gridCol w:w="1256"/>
        <w:gridCol w:w="2430"/>
        <w:gridCol w:w="1701"/>
      </w:tblGrid>
      <w:tr w:rsidR="0076738A" w:rsidRPr="00AF0090" w14:paraId="6B899B37" w14:textId="77777777" w:rsidTr="00B36E91">
        <w:trPr>
          <w:trHeight w:val="6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1912F7FA" w14:textId="783E5F8B" w:rsidR="0076738A" w:rsidRPr="00251606" w:rsidRDefault="0076738A" w:rsidP="0076738A">
            <w:pPr>
              <w:spacing w:after="0" w:line="240" w:lineRule="auto"/>
              <w:jc w:val="center"/>
              <w:rPr>
                <w:rFonts w:eastAsia="Times New Roman" w:cs="Calibri"/>
                <w:color w:val="000000"/>
                <w:lang w:eastAsia="es-MX"/>
              </w:rPr>
            </w:pPr>
            <w:r w:rsidRPr="00251606">
              <w:t>INGRESOS ESTATALES</w:t>
            </w:r>
          </w:p>
        </w:tc>
        <w:tc>
          <w:tcPr>
            <w:tcW w:w="1701" w:type="dxa"/>
            <w:tcBorders>
              <w:top w:val="single" w:sz="4" w:space="0" w:color="auto"/>
              <w:left w:val="nil"/>
              <w:bottom w:val="single" w:sz="4" w:space="0" w:color="auto"/>
              <w:right w:val="single" w:sz="4" w:space="0" w:color="auto"/>
            </w:tcBorders>
            <w:shd w:val="clear" w:color="auto" w:fill="auto"/>
          </w:tcPr>
          <w:p w14:paraId="07BFFE40" w14:textId="3293E027" w:rsidR="0076738A" w:rsidRPr="00FB3B69" w:rsidRDefault="0076738A" w:rsidP="0076738A">
            <w:pPr>
              <w:spacing w:after="0" w:line="240" w:lineRule="auto"/>
              <w:jc w:val="center"/>
              <w:rPr>
                <w:rFonts w:eastAsia="Times New Roman" w:cs="Calibri"/>
                <w:color w:val="000000"/>
                <w:highlight w:val="yellow"/>
                <w:lang w:eastAsia="es-MX"/>
              </w:rPr>
            </w:pPr>
          </w:p>
        </w:tc>
      </w:tr>
      <w:tr w:rsidR="0076738A" w:rsidRPr="00AF0090" w14:paraId="25A0E7FE"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19146F24" w14:textId="0BE446C5" w:rsidR="0076738A" w:rsidRPr="00AF0090" w:rsidRDefault="0076738A" w:rsidP="0076738A">
            <w:pPr>
              <w:spacing w:after="0" w:line="240" w:lineRule="auto"/>
              <w:jc w:val="right"/>
              <w:rPr>
                <w:rFonts w:eastAsia="Times New Roman" w:cs="Calibri"/>
                <w:color w:val="000000"/>
                <w:highlight w:val="yellow"/>
                <w:lang w:eastAsia="es-MX"/>
              </w:rPr>
            </w:pPr>
            <w:r w:rsidRPr="009C0429">
              <w:t>1124020501</w:t>
            </w:r>
          </w:p>
        </w:tc>
        <w:tc>
          <w:tcPr>
            <w:tcW w:w="2430" w:type="dxa"/>
            <w:tcBorders>
              <w:top w:val="nil"/>
              <w:left w:val="nil"/>
              <w:bottom w:val="single" w:sz="4" w:space="0" w:color="auto"/>
              <w:right w:val="single" w:sz="4" w:space="0" w:color="auto"/>
            </w:tcBorders>
            <w:shd w:val="clear" w:color="auto" w:fill="auto"/>
            <w:noWrap/>
          </w:tcPr>
          <w:p w14:paraId="3FF869C2" w14:textId="4F7B9D00" w:rsidR="0076738A" w:rsidRPr="00251606" w:rsidRDefault="0076738A" w:rsidP="0076738A">
            <w:pPr>
              <w:spacing w:after="0" w:line="240" w:lineRule="auto"/>
              <w:rPr>
                <w:rFonts w:eastAsia="Times New Roman" w:cs="Calibri"/>
                <w:color w:val="000000"/>
                <w:lang w:eastAsia="es-MX"/>
              </w:rPr>
            </w:pPr>
            <w:r w:rsidRPr="00251606">
              <w:t>COSAINCEG FASP 24</w:t>
            </w:r>
          </w:p>
        </w:tc>
        <w:tc>
          <w:tcPr>
            <w:tcW w:w="1701" w:type="dxa"/>
            <w:tcBorders>
              <w:top w:val="nil"/>
              <w:left w:val="nil"/>
              <w:bottom w:val="single" w:sz="4" w:space="0" w:color="auto"/>
              <w:right w:val="single" w:sz="4" w:space="0" w:color="auto"/>
            </w:tcBorders>
            <w:shd w:val="clear" w:color="auto" w:fill="auto"/>
            <w:noWrap/>
          </w:tcPr>
          <w:p w14:paraId="37FDFB5D" w14:textId="5BBB8681" w:rsidR="0076738A" w:rsidRPr="00FB3B69" w:rsidRDefault="00FD2200" w:rsidP="0076738A">
            <w:pPr>
              <w:spacing w:after="0" w:line="240" w:lineRule="auto"/>
              <w:jc w:val="right"/>
              <w:rPr>
                <w:rFonts w:eastAsia="Times New Roman" w:cs="Calibri"/>
                <w:color w:val="000000"/>
                <w:highlight w:val="yellow"/>
                <w:lang w:eastAsia="es-MX"/>
              </w:rPr>
            </w:pPr>
            <w:r w:rsidRPr="00FD2200">
              <w:rPr>
                <w:rFonts w:eastAsia="Times New Roman" w:cs="Calibri"/>
                <w:color w:val="000000"/>
                <w:lang w:eastAsia="es-MX"/>
              </w:rPr>
              <w:t xml:space="preserve">  3,303,654.30</w:t>
            </w:r>
          </w:p>
        </w:tc>
      </w:tr>
      <w:tr w:rsidR="0076738A" w:rsidRPr="00AF0090" w14:paraId="414CE568"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28F0C082" w14:textId="2797662A" w:rsidR="0076738A" w:rsidRPr="00AF0090" w:rsidRDefault="0076738A" w:rsidP="0076738A">
            <w:pPr>
              <w:spacing w:after="0" w:line="240" w:lineRule="auto"/>
              <w:jc w:val="right"/>
              <w:rPr>
                <w:rFonts w:eastAsia="Times New Roman" w:cs="Calibri"/>
                <w:color w:val="000000"/>
                <w:highlight w:val="yellow"/>
                <w:lang w:eastAsia="es-MX"/>
              </w:rPr>
            </w:pPr>
            <w:r w:rsidRPr="009C0429">
              <w:t>1524010000</w:t>
            </w:r>
          </w:p>
        </w:tc>
        <w:tc>
          <w:tcPr>
            <w:tcW w:w="2430" w:type="dxa"/>
            <w:tcBorders>
              <w:top w:val="nil"/>
              <w:left w:val="nil"/>
              <w:bottom w:val="single" w:sz="4" w:space="0" w:color="auto"/>
              <w:right w:val="single" w:sz="4" w:space="0" w:color="auto"/>
            </w:tcBorders>
            <w:shd w:val="clear" w:color="auto" w:fill="auto"/>
            <w:noWrap/>
          </w:tcPr>
          <w:p w14:paraId="37160EC6" w14:textId="76371BA4" w:rsidR="0076738A" w:rsidRPr="00251606" w:rsidRDefault="0076738A" w:rsidP="0076738A">
            <w:pPr>
              <w:spacing w:after="0" w:line="240" w:lineRule="auto"/>
              <w:rPr>
                <w:rFonts w:eastAsia="Times New Roman" w:cs="Calibri"/>
                <w:color w:val="000000"/>
                <w:lang w:eastAsia="es-MX"/>
              </w:rPr>
            </w:pPr>
            <w:r w:rsidRPr="00251606">
              <w:t>RECURSOS FEDERALES S</w:t>
            </w:r>
          </w:p>
        </w:tc>
        <w:tc>
          <w:tcPr>
            <w:tcW w:w="1701" w:type="dxa"/>
            <w:tcBorders>
              <w:top w:val="nil"/>
              <w:left w:val="nil"/>
              <w:bottom w:val="single" w:sz="4" w:space="0" w:color="auto"/>
              <w:right w:val="single" w:sz="4" w:space="0" w:color="auto"/>
            </w:tcBorders>
            <w:shd w:val="clear" w:color="auto" w:fill="auto"/>
            <w:noWrap/>
          </w:tcPr>
          <w:p w14:paraId="644189B6" w14:textId="58AECA80" w:rsidR="0076738A" w:rsidRPr="00FB3B69" w:rsidRDefault="00FD2200" w:rsidP="0076738A">
            <w:pPr>
              <w:spacing w:after="0" w:line="240" w:lineRule="auto"/>
              <w:jc w:val="right"/>
              <w:rPr>
                <w:rFonts w:eastAsia="Times New Roman" w:cs="Calibri"/>
                <w:color w:val="000000"/>
                <w:highlight w:val="yellow"/>
                <w:lang w:eastAsia="es-MX"/>
              </w:rPr>
            </w:pPr>
            <w:r w:rsidRPr="00FD2200">
              <w:rPr>
                <w:rFonts w:eastAsia="Times New Roman" w:cs="Calibri"/>
                <w:color w:val="000000"/>
                <w:lang w:eastAsia="es-MX"/>
              </w:rPr>
              <w:t>19,594,833.53</w:t>
            </w:r>
            <w:r w:rsidR="00570C98" w:rsidRPr="00570C98">
              <w:rPr>
                <w:rFonts w:eastAsia="Times New Roman" w:cs="Calibri"/>
                <w:color w:val="000000"/>
                <w:lang w:eastAsia="es-MX"/>
              </w:rPr>
              <w:t xml:space="preserve">  </w:t>
            </w:r>
          </w:p>
        </w:tc>
      </w:tr>
      <w:tr w:rsidR="00251606" w:rsidRPr="00AF0090" w14:paraId="54D2AD08"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01E7AB42" w14:textId="1ABF0A75" w:rsidR="00251606" w:rsidRPr="009C0429" w:rsidRDefault="00251606" w:rsidP="00251606">
            <w:pPr>
              <w:spacing w:after="0" w:line="240" w:lineRule="auto"/>
              <w:jc w:val="right"/>
            </w:pPr>
            <w:r>
              <w:t>1522040000</w:t>
            </w:r>
          </w:p>
        </w:tc>
        <w:tc>
          <w:tcPr>
            <w:tcW w:w="2430" w:type="dxa"/>
            <w:tcBorders>
              <w:top w:val="nil"/>
              <w:left w:val="nil"/>
              <w:bottom w:val="single" w:sz="4" w:space="0" w:color="auto"/>
              <w:right w:val="single" w:sz="4" w:space="0" w:color="auto"/>
            </w:tcBorders>
            <w:shd w:val="clear" w:color="auto" w:fill="auto"/>
            <w:noWrap/>
          </w:tcPr>
          <w:p w14:paraId="2FA1B508" w14:textId="38D6860F" w:rsidR="00251606" w:rsidRPr="00251606" w:rsidRDefault="00251606" w:rsidP="0076738A">
            <w:pPr>
              <w:spacing w:after="0" w:line="240" w:lineRule="auto"/>
            </w:pPr>
            <w:r w:rsidRPr="00251606">
              <w:t>RFED S/E 22 ASIG 24</w:t>
            </w:r>
          </w:p>
        </w:tc>
        <w:tc>
          <w:tcPr>
            <w:tcW w:w="1701" w:type="dxa"/>
            <w:tcBorders>
              <w:top w:val="nil"/>
              <w:left w:val="nil"/>
              <w:bottom w:val="single" w:sz="4" w:space="0" w:color="auto"/>
              <w:right w:val="single" w:sz="4" w:space="0" w:color="auto"/>
            </w:tcBorders>
            <w:shd w:val="clear" w:color="auto" w:fill="auto"/>
            <w:noWrap/>
          </w:tcPr>
          <w:p w14:paraId="69AAB445" w14:textId="6817F619" w:rsidR="00251606" w:rsidRPr="00FD2200" w:rsidRDefault="00251606" w:rsidP="00251606">
            <w:pPr>
              <w:spacing w:after="0" w:line="240" w:lineRule="auto"/>
              <w:jc w:val="right"/>
              <w:rPr>
                <w:rFonts w:eastAsia="Times New Roman" w:cs="Calibri"/>
                <w:color w:val="000000"/>
                <w:lang w:eastAsia="es-MX"/>
              </w:rPr>
            </w:pPr>
            <w:r>
              <w:rPr>
                <w:rFonts w:eastAsia="Times New Roman" w:cs="Calibri"/>
                <w:color w:val="000000"/>
                <w:lang w:eastAsia="es-MX"/>
              </w:rPr>
              <w:t>203,137,795.86</w:t>
            </w:r>
          </w:p>
        </w:tc>
      </w:tr>
      <w:tr w:rsidR="00251606" w:rsidRPr="00AF0090" w14:paraId="469B0226"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19D742FA" w14:textId="1B25D9D5" w:rsidR="00251606" w:rsidRPr="009C0429" w:rsidRDefault="00251606" w:rsidP="0076738A">
            <w:pPr>
              <w:spacing w:after="0" w:line="240" w:lineRule="auto"/>
              <w:jc w:val="right"/>
            </w:pPr>
            <w:r>
              <w:t>1523040000</w:t>
            </w:r>
          </w:p>
        </w:tc>
        <w:tc>
          <w:tcPr>
            <w:tcW w:w="2430" w:type="dxa"/>
            <w:tcBorders>
              <w:top w:val="nil"/>
              <w:left w:val="nil"/>
              <w:bottom w:val="single" w:sz="4" w:space="0" w:color="auto"/>
              <w:right w:val="single" w:sz="4" w:space="0" w:color="auto"/>
            </w:tcBorders>
            <w:shd w:val="clear" w:color="auto" w:fill="auto"/>
            <w:noWrap/>
          </w:tcPr>
          <w:p w14:paraId="72313A8C" w14:textId="718353EA" w:rsidR="00251606" w:rsidRPr="00251606" w:rsidRDefault="00251606" w:rsidP="0076738A">
            <w:pPr>
              <w:spacing w:after="0" w:line="240" w:lineRule="auto"/>
            </w:pPr>
            <w:r w:rsidRPr="00251606">
              <w:t>RFED S/E 22 ASIG 24</w:t>
            </w:r>
          </w:p>
        </w:tc>
        <w:tc>
          <w:tcPr>
            <w:tcW w:w="1701" w:type="dxa"/>
            <w:tcBorders>
              <w:top w:val="nil"/>
              <w:left w:val="nil"/>
              <w:bottom w:val="single" w:sz="4" w:space="0" w:color="auto"/>
              <w:right w:val="single" w:sz="4" w:space="0" w:color="auto"/>
            </w:tcBorders>
            <w:shd w:val="clear" w:color="auto" w:fill="auto"/>
            <w:noWrap/>
          </w:tcPr>
          <w:p w14:paraId="65A002DF" w14:textId="789303AE" w:rsidR="00251606" w:rsidRPr="00FD2200" w:rsidRDefault="00251606" w:rsidP="0076738A">
            <w:pPr>
              <w:spacing w:after="0" w:line="240" w:lineRule="auto"/>
              <w:jc w:val="right"/>
              <w:rPr>
                <w:rFonts w:eastAsia="Times New Roman" w:cs="Calibri"/>
                <w:color w:val="000000"/>
                <w:lang w:eastAsia="es-MX"/>
              </w:rPr>
            </w:pPr>
            <w:r w:rsidRPr="00251606">
              <w:rPr>
                <w:rFonts w:eastAsia="Times New Roman" w:cs="Calibri"/>
                <w:color w:val="000000"/>
                <w:lang w:eastAsia="es-MX"/>
              </w:rPr>
              <w:t>19,594,833.53</w:t>
            </w:r>
          </w:p>
        </w:tc>
      </w:tr>
      <w:tr w:rsidR="0076738A" w:rsidRPr="00AF0090" w14:paraId="7545FD99" w14:textId="77777777" w:rsidTr="00B36E91">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3E099BE6" w14:textId="3074A8CD" w:rsidR="0076738A" w:rsidRPr="00251606" w:rsidRDefault="0076738A" w:rsidP="0076738A">
            <w:pPr>
              <w:spacing w:after="0" w:line="240" w:lineRule="auto"/>
              <w:jc w:val="center"/>
              <w:rPr>
                <w:rFonts w:eastAsia="Times New Roman" w:cs="Calibri"/>
                <w:color w:val="000000"/>
                <w:lang w:eastAsia="es-MX"/>
              </w:rPr>
            </w:pPr>
            <w:r w:rsidRPr="00251606">
              <w:t>INGRESOS FEDERALES</w:t>
            </w:r>
          </w:p>
        </w:tc>
        <w:tc>
          <w:tcPr>
            <w:tcW w:w="1701" w:type="dxa"/>
            <w:tcBorders>
              <w:top w:val="nil"/>
              <w:left w:val="nil"/>
              <w:bottom w:val="single" w:sz="4" w:space="0" w:color="auto"/>
              <w:right w:val="single" w:sz="4" w:space="0" w:color="auto"/>
            </w:tcBorders>
            <w:shd w:val="clear" w:color="auto" w:fill="auto"/>
            <w:noWrap/>
          </w:tcPr>
          <w:p w14:paraId="11AEAD96" w14:textId="3217FACE" w:rsidR="0076738A" w:rsidRPr="00FB3B69" w:rsidRDefault="0076738A" w:rsidP="0076738A">
            <w:pPr>
              <w:spacing w:after="0" w:line="240" w:lineRule="auto"/>
              <w:rPr>
                <w:rFonts w:eastAsia="Times New Roman" w:cs="Calibri"/>
                <w:color w:val="000000"/>
                <w:highlight w:val="yellow"/>
                <w:lang w:eastAsia="es-MX"/>
              </w:rPr>
            </w:pPr>
          </w:p>
        </w:tc>
      </w:tr>
      <w:tr w:rsidR="0076738A" w:rsidRPr="00AF0090" w14:paraId="580B07EE"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191ED9EF" w14:textId="067C937F" w:rsidR="0076738A" w:rsidRPr="00AF0090" w:rsidRDefault="0076738A" w:rsidP="0076738A">
            <w:pPr>
              <w:spacing w:after="0" w:line="240" w:lineRule="auto"/>
              <w:jc w:val="right"/>
              <w:rPr>
                <w:rFonts w:eastAsia="Times New Roman" w:cs="Calibri"/>
                <w:color w:val="000000"/>
                <w:highlight w:val="yellow"/>
                <w:lang w:eastAsia="es-MX"/>
              </w:rPr>
            </w:pPr>
            <w:r w:rsidRPr="009C0429">
              <w:t>2524171010</w:t>
            </w:r>
          </w:p>
        </w:tc>
        <w:tc>
          <w:tcPr>
            <w:tcW w:w="2430" w:type="dxa"/>
            <w:tcBorders>
              <w:top w:val="nil"/>
              <w:left w:val="nil"/>
              <w:bottom w:val="single" w:sz="4" w:space="0" w:color="auto"/>
              <w:right w:val="single" w:sz="4" w:space="0" w:color="auto"/>
            </w:tcBorders>
            <w:shd w:val="clear" w:color="auto" w:fill="auto"/>
            <w:noWrap/>
          </w:tcPr>
          <w:p w14:paraId="4F9B6956" w14:textId="74332C80" w:rsidR="0076738A" w:rsidRPr="00251606" w:rsidRDefault="0076738A" w:rsidP="0076738A">
            <w:pPr>
              <w:spacing w:after="0" w:line="240" w:lineRule="auto"/>
              <w:rPr>
                <w:rFonts w:eastAsia="Times New Roman" w:cs="Calibri"/>
                <w:color w:val="000000"/>
                <w:lang w:eastAsia="es-MX"/>
              </w:rPr>
            </w:pPr>
            <w:r w:rsidRPr="00251606">
              <w:t>I011 FASP</w:t>
            </w:r>
          </w:p>
        </w:tc>
        <w:tc>
          <w:tcPr>
            <w:tcW w:w="1701" w:type="dxa"/>
            <w:tcBorders>
              <w:top w:val="nil"/>
              <w:left w:val="nil"/>
              <w:bottom w:val="single" w:sz="4" w:space="0" w:color="auto"/>
              <w:right w:val="single" w:sz="4" w:space="0" w:color="auto"/>
            </w:tcBorders>
            <w:shd w:val="clear" w:color="auto" w:fill="auto"/>
            <w:noWrap/>
          </w:tcPr>
          <w:p w14:paraId="1824D4F9" w14:textId="76FC09A0" w:rsidR="0076738A" w:rsidRPr="00FB3B69" w:rsidRDefault="00FD2200" w:rsidP="0076738A">
            <w:pPr>
              <w:spacing w:after="0" w:line="240" w:lineRule="auto"/>
              <w:jc w:val="right"/>
              <w:rPr>
                <w:rFonts w:eastAsia="Times New Roman" w:cs="Calibri"/>
                <w:color w:val="000000"/>
                <w:highlight w:val="yellow"/>
                <w:lang w:eastAsia="es-MX"/>
              </w:rPr>
            </w:pPr>
            <w:r w:rsidRPr="00FD2200">
              <w:rPr>
                <w:rFonts w:eastAsia="Times New Roman" w:cs="Calibri"/>
                <w:color w:val="000000"/>
                <w:lang w:eastAsia="es-MX"/>
              </w:rPr>
              <w:t>11,096,346.70</w:t>
            </w:r>
          </w:p>
        </w:tc>
      </w:tr>
      <w:tr w:rsidR="0076738A" w:rsidRPr="00AF0090" w14:paraId="6A941B44" w14:textId="77777777" w:rsidTr="00B36E91">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3A3C2D7F" w14:textId="12FA3CDD" w:rsidR="0076738A" w:rsidRPr="00251606" w:rsidRDefault="0076738A" w:rsidP="0076738A">
            <w:pPr>
              <w:spacing w:after="0" w:line="240" w:lineRule="auto"/>
              <w:jc w:val="center"/>
              <w:rPr>
                <w:rFonts w:eastAsia="Times New Roman" w:cs="Calibri"/>
                <w:color w:val="000000"/>
                <w:lang w:eastAsia="es-MX"/>
              </w:rPr>
            </w:pPr>
            <w:r w:rsidRPr="00251606">
              <w:t>INGRESOS PROPIOS</w:t>
            </w:r>
          </w:p>
        </w:tc>
        <w:tc>
          <w:tcPr>
            <w:tcW w:w="1701" w:type="dxa"/>
            <w:tcBorders>
              <w:top w:val="nil"/>
              <w:left w:val="nil"/>
              <w:bottom w:val="single" w:sz="4" w:space="0" w:color="auto"/>
              <w:right w:val="single" w:sz="4" w:space="0" w:color="auto"/>
            </w:tcBorders>
            <w:shd w:val="clear" w:color="auto" w:fill="auto"/>
            <w:noWrap/>
          </w:tcPr>
          <w:p w14:paraId="31AA3A87" w14:textId="614D359F" w:rsidR="0076738A" w:rsidRPr="00FB3B69" w:rsidRDefault="0076738A" w:rsidP="0076738A">
            <w:pPr>
              <w:spacing w:after="0" w:line="240" w:lineRule="auto"/>
              <w:rPr>
                <w:rFonts w:eastAsia="Times New Roman" w:cs="Calibri"/>
                <w:color w:val="000000"/>
                <w:highlight w:val="yellow"/>
                <w:lang w:eastAsia="es-MX"/>
              </w:rPr>
            </w:pPr>
          </w:p>
        </w:tc>
      </w:tr>
      <w:tr w:rsidR="0076738A" w:rsidRPr="00AF0090" w14:paraId="38CA9503"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4EE6F1D1" w14:textId="24FDAB2D" w:rsidR="0076738A" w:rsidRPr="00AF0090" w:rsidRDefault="0076738A" w:rsidP="0076738A">
            <w:pPr>
              <w:spacing w:after="0" w:line="240" w:lineRule="auto"/>
              <w:jc w:val="right"/>
              <w:rPr>
                <w:rFonts w:eastAsia="Times New Roman" w:cs="Calibri"/>
                <w:color w:val="000000"/>
                <w:highlight w:val="yellow"/>
                <w:lang w:eastAsia="es-MX"/>
              </w:rPr>
            </w:pPr>
            <w:r w:rsidRPr="009C0429">
              <w:t>1424730000</w:t>
            </w:r>
          </w:p>
        </w:tc>
        <w:tc>
          <w:tcPr>
            <w:tcW w:w="2430" w:type="dxa"/>
            <w:tcBorders>
              <w:top w:val="nil"/>
              <w:left w:val="nil"/>
              <w:bottom w:val="single" w:sz="4" w:space="0" w:color="auto"/>
              <w:right w:val="single" w:sz="4" w:space="0" w:color="auto"/>
            </w:tcBorders>
            <w:shd w:val="clear" w:color="auto" w:fill="auto"/>
            <w:noWrap/>
          </w:tcPr>
          <w:p w14:paraId="0CD7D145" w14:textId="329C9C5D" w:rsidR="0076738A" w:rsidRPr="00251606" w:rsidRDefault="0076738A" w:rsidP="0076738A">
            <w:pPr>
              <w:spacing w:after="0" w:line="240" w:lineRule="auto"/>
              <w:rPr>
                <w:rFonts w:eastAsia="Times New Roman" w:cs="Calibri"/>
                <w:color w:val="000000"/>
                <w:lang w:eastAsia="es-MX"/>
              </w:rPr>
            </w:pPr>
            <w:r w:rsidRPr="00251606">
              <w:t>VENTA DE BIENES Y SE</w:t>
            </w:r>
          </w:p>
        </w:tc>
        <w:tc>
          <w:tcPr>
            <w:tcW w:w="1701" w:type="dxa"/>
            <w:tcBorders>
              <w:top w:val="nil"/>
              <w:left w:val="nil"/>
              <w:bottom w:val="single" w:sz="4" w:space="0" w:color="auto"/>
              <w:right w:val="single" w:sz="4" w:space="0" w:color="auto"/>
            </w:tcBorders>
            <w:shd w:val="clear" w:color="auto" w:fill="auto"/>
            <w:noWrap/>
          </w:tcPr>
          <w:p w14:paraId="4E83FE96" w14:textId="0C906DF6" w:rsidR="0076738A" w:rsidRPr="00FB3B69" w:rsidRDefault="00FD2200" w:rsidP="0076738A">
            <w:pPr>
              <w:spacing w:after="0" w:line="240" w:lineRule="auto"/>
              <w:jc w:val="right"/>
              <w:rPr>
                <w:rFonts w:eastAsia="Times New Roman" w:cs="Calibri"/>
                <w:color w:val="000000"/>
                <w:highlight w:val="yellow"/>
                <w:lang w:eastAsia="es-MX"/>
              </w:rPr>
            </w:pPr>
            <w:r w:rsidRPr="00FD2200">
              <w:rPr>
                <w:rFonts w:eastAsia="Times New Roman" w:cs="Calibri"/>
                <w:color w:val="000000"/>
                <w:lang w:eastAsia="es-MX"/>
              </w:rPr>
              <w:t xml:space="preserve">    1,918,590.84</w:t>
            </w:r>
          </w:p>
        </w:tc>
      </w:tr>
      <w:tr w:rsidR="0076738A" w:rsidRPr="00AF0090" w14:paraId="1858C5E5" w14:textId="77777777" w:rsidTr="00B36E91">
        <w:trPr>
          <w:trHeight w:val="300"/>
        </w:trPr>
        <w:tc>
          <w:tcPr>
            <w:tcW w:w="1256" w:type="dxa"/>
            <w:tcBorders>
              <w:top w:val="nil"/>
              <w:left w:val="single" w:sz="4" w:space="0" w:color="auto"/>
              <w:bottom w:val="single" w:sz="4" w:space="0" w:color="auto"/>
              <w:right w:val="single" w:sz="4" w:space="0" w:color="auto"/>
            </w:tcBorders>
            <w:shd w:val="clear" w:color="auto" w:fill="auto"/>
            <w:noWrap/>
          </w:tcPr>
          <w:p w14:paraId="4EC369BB" w14:textId="2C76BCB5" w:rsidR="0076738A" w:rsidRPr="00AF0090" w:rsidRDefault="0076738A" w:rsidP="0076738A">
            <w:pPr>
              <w:spacing w:after="0" w:line="240" w:lineRule="auto"/>
              <w:jc w:val="right"/>
              <w:rPr>
                <w:rFonts w:eastAsia="Times New Roman" w:cs="Calibri"/>
                <w:color w:val="000000"/>
                <w:highlight w:val="yellow"/>
                <w:lang w:eastAsia="es-MX"/>
              </w:rPr>
            </w:pPr>
            <w:r w:rsidRPr="009C0429">
              <w:t>1424730001</w:t>
            </w:r>
          </w:p>
        </w:tc>
        <w:tc>
          <w:tcPr>
            <w:tcW w:w="2430" w:type="dxa"/>
            <w:tcBorders>
              <w:top w:val="nil"/>
              <w:left w:val="nil"/>
              <w:bottom w:val="single" w:sz="4" w:space="0" w:color="auto"/>
              <w:right w:val="single" w:sz="4" w:space="0" w:color="auto"/>
            </w:tcBorders>
            <w:shd w:val="clear" w:color="auto" w:fill="auto"/>
            <w:noWrap/>
          </w:tcPr>
          <w:p w14:paraId="39BC1C60" w14:textId="623226F2" w:rsidR="0076738A" w:rsidRPr="00251606" w:rsidRDefault="0076738A" w:rsidP="0076738A">
            <w:pPr>
              <w:spacing w:after="0" w:line="240" w:lineRule="auto"/>
              <w:rPr>
                <w:rFonts w:eastAsia="Times New Roman" w:cs="Calibri"/>
                <w:color w:val="000000"/>
                <w:lang w:eastAsia="es-MX"/>
              </w:rPr>
            </w:pPr>
            <w:r w:rsidRPr="00251606">
              <w:t>PRESTACIÓN DE SERVIC</w:t>
            </w:r>
          </w:p>
        </w:tc>
        <w:tc>
          <w:tcPr>
            <w:tcW w:w="1701" w:type="dxa"/>
            <w:tcBorders>
              <w:top w:val="nil"/>
              <w:left w:val="nil"/>
              <w:bottom w:val="single" w:sz="4" w:space="0" w:color="auto"/>
              <w:right w:val="single" w:sz="4" w:space="0" w:color="auto"/>
            </w:tcBorders>
            <w:shd w:val="clear" w:color="auto" w:fill="auto"/>
            <w:noWrap/>
          </w:tcPr>
          <w:p w14:paraId="009968DE" w14:textId="1AF9CF22" w:rsidR="0076738A" w:rsidRPr="00FB3B69" w:rsidRDefault="00FD2200" w:rsidP="0076738A">
            <w:pPr>
              <w:spacing w:after="0" w:line="240" w:lineRule="auto"/>
              <w:jc w:val="right"/>
              <w:rPr>
                <w:rFonts w:eastAsia="Times New Roman" w:cs="Calibri"/>
                <w:color w:val="000000"/>
                <w:highlight w:val="yellow"/>
                <w:lang w:eastAsia="es-MX"/>
              </w:rPr>
            </w:pPr>
            <w:r w:rsidRPr="00FD2200">
              <w:rPr>
                <w:rFonts w:eastAsia="Times New Roman" w:cs="Calibri"/>
                <w:color w:val="000000"/>
                <w:lang w:eastAsia="es-MX"/>
              </w:rPr>
              <w:t>2,769,819.43</w:t>
            </w:r>
          </w:p>
        </w:tc>
      </w:tr>
      <w:tr w:rsidR="0076738A" w:rsidRPr="003E15E9" w14:paraId="000F57FE" w14:textId="77777777" w:rsidTr="00B36E91">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20ACB358" w14:textId="42973BF0" w:rsidR="0076738A" w:rsidRPr="00251606" w:rsidRDefault="0076738A" w:rsidP="0076738A">
            <w:pPr>
              <w:spacing w:after="0" w:line="240" w:lineRule="auto"/>
              <w:jc w:val="center"/>
              <w:rPr>
                <w:rFonts w:eastAsia="Times New Roman" w:cs="Calibri"/>
                <w:color w:val="000000"/>
                <w:lang w:eastAsia="es-MX"/>
              </w:rPr>
            </w:pPr>
            <w:r w:rsidRPr="00251606">
              <w:t>TOTAL</w:t>
            </w:r>
          </w:p>
        </w:tc>
        <w:tc>
          <w:tcPr>
            <w:tcW w:w="1701" w:type="dxa"/>
            <w:tcBorders>
              <w:top w:val="nil"/>
              <w:left w:val="nil"/>
              <w:bottom w:val="single" w:sz="4" w:space="0" w:color="auto"/>
              <w:right w:val="single" w:sz="4" w:space="0" w:color="auto"/>
            </w:tcBorders>
            <w:shd w:val="clear" w:color="auto" w:fill="auto"/>
            <w:noWrap/>
          </w:tcPr>
          <w:p w14:paraId="1C68EB15" w14:textId="42CB3D6B" w:rsidR="0076738A" w:rsidRPr="00251606" w:rsidRDefault="00251606" w:rsidP="00251606">
            <w:pPr>
              <w:spacing w:after="0" w:line="240" w:lineRule="auto"/>
              <w:jc w:val="right"/>
              <w:rPr>
                <w:rFonts w:cs="Calibri"/>
                <w:color w:val="000000"/>
                <w:lang w:eastAsia="es-MX"/>
              </w:rPr>
            </w:pPr>
            <w:r>
              <w:rPr>
                <w:rFonts w:cs="Calibri"/>
                <w:color w:val="000000"/>
              </w:rPr>
              <w:t>261,415,874.19</w:t>
            </w:r>
          </w:p>
        </w:tc>
      </w:tr>
    </w:tbl>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tbl>
      <w:tblPr>
        <w:tblW w:w="5387" w:type="dxa"/>
        <w:tblInd w:w="1696" w:type="dxa"/>
        <w:tblCellMar>
          <w:left w:w="70" w:type="dxa"/>
          <w:right w:w="70" w:type="dxa"/>
        </w:tblCellMar>
        <w:tblLook w:val="04A0" w:firstRow="1" w:lastRow="0" w:firstColumn="1" w:lastColumn="0" w:noHBand="0" w:noVBand="1"/>
      </w:tblPr>
      <w:tblGrid>
        <w:gridCol w:w="1256"/>
        <w:gridCol w:w="2430"/>
        <w:gridCol w:w="1701"/>
      </w:tblGrid>
      <w:tr w:rsidR="0076738A" w:rsidRPr="00AF0090" w14:paraId="799FEDEC" w14:textId="77777777" w:rsidTr="00570C98">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DCF093" w14:textId="1CDC944F" w:rsidR="0076738A" w:rsidRPr="00251606" w:rsidRDefault="0076738A" w:rsidP="0076738A">
            <w:pPr>
              <w:spacing w:after="0" w:line="240" w:lineRule="auto"/>
              <w:jc w:val="center"/>
              <w:rPr>
                <w:rFonts w:eastAsia="Times New Roman" w:cs="Calibri"/>
                <w:color w:val="000000"/>
                <w:lang w:eastAsia="es-MX"/>
              </w:rPr>
            </w:pPr>
            <w:r w:rsidRPr="00251606">
              <w:t>INGRESOS POR RECAUDAR</w:t>
            </w:r>
          </w:p>
        </w:tc>
        <w:tc>
          <w:tcPr>
            <w:tcW w:w="1701" w:type="dxa"/>
            <w:tcBorders>
              <w:top w:val="single" w:sz="4" w:space="0" w:color="auto"/>
              <w:left w:val="nil"/>
              <w:bottom w:val="single" w:sz="4" w:space="0" w:color="auto"/>
              <w:right w:val="single" w:sz="4" w:space="0" w:color="auto"/>
            </w:tcBorders>
            <w:shd w:val="clear" w:color="auto" w:fill="auto"/>
            <w:noWrap/>
            <w:hideMark/>
          </w:tcPr>
          <w:p w14:paraId="4D05FBF6" w14:textId="55326EC5" w:rsidR="0076738A" w:rsidRPr="00FB3B69" w:rsidRDefault="0076738A" w:rsidP="0076738A">
            <w:pPr>
              <w:spacing w:after="0" w:line="240" w:lineRule="auto"/>
              <w:rPr>
                <w:rFonts w:eastAsia="Times New Roman" w:cs="Calibri"/>
                <w:color w:val="000000"/>
                <w:highlight w:val="yellow"/>
                <w:lang w:eastAsia="es-MX"/>
              </w:rPr>
            </w:pPr>
          </w:p>
        </w:tc>
      </w:tr>
      <w:tr w:rsidR="0076738A" w:rsidRPr="00AF0090" w14:paraId="339BA3DE" w14:textId="77777777" w:rsidTr="00570C98">
        <w:trPr>
          <w:trHeight w:val="300"/>
        </w:trPr>
        <w:tc>
          <w:tcPr>
            <w:tcW w:w="1256" w:type="dxa"/>
            <w:tcBorders>
              <w:top w:val="nil"/>
              <w:left w:val="single" w:sz="4" w:space="0" w:color="auto"/>
              <w:bottom w:val="single" w:sz="4" w:space="0" w:color="auto"/>
              <w:right w:val="single" w:sz="4" w:space="0" w:color="auto"/>
            </w:tcBorders>
            <w:shd w:val="clear" w:color="auto" w:fill="auto"/>
            <w:noWrap/>
            <w:hideMark/>
          </w:tcPr>
          <w:p w14:paraId="0777639C" w14:textId="744415A4" w:rsidR="0076738A" w:rsidRPr="00AF0090" w:rsidRDefault="0076738A" w:rsidP="0076738A">
            <w:pPr>
              <w:spacing w:after="0" w:line="240" w:lineRule="auto"/>
              <w:jc w:val="right"/>
              <w:rPr>
                <w:rFonts w:eastAsia="Times New Roman" w:cs="Calibri"/>
                <w:color w:val="000000"/>
                <w:highlight w:val="yellow"/>
                <w:lang w:eastAsia="es-MX"/>
              </w:rPr>
            </w:pPr>
            <w:r w:rsidRPr="00755381">
              <w:t>1424730000</w:t>
            </w:r>
          </w:p>
        </w:tc>
        <w:tc>
          <w:tcPr>
            <w:tcW w:w="2430" w:type="dxa"/>
            <w:tcBorders>
              <w:top w:val="nil"/>
              <w:left w:val="nil"/>
              <w:bottom w:val="single" w:sz="4" w:space="0" w:color="auto"/>
              <w:right w:val="single" w:sz="4" w:space="0" w:color="auto"/>
            </w:tcBorders>
            <w:shd w:val="clear" w:color="auto" w:fill="auto"/>
            <w:noWrap/>
            <w:hideMark/>
          </w:tcPr>
          <w:p w14:paraId="0A35084E" w14:textId="43483206" w:rsidR="0076738A" w:rsidRPr="00251606" w:rsidRDefault="0076738A" w:rsidP="0076738A">
            <w:pPr>
              <w:spacing w:after="0" w:line="240" w:lineRule="auto"/>
              <w:rPr>
                <w:rFonts w:eastAsia="Times New Roman" w:cs="Calibri"/>
                <w:color w:val="000000"/>
                <w:lang w:eastAsia="es-MX"/>
              </w:rPr>
            </w:pPr>
            <w:r w:rsidRPr="00251606">
              <w:t>VENTA DE BIENES Y SE</w:t>
            </w:r>
          </w:p>
        </w:tc>
        <w:tc>
          <w:tcPr>
            <w:tcW w:w="1701" w:type="dxa"/>
            <w:tcBorders>
              <w:top w:val="nil"/>
              <w:left w:val="nil"/>
              <w:bottom w:val="single" w:sz="4" w:space="0" w:color="auto"/>
              <w:right w:val="single" w:sz="4" w:space="0" w:color="auto"/>
            </w:tcBorders>
            <w:shd w:val="clear" w:color="auto" w:fill="auto"/>
            <w:noWrap/>
            <w:hideMark/>
          </w:tcPr>
          <w:p w14:paraId="2F8C4764" w14:textId="243677CE" w:rsidR="0076738A" w:rsidRPr="00FB3B69" w:rsidRDefault="00FD2200" w:rsidP="0076738A">
            <w:pPr>
              <w:spacing w:after="0" w:line="240" w:lineRule="auto"/>
              <w:jc w:val="right"/>
              <w:rPr>
                <w:rFonts w:eastAsia="Times New Roman" w:cs="Calibri"/>
                <w:color w:val="000000"/>
                <w:highlight w:val="yellow"/>
                <w:lang w:eastAsia="es-MX"/>
              </w:rPr>
            </w:pPr>
            <w:r w:rsidRPr="00FD2200">
              <w:rPr>
                <w:rFonts w:eastAsia="Times New Roman" w:cs="Calibri"/>
                <w:color w:val="000000"/>
                <w:lang w:eastAsia="es-MX"/>
              </w:rPr>
              <w:t>8,243,459.16</w:t>
            </w:r>
          </w:p>
        </w:tc>
      </w:tr>
      <w:tr w:rsidR="0076738A" w:rsidRPr="003E15E9" w14:paraId="11BC58F6" w14:textId="77777777" w:rsidTr="00570C98">
        <w:trPr>
          <w:trHeight w:val="300"/>
        </w:trPr>
        <w:tc>
          <w:tcPr>
            <w:tcW w:w="1256" w:type="dxa"/>
            <w:tcBorders>
              <w:top w:val="nil"/>
              <w:left w:val="single" w:sz="4" w:space="0" w:color="auto"/>
              <w:bottom w:val="single" w:sz="4" w:space="0" w:color="auto"/>
              <w:right w:val="single" w:sz="4" w:space="0" w:color="auto"/>
            </w:tcBorders>
            <w:shd w:val="clear" w:color="auto" w:fill="auto"/>
            <w:noWrap/>
            <w:hideMark/>
          </w:tcPr>
          <w:p w14:paraId="74EA3BA2" w14:textId="0510885B" w:rsidR="0076738A" w:rsidRPr="00AF0090" w:rsidRDefault="0076738A" w:rsidP="0076738A">
            <w:pPr>
              <w:spacing w:after="0" w:line="240" w:lineRule="auto"/>
              <w:jc w:val="right"/>
              <w:rPr>
                <w:rFonts w:eastAsia="Times New Roman" w:cs="Calibri"/>
                <w:color w:val="000000"/>
                <w:highlight w:val="yellow"/>
                <w:lang w:eastAsia="es-MX"/>
              </w:rPr>
            </w:pPr>
            <w:r w:rsidRPr="00755381">
              <w:t>1424730001</w:t>
            </w:r>
          </w:p>
        </w:tc>
        <w:tc>
          <w:tcPr>
            <w:tcW w:w="2430" w:type="dxa"/>
            <w:tcBorders>
              <w:top w:val="nil"/>
              <w:left w:val="nil"/>
              <w:bottom w:val="single" w:sz="4" w:space="0" w:color="auto"/>
              <w:right w:val="single" w:sz="4" w:space="0" w:color="auto"/>
            </w:tcBorders>
            <w:shd w:val="clear" w:color="auto" w:fill="auto"/>
            <w:noWrap/>
            <w:hideMark/>
          </w:tcPr>
          <w:p w14:paraId="58FEBAB3" w14:textId="03ED5308" w:rsidR="0076738A" w:rsidRPr="00251606" w:rsidRDefault="0076738A" w:rsidP="0076738A">
            <w:pPr>
              <w:spacing w:after="0" w:line="240" w:lineRule="auto"/>
              <w:rPr>
                <w:rFonts w:eastAsia="Times New Roman" w:cs="Calibri"/>
                <w:color w:val="000000"/>
                <w:lang w:eastAsia="es-MX"/>
              </w:rPr>
            </w:pPr>
            <w:r w:rsidRPr="00251606">
              <w:t>PRESTACIÓN DE SERVIC</w:t>
            </w:r>
          </w:p>
        </w:tc>
        <w:tc>
          <w:tcPr>
            <w:tcW w:w="1701" w:type="dxa"/>
            <w:tcBorders>
              <w:top w:val="nil"/>
              <w:left w:val="nil"/>
              <w:bottom w:val="single" w:sz="4" w:space="0" w:color="auto"/>
              <w:right w:val="single" w:sz="4" w:space="0" w:color="auto"/>
            </w:tcBorders>
            <w:shd w:val="clear" w:color="auto" w:fill="auto"/>
            <w:noWrap/>
            <w:hideMark/>
          </w:tcPr>
          <w:p w14:paraId="3F4D40D1" w14:textId="77E08253" w:rsidR="0076738A" w:rsidRPr="00FB3B69" w:rsidRDefault="00FD2200" w:rsidP="0076738A">
            <w:pPr>
              <w:spacing w:after="0" w:line="240" w:lineRule="auto"/>
              <w:jc w:val="right"/>
              <w:rPr>
                <w:rFonts w:eastAsia="Times New Roman" w:cs="Calibri"/>
                <w:color w:val="000000"/>
                <w:highlight w:val="yellow"/>
                <w:lang w:eastAsia="es-MX"/>
              </w:rPr>
            </w:pPr>
            <w:r w:rsidRPr="00FD2200">
              <w:rPr>
                <w:rFonts w:eastAsia="Times New Roman" w:cs="Calibri"/>
                <w:color w:val="000000"/>
                <w:lang w:eastAsia="es-MX"/>
              </w:rPr>
              <w:t>1,541,996.57</w:t>
            </w:r>
          </w:p>
        </w:tc>
      </w:tr>
    </w:tbl>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686B49A"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5869B4C4"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B23175D"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8892273" w14:textId="7E42B668"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1BD51D41" w14:textId="7AB76420"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5265864"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1C4D373"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3B800285" w14:textId="38ED720C" w:rsidR="003E15E9" w:rsidRPr="00E74967" w:rsidRDefault="007D1E76" w:rsidP="003E15E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3E15E9" w:rsidRPr="003E15E9">
        <w:rPr>
          <w:rFonts w:asciiTheme="minorHAnsi" w:hAnsiTheme="minorHAnsi" w:cstheme="minorHAnsi"/>
          <w:b/>
          <w:bCs/>
          <w:sz w:val="24"/>
          <w:szCs w:val="24"/>
        </w:rPr>
        <w:t xml:space="preserve"> </w:t>
      </w:r>
      <w:r w:rsidR="003E15E9" w:rsidRPr="00C54C12">
        <w:rPr>
          <w:rFonts w:asciiTheme="minorHAnsi" w:hAnsiTheme="minorHAnsi" w:cstheme="minorHAnsi"/>
          <w:b/>
          <w:bCs/>
          <w:sz w:val="24"/>
          <w:szCs w:val="24"/>
        </w:rPr>
        <w:t>Esta n</w:t>
      </w:r>
      <w:r w:rsidR="003E15E9">
        <w:rPr>
          <w:rFonts w:asciiTheme="minorHAnsi" w:hAnsiTheme="minorHAnsi" w:cstheme="minorHAnsi"/>
          <w:b/>
          <w:bCs/>
          <w:sz w:val="24"/>
          <w:szCs w:val="24"/>
        </w:rPr>
        <w:t>ota no le aplica al Instituto de Formación en Seguridad Pública del Estado.</w:t>
      </w:r>
    </w:p>
    <w:p w14:paraId="55D08D4D" w14:textId="13E46193"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1762B24" w14:textId="77777777" w:rsidR="003E15E9" w:rsidRPr="00E74967" w:rsidRDefault="003E15E9" w:rsidP="003E15E9">
      <w:pPr>
        <w:tabs>
          <w:tab w:val="left" w:leader="underscore" w:pos="9639"/>
        </w:tabs>
        <w:spacing w:after="0" w:line="240" w:lineRule="auto"/>
        <w:jc w:val="both"/>
        <w:rPr>
          <w:rFonts w:cs="Calibri"/>
        </w:rPr>
      </w:pPr>
      <w:r w:rsidRPr="00C54C12">
        <w:rPr>
          <w:rFonts w:asciiTheme="minorHAnsi" w:hAnsiTheme="minorHAnsi" w:cstheme="minorHAnsi"/>
          <w:b/>
          <w:bCs/>
          <w:sz w:val="24"/>
          <w:szCs w:val="24"/>
        </w:rPr>
        <w:t>Esta n</w:t>
      </w:r>
      <w:r>
        <w:rPr>
          <w:rFonts w:asciiTheme="minorHAnsi" w:hAnsiTheme="minorHAnsi" w:cstheme="minorHAnsi"/>
          <w:b/>
          <w:bCs/>
          <w:sz w:val="24"/>
          <w:szCs w:val="24"/>
        </w:rPr>
        <w:t>ota no le aplica al Instituto de Formación en Seguridad Pública del Estado.</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2092EF68" w14:textId="2F9AC7E7" w:rsidR="00D5018E" w:rsidRDefault="00C4625D" w:rsidP="003E15E9">
      <w:pPr>
        <w:tabs>
          <w:tab w:val="left" w:leader="underscore" w:pos="9639"/>
        </w:tabs>
        <w:spacing w:after="0" w:line="240" w:lineRule="auto"/>
        <w:jc w:val="both"/>
        <w:rPr>
          <w:rFonts w:cs="Calibri"/>
        </w:rPr>
      </w:pPr>
      <w:r w:rsidRPr="00C4625D">
        <w:rPr>
          <w:rFonts w:cs="Calibri"/>
        </w:rPr>
        <w:t xml:space="preserve"> “Bajo protesta de decir verdad declaramos que los Estados Financieros y sus notas, son razonablemente correctos y son responsabilidad del emisor”. </w:t>
      </w:r>
    </w:p>
    <w:p w14:paraId="5FF3B6FE" w14:textId="39DD2A55" w:rsidR="003E15E9" w:rsidRDefault="003E15E9" w:rsidP="003E15E9">
      <w:pPr>
        <w:tabs>
          <w:tab w:val="left" w:leader="underscore" w:pos="9639"/>
        </w:tabs>
        <w:spacing w:after="0" w:line="240" w:lineRule="auto"/>
        <w:jc w:val="both"/>
        <w:rPr>
          <w:rFonts w:cs="Calibri"/>
        </w:rPr>
      </w:pPr>
    </w:p>
    <w:p w14:paraId="74ADE1A2" w14:textId="2A9FC1CA" w:rsidR="003E15E9" w:rsidRDefault="003E15E9" w:rsidP="003E15E9">
      <w:pPr>
        <w:tabs>
          <w:tab w:val="left" w:leader="underscore" w:pos="9639"/>
        </w:tabs>
        <w:spacing w:after="0" w:line="240" w:lineRule="auto"/>
        <w:jc w:val="both"/>
        <w:rPr>
          <w:rFonts w:cs="Calibri"/>
        </w:rPr>
      </w:pPr>
      <w:r w:rsidRPr="003E15E9">
        <w:rPr>
          <w:rFonts w:cs="Calibri"/>
          <w:noProof/>
          <w:lang w:eastAsia="es-MX"/>
        </w:rPr>
        <mc:AlternateContent>
          <mc:Choice Requires="wps">
            <w:drawing>
              <wp:anchor distT="0" distB="0" distL="114300" distR="114300" simplePos="0" relativeHeight="251660288" behindDoc="0" locked="0" layoutInCell="1" allowOverlap="1" wp14:anchorId="5FAB46DD" wp14:editId="4F0E44C7">
                <wp:simplePos x="0" y="0"/>
                <wp:positionH relativeFrom="column">
                  <wp:posOffset>2970530</wp:posOffset>
                </wp:positionH>
                <wp:positionV relativeFrom="paragraph">
                  <wp:posOffset>1428115</wp:posOffset>
                </wp:positionV>
                <wp:extent cx="3093085" cy="1581150"/>
                <wp:effectExtent l="0" t="0" r="0" b="0"/>
                <wp:wrapNone/>
                <wp:docPr id="6" name="CuadroTexto 5"/>
                <wp:cNvGraphicFramePr/>
                <a:graphic xmlns:a="http://schemas.openxmlformats.org/drawingml/2006/main">
                  <a:graphicData uri="http://schemas.microsoft.com/office/word/2010/wordprocessingShape">
                    <wps:wsp>
                      <wps:cNvSpPr txBox="1"/>
                      <wps:spPr>
                        <a:xfrm>
                          <a:off x="0" y="0"/>
                          <a:ext cx="3093085" cy="15811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3163776" w14:textId="77777777" w:rsidR="003E15E9" w:rsidRDefault="003E15E9" w:rsidP="003E15E9">
                            <w:pPr>
                              <w:spacing w:after="0"/>
                              <w:jc w:val="center"/>
                            </w:pPr>
                            <w:r>
                              <w:rPr>
                                <w:rFonts w:asciiTheme="minorHAnsi" w:cstheme="minorBidi"/>
                                <w:color w:val="000000" w:themeColor="dark1"/>
                              </w:rPr>
                              <w:t>_____________________________</w:t>
                            </w:r>
                          </w:p>
                          <w:p w14:paraId="265A7672" w14:textId="77777777" w:rsidR="003E15E9" w:rsidRDefault="003E15E9" w:rsidP="003E15E9">
                            <w:pPr>
                              <w:spacing w:after="0"/>
                              <w:jc w:val="center"/>
                            </w:pPr>
                            <w:r>
                              <w:rPr>
                                <w:rFonts w:asciiTheme="minorHAnsi" w:cstheme="minorBidi"/>
                                <w:color w:val="000000" w:themeColor="dark1"/>
                              </w:rPr>
                              <w:t>C.P. Juan Sergio Mendoza Elías</w:t>
                            </w:r>
                          </w:p>
                          <w:p w14:paraId="777EBF50" w14:textId="77777777" w:rsidR="003E15E9" w:rsidRDefault="003E15E9" w:rsidP="003E15E9">
                            <w:pPr>
                              <w:spacing w:after="0"/>
                              <w:jc w:val="center"/>
                            </w:pPr>
                            <w:r>
                              <w:rPr>
                                <w:rFonts w:asciiTheme="minorHAnsi" w:cstheme="minorBidi"/>
                                <w:color w:val="000000" w:themeColor="dark1"/>
                              </w:rPr>
                              <w:t>Director de Administración y Finanzas</w:t>
                            </w:r>
                          </w:p>
                          <w:p w14:paraId="547E6057" w14:textId="77777777" w:rsidR="003E15E9" w:rsidRDefault="003E15E9" w:rsidP="003E15E9">
                            <w:pPr>
                              <w:spacing w:after="0"/>
                              <w:jc w:val="center"/>
                            </w:pPr>
                            <w:r>
                              <w:rPr>
                                <w:rFonts w:asciiTheme="minorHAnsi" w:cstheme="minorBidi"/>
                                <w:color w:val="000000" w:themeColor="dark1"/>
                              </w:rPr>
                              <w:t>Instituto de Formación en Seguridad Pública del Estado</w:t>
                            </w:r>
                          </w:p>
                        </w:txbxContent>
                      </wps:txbx>
                      <wps:bodyPr vertOverflow="clip" horzOverflow="clip" wrap="square" rtlCol="0" anchor="t"/>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AB46DD" id="_x0000_t202" coordsize="21600,21600" o:spt="202" path="m,l,21600r21600,l21600,xe">
                <v:stroke joinstyle="miter"/>
                <v:path gradientshapeok="t" o:connecttype="rect"/>
              </v:shapetype>
              <v:shape id="CuadroTexto 5" o:spid="_x0000_s1026" type="#_x0000_t202" style="position:absolute;left:0;text-align:left;margin-left:233.9pt;margin-top:112.45pt;width:243.55pt;height:1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" fillcolor="white [3201]" stroked="f">
                <v:textbox>
                  <w:txbxContent>
                    <w:p w14:paraId="23163776" w14:textId="77777777" w:rsidR="003E15E9" w:rsidRDefault="003E15E9" w:rsidP="003E15E9">
                      <w:pPr>
                        <w:spacing w:after="0"/>
                        <w:jc w:val="center"/>
                      </w:pPr>
                      <w:r>
                        <w:rPr>
                          <w:rFonts w:asciiTheme="minorHAnsi" w:cstheme="minorBidi"/>
                          <w:color w:val="000000" w:themeColor="dark1"/>
                        </w:rPr>
                        <w:t>_____________________________</w:t>
                      </w:r>
                    </w:p>
                    <w:p w14:paraId="265A7672" w14:textId="77777777" w:rsidR="003E15E9" w:rsidRDefault="003E15E9" w:rsidP="003E15E9">
                      <w:pPr>
                        <w:spacing w:after="0"/>
                        <w:jc w:val="center"/>
                      </w:pPr>
                      <w:r>
                        <w:rPr>
                          <w:rFonts w:asciiTheme="minorHAnsi" w:cstheme="minorBidi"/>
                          <w:color w:val="000000" w:themeColor="dark1"/>
                        </w:rPr>
                        <w:t>C.P. Juan Sergio Mendoza Elías</w:t>
                      </w:r>
                    </w:p>
                    <w:p w14:paraId="777EBF50" w14:textId="77777777" w:rsidR="003E15E9" w:rsidRDefault="003E15E9" w:rsidP="003E15E9">
                      <w:pPr>
                        <w:spacing w:after="0"/>
                        <w:jc w:val="center"/>
                      </w:pPr>
                      <w:r>
                        <w:rPr>
                          <w:rFonts w:asciiTheme="minorHAnsi" w:cstheme="minorBidi"/>
                          <w:color w:val="000000" w:themeColor="dark1"/>
                        </w:rPr>
                        <w:t>Director de Administración y Finanzas</w:t>
                      </w:r>
                    </w:p>
                    <w:p w14:paraId="547E6057" w14:textId="77777777" w:rsidR="003E15E9" w:rsidRDefault="003E15E9" w:rsidP="003E15E9">
                      <w:pPr>
                        <w:spacing w:after="0"/>
                        <w:jc w:val="center"/>
                      </w:pPr>
                      <w:r>
                        <w:rPr>
                          <w:rFonts w:asciiTheme="minorHAnsi" w:cstheme="minorBidi"/>
                          <w:color w:val="000000" w:themeColor="dark1"/>
                        </w:rPr>
                        <w:t>Instituto de Formación en Seguridad Pública del Estado</w:t>
                      </w:r>
                    </w:p>
                  </w:txbxContent>
                </v:textbox>
              </v:shape>
            </w:pict>
          </mc:Fallback>
        </mc:AlternateContent>
      </w:r>
      <w:r w:rsidRPr="003E15E9">
        <w:rPr>
          <w:rFonts w:cs="Calibri"/>
          <w:noProof/>
          <w:lang w:eastAsia="es-MX"/>
        </w:rPr>
        <mc:AlternateContent>
          <mc:Choice Requires="wps">
            <w:drawing>
              <wp:anchor distT="0" distB="0" distL="114300" distR="114300" simplePos="0" relativeHeight="251659264" behindDoc="0" locked="0" layoutInCell="1" allowOverlap="1" wp14:anchorId="43328D22" wp14:editId="7F558FE4">
                <wp:simplePos x="0" y="0"/>
                <wp:positionH relativeFrom="column">
                  <wp:posOffset>95250</wp:posOffset>
                </wp:positionH>
                <wp:positionV relativeFrom="paragraph">
                  <wp:posOffset>1428115</wp:posOffset>
                </wp:positionV>
                <wp:extent cx="2947148" cy="1600201"/>
                <wp:effectExtent l="0" t="0" r="5715" b="0"/>
                <wp:wrapNone/>
                <wp:docPr id="5" name="CuadroTexto 4"/>
                <wp:cNvGraphicFramePr/>
                <a:graphic xmlns:a="http://schemas.openxmlformats.org/drawingml/2006/main">
                  <a:graphicData uri="http://schemas.microsoft.com/office/word/2010/wordprocessingShape">
                    <wps:wsp>
                      <wps:cNvSpPr txBox="1"/>
                      <wps:spPr>
                        <a:xfrm>
                          <a:off x="0" y="0"/>
                          <a:ext cx="2947148" cy="1600201"/>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3104D98" w14:textId="77777777" w:rsidR="003E15E9" w:rsidRDefault="003E15E9" w:rsidP="003E15E9">
                            <w:pPr>
                              <w:spacing w:after="0"/>
                              <w:jc w:val="center"/>
                            </w:pPr>
                            <w:r>
                              <w:rPr>
                                <w:rFonts w:asciiTheme="minorHAnsi" w:cstheme="minorBidi"/>
                                <w:color w:val="000000" w:themeColor="dark1"/>
                              </w:rPr>
                              <w:t>_______________________________________Mtro. Francisco Javier Zaragoza Cervantes</w:t>
                            </w:r>
                          </w:p>
                          <w:p w14:paraId="637D88E6" w14:textId="77777777" w:rsidR="003E15E9" w:rsidRDefault="003E15E9" w:rsidP="003E15E9">
                            <w:pPr>
                              <w:spacing w:after="0"/>
                              <w:jc w:val="center"/>
                            </w:pPr>
                            <w:r>
                              <w:rPr>
                                <w:rFonts w:asciiTheme="minorHAnsi" w:cstheme="minorBidi"/>
                                <w:color w:val="000000" w:themeColor="dark1"/>
                              </w:rPr>
                              <w:t>Director General</w:t>
                            </w:r>
                          </w:p>
                          <w:p w14:paraId="61F9C0BC" w14:textId="77777777" w:rsidR="003E15E9" w:rsidRDefault="003E15E9" w:rsidP="003E15E9">
                            <w:pPr>
                              <w:spacing w:after="0"/>
                              <w:jc w:val="center"/>
                            </w:pPr>
                            <w:r>
                              <w:rPr>
                                <w:rFonts w:asciiTheme="minorHAnsi" w:cstheme="minorBidi"/>
                                <w:color w:val="000000" w:themeColor="dark1"/>
                              </w:rPr>
                              <w:t>Instituto de Formación en Seguridad Pública del Estado</w:t>
                            </w:r>
                          </w:p>
                        </w:txbxContent>
                      </wps:txbx>
                      <wps:bodyPr vertOverflow="clip" horzOverflow="clip" wrap="square" rtlCol="0" anchor="t"/>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328D22" id="CuadroTexto 4" o:spid="_x0000_s1027" type="#_x0000_t202" style="position:absolute;left:0;text-align:left;margin-left:7.5pt;margin-top:112.45pt;width:232.05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" fillcolor="white [3201]" stroked="f">
                <v:textbox>
                  <w:txbxContent>
                    <w:p w14:paraId="43104D98" w14:textId="77777777" w:rsidR="003E15E9" w:rsidRDefault="003E15E9" w:rsidP="003E15E9">
                      <w:pPr>
                        <w:spacing w:after="0"/>
                        <w:jc w:val="center"/>
                      </w:pPr>
                      <w:r>
                        <w:rPr>
                          <w:rFonts w:asciiTheme="minorHAnsi" w:cstheme="minorBidi"/>
                          <w:color w:val="000000" w:themeColor="dark1"/>
                        </w:rPr>
                        <w:t>_______________________________________Mtro. Francisco Javier Zaragoza Cervantes</w:t>
                      </w:r>
                    </w:p>
                    <w:p w14:paraId="637D88E6" w14:textId="77777777" w:rsidR="003E15E9" w:rsidRDefault="003E15E9" w:rsidP="003E15E9">
                      <w:pPr>
                        <w:spacing w:after="0"/>
                        <w:jc w:val="center"/>
                      </w:pPr>
                      <w:r>
                        <w:rPr>
                          <w:rFonts w:asciiTheme="minorHAnsi" w:cstheme="minorBidi"/>
                          <w:color w:val="000000" w:themeColor="dark1"/>
                        </w:rPr>
                        <w:t>Director General</w:t>
                      </w:r>
                    </w:p>
                    <w:p w14:paraId="61F9C0BC" w14:textId="77777777" w:rsidR="003E15E9" w:rsidRDefault="003E15E9" w:rsidP="003E15E9">
                      <w:pPr>
                        <w:spacing w:after="0"/>
                        <w:jc w:val="center"/>
                      </w:pPr>
                      <w:r>
                        <w:rPr>
                          <w:rFonts w:asciiTheme="minorHAnsi" w:cstheme="minorBidi"/>
                          <w:color w:val="000000" w:themeColor="dark1"/>
                        </w:rPr>
                        <w:t>Instituto de Formación en Seguridad Pública del Estado</w:t>
                      </w:r>
                    </w:p>
                  </w:txbxContent>
                </v:textbox>
              </v:shape>
            </w:pict>
          </mc:Fallback>
        </mc:AlternateContent>
      </w:r>
    </w:p>
    <w:sectPr w:rsidR="003E15E9" w:rsidSect="000F1690">
      <w:headerReference w:type="default" r:id="rId12"/>
      <w:footerReference w:type="default" r:id="rId13"/>
      <w:pgSz w:w="12240" w:h="15840" w:code="1"/>
      <w:pgMar w:top="1702"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0726" w14:textId="77777777" w:rsidR="00185E13" w:rsidRDefault="00185E13" w:rsidP="00E00323">
      <w:pPr>
        <w:spacing w:after="0" w:line="240" w:lineRule="auto"/>
      </w:pPr>
      <w:r>
        <w:separator/>
      </w:r>
    </w:p>
  </w:endnote>
  <w:endnote w:type="continuationSeparator" w:id="0">
    <w:p w14:paraId="5996B0ED" w14:textId="77777777" w:rsidR="00185E13" w:rsidRDefault="00185E1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748432"/>
      <w:docPartObj>
        <w:docPartGallery w:val="Page Numbers (Bottom of Page)"/>
        <w:docPartUnique/>
      </w:docPartObj>
    </w:sdtPr>
    <w:sdtEndPr/>
    <w:sdtContent>
      <w:p w14:paraId="45A1378E" w14:textId="3DCFC3AF" w:rsidR="00185E13" w:rsidRDefault="00185E13">
        <w:pPr>
          <w:pStyle w:val="Piedepgina"/>
          <w:jc w:val="right"/>
        </w:pPr>
        <w:r>
          <w:fldChar w:fldCharType="begin"/>
        </w:r>
        <w:r>
          <w:instrText>PAGE   \* MERGEFORMAT</w:instrText>
        </w:r>
        <w:r>
          <w:fldChar w:fldCharType="separate"/>
        </w:r>
        <w:r w:rsidR="00251606" w:rsidRPr="00251606">
          <w:rPr>
            <w:noProof/>
            <w:lang w:val="es-ES"/>
          </w:rPr>
          <w:t>1</w:t>
        </w:r>
        <w:r>
          <w:fldChar w:fldCharType="end"/>
        </w:r>
      </w:p>
    </w:sdtContent>
  </w:sdt>
  <w:p w14:paraId="37983FFD" w14:textId="77777777" w:rsidR="00185E13" w:rsidRDefault="00185E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F54C" w14:textId="77777777" w:rsidR="00185E13" w:rsidRDefault="00185E13" w:rsidP="00E00323">
      <w:pPr>
        <w:spacing w:after="0" w:line="240" w:lineRule="auto"/>
      </w:pPr>
      <w:r>
        <w:separator/>
      </w:r>
    </w:p>
  </w:footnote>
  <w:footnote w:type="continuationSeparator" w:id="0">
    <w:p w14:paraId="1DFBFD45" w14:textId="77777777" w:rsidR="00185E13" w:rsidRDefault="00185E1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F65D" w14:textId="62F0F154" w:rsidR="00185E13" w:rsidRDefault="00185E13" w:rsidP="00A4610E">
    <w:pPr>
      <w:pStyle w:val="Encabezado"/>
      <w:spacing w:after="0" w:line="240" w:lineRule="auto"/>
      <w:jc w:val="center"/>
    </w:pPr>
    <w:r>
      <w:t>Instituto de Formación en Seguridad Pública del Estado</w:t>
    </w:r>
  </w:p>
  <w:p w14:paraId="651A4C4F" w14:textId="14EDE5FF" w:rsidR="00185E13" w:rsidRDefault="00185E13" w:rsidP="00A4610E">
    <w:pPr>
      <w:pStyle w:val="Encabezado"/>
      <w:spacing w:after="0" w:line="240" w:lineRule="auto"/>
      <w:jc w:val="center"/>
    </w:pPr>
    <w:r w:rsidRPr="00A4610E">
      <w:t>CORRESPONDI</w:t>
    </w:r>
    <w:r w:rsidR="00AF0090">
      <w:t xml:space="preserve">ENTES AL 30 DE </w:t>
    </w:r>
    <w:r w:rsidR="00FB3B69">
      <w:t xml:space="preserve">SEPTIEMBRE </w:t>
    </w:r>
    <w:r>
      <w:t>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571"/>
    <w:multiLevelType w:val="hybridMultilevel"/>
    <w:tmpl w:val="CFEC2318"/>
    <w:lvl w:ilvl="0" w:tplc="2EA863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EF51C5"/>
    <w:multiLevelType w:val="hybridMultilevel"/>
    <w:tmpl w:val="90EC11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0C27"/>
    <w:rsid w:val="000B7810"/>
    <w:rsid w:val="000C3365"/>
    <w:rsid w:val="000F1690"/>
    <w:rsid w:val="00106EE9"/>
    <w:rsid w:val="0012405A"/>
    <w:rsid w:val="0012493A"/>
    <w:rsid w:val="00154BA3"/>
    <w:rsid w:val="00185E13"/>
    <w:rsid w:val="001973A2"/>
    <w:rsid w:val="001C34BC"/>
    <w:rsid w:val="001C710C"/>
    <w:rsid w:val="001C75F2"/>
    <w:rsid w:val="001D2063"/>
    <w:rsid w:val="001D43E9"/>
    <w:rsid w:val="002263E1"/>
    <w:rsid w:val="00231FBE"/>
    <w:rsid w:val="00232175"/>
    <w:rsid w:val="0024740E"/>
    <w:rsid w:val="00251606"/>
    <w:rsid w:val="002722DD"/>
    <w:rsid w:val="00295B72"/>
    <w:rsid w:val="003453CA"/>
    <w:rsid w:val="0036252F"/>
    <w:rsid w:val="00396D53"/>
    <w:rsid w:val="003E15E9"/>
    <w:rsid w:val="003E6C64"/>
    <w:rsid w:val="0043078C"/>
    <w:rsid w:val="00435A87"/>
    <w:rsid w:val="004A1077"/>
    <w:rsid w:val="004A58C8"/>
    <w:rsid w:val="004F234D"/>
    <w:rsid w:val="004F6FAC"/>
    <w:rsid w:val="005053EE"/>
    <w:rsid w:val="00516100"/>
    <w:rsid w:val="00516A8F"/>
    <w:rsid w:val="00540261"/>
    <w:rsid w:val="0054701E"/>
    <w:rsid w:val="00570C98"/>
    <w:rsid w:val="005B5531"/>
    <w:rsid w:val="005C6034"/>
    <w:rsid w:val="005D3E43"/>
    <w:rsid w:val="005E231E"/>
    <w:rsid w:val="005F2900"/>
    <w:rsid w:val="005F51CC"/>
    <w:rsid w:val="0061107F"/>
    <w:rsid w:val="0064059E"/>
    <w:rsid w:val="00657009"/>
    <w:rsid w:val="006765BC"/>
    <w:rsid w:val="00681C79"/>
    <w:rsid w:val="006B1ADF"/>
    <w:rsid w:val="006F0687"/>
    <w:rsid w:val="006F77A8"/>
    <w:rsid w:val="007143EF"/>
    <w:rsid w:val="007610BC"/>
    <w:rsid w:val="0076738A"/>
    <w:rsid w:val="007714AB"/>
    <w:rsid w:val="007D1E76"/>
    <w:rsid w:val="007D4484"/>
    <w:rsid w:val="007E38A2"/>
    <w:rsid w:val="007F699D"/>
    <w:rsid w:val="00806269"/>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0090"/>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A29BB"/>
    <w:rsid w:val="00FB3B69"/>
    <w:rsid w:val="00FC1AE8"/>
    <w:rsid w:val="00FD22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P9">
    <w:name w:val="P9"/>
    <w:basedOn w:val="Normal"/>
    <w:hidden/>
    <w:uiPriority w:val="99"/>
    <w:rsid w:val="007143EF"/>
    <w:pPr>
      <w:widowControl w:val="0"/>
      <w:adjustRightInd w:val="0"/>
      <w:spacing w:after="0" w:line="240" w:lineRule="auto"/>
    </w:pPr>
    <w:rPr>
      <w:rFonts w:ascii="Arial" w:eastAsia="Times New Roman" w:hAnsi="Arial" w:cs="Arial"/>
      <w:b/>
      <w:szCs w:val="20"/>
      <w:lang w:val="es-ES" w:eastAsia="es-ES"/>
    </w:rPr>
  </w:style>
  <w:style w:type="paragraph" w:customStyle="1" w:styleId="P10">
    <w:name w:val="P10"/>
    <w:basedOn w:val="Normal"/>
    <w:hidden/>
    <w:uiPriority w:val="99"/>
    <w:rsid w:val="007143EF"/>
    <w:pPr>
      <w:widowControl w:val="0"/>
      <w:adjustRightInd w:val="0"/>
      <w:spacing w:after="0" w:line="240" w:lineRule="auto"/>
    </w:pPr>
    <w:rPr>
      <w:rFonts w:ascii="Arial" w:eastAsia="Times New Roman" w:hAnsi="Arial" w:cs="Arial"/>
      <w:b/>
      <w:sz w:val="20"/>
      <w:szCs w:val="20"/>
      <w:lang w:val="es-ES" w:eastAsia="es-ES"/>
    </w:rPr>
  </w:style>
  <w:style w:type="paragraph" w:customStyle="1" w:styleId="P11">
    <w:name w:val="P11"/>
    <w:basedOn w:val="Normal"/>
    <w:hidden/>
    <w:uiPriority w:val="99"/>
    <w:rsid w:val="007143EF"/>
    <w:pPr>
      <w:widowControl w:val="0"/>
      <w:adjustRightInd w:val="0"/>
      <w:spacing w:after="0" w:line="240" w:lineRule="auto"/>
    </w:pPr>
    <w:rPr>
      <w:rFonts w:ascii="Arial" w:eastAsia="Times New Roman" w:hAnsi="Arial" w:cs="Arial"/>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8665">
      <w:bodyDiv w:val="1"/>
      <w:marLeft w:val="0"/>
      <w:marRight w:val="0"/>
      <w:marTop w:val="0"/>
      <w:marBottom w:val="0"/>
      <w:divBdr>
        <w:top w:val="none" w:sz="0" w:space="0" w:color="auto"/>
        <w:left w:val="none" w:sz="0" w:space="0" w:color="auto"/>
        <w:bottom w:val="none" w:sz="0" w:space="0" w:color="auto"/>
        <w:right w:val="none" w:sz="0" w:space="0" w:color="auto"/>
      </w:divBdr>
    </w:div>
    <w:div w:id="494028134">
      <w:bodyDiv w:val="1"/>
      <w:marLeft w:val="0"/>
      <w:marRight w:val="0"/>
      <w:marTop w:val="0"/>
      <w:marBottom w:val="0"/>
      <w:divBdr>
        <w:top w:val="none" w:sz="0" w:space="0" w:color="auto"/>
        <w:left w:val="none" w:sz="0" w:space="0" w:color="auto"/>
        <w:bottom w:val="none" w:sz="0" w:space="0" w:color="auto"/>
        <w:right w:val="none" w:sz="0" w:space="0" w:color="auto"/>
      </w:divBdr>
    </w:div>
    <w:div w:id="560142818">
      <w:bodyDiv w:val="1"/>
      <w:marLeft w:val="0"/>
      <w:marRight w:val="0"/>
      <w:marTop w:val="0"/>
      <w:marBottom w:val="0"/>
      <w:divBdr>
        <w:top w:val="none" w:sz="0" w:space="0" w:color="auto"/>
        <w:left w:val="none" w:sz="0" w:space="0" w:color="auto"/>
        <w:bottom w:val="none" w:sz="0" w:space="0" w:color="auto"/>
        <w:right w:val="none" w:sz="0" w:space="0" w:color="auto"/>
      </w:divBdr>
    </w:div>
    <w:div w:id="1539052920">
      <w:bodyDiv w:val="1"/>
      <w:marLeft w:val="0"/>
      <w:marRight w:val="0"/>
      <w:marTop w:val="0"/>
      <w:marBottom w:val="0"/>
      <w:divBdr>
        <w:top w:val="none" w:sz="0" w:space="0" w:color="auto"/>
        <w:left w:val="none" w:sz="0" w:space="0" w:color="auto"/>
        <w:bottom w:val="none" w:sz="0" w:space="0" w:color="auto"/>
        <w:right w:val="none" w:sz="0" w:space="0" w:color="auto"/>
      </w:divBdr>
    </w:div>
    <w:div w:id="16188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purl.org/dc/dcmitype/"/>
    <ds:schemaRef ds:uri="http://schemas.microsoft.com/office/2006/documentManagement/types"/>
    <ds:schemaRef ds:uri="http://purl.org/dc/terms/"/>
    <ds:schemaRef ds:uri="0c865bf4-0f22-4e4d-b041-7b0c1657e5a8"/>
    <ds:schemaRef ds:uri="http://purl.org/dc/elements/1.1/"/>
    <ds:schemaRef ds:uri="http://www.w3.org/XML/1998/namespace"/>
    <ds:schemaRef ds:uri="http://schemas.microsoft.com/office/infopath/2007/PartnerControls"/>
    <ds:schemaRef ds:uri="http://schemas.openxmlformats.org/package/2006/metadata/core-properties"/>
    <ds:schemaRef ds:uri="6aa8a68a-ab09-4ac8-a697-fdce915bc567"/>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28864-0074-4477-877E-23CA408D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4097</Words>
  <Characters>22537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26581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Lupita</cp:lastModifiedBy>
  <cp:revision>5</cp:revision>
  <cp:lastPrinted>2024-07-17T22:25:00Z</cp:lastPrinted>
  <dcterms:created xsi:type="dcterms:W3CDTF">2024-07-18T18:15:00Z</dcterms:created>
  <dcterms:modified xsi:type="dcterms:W3CDTF">2024-10-17T15:59:00Z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