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7E2D" w14:textId="77777777" w:rsidR="000B7810" w:rsidRPr="006A5AC6" w:rsidRDefault="000B7810" w:rsidP="00CB41C4">
      <w:pPr>
        <w:tabs>
          <w:tab w:val="left" w:leader="underscore" w:pos="9639"/>
        </w:tabs>
        <w:spacing w:after="0" w:line="240" w:lineRule="auto"/>
        <w:jc w:val="center"/>
        <w:rPr>
          <w:rFonts w:ascii="Arial" w:hAnsi="Arial" w:cs="Arial"/>
        </w:rPr>
      </w:pPr>
    </w:p>
    <w:p w14:paraId="03F868E8" w14:textId="77777777" w:rsidR="000B7810" w:rsidRPr="006A5AC6" w:rsidRDefault="000B7810" w:rsidP="00CB41C4">
      <w:pPr>
        <w:tabs>
          <w:tab w:val="left" w:leader="underscore" w:pos="9639"/>
        </w:tabs>
        <w:spacing w:after="0" w:line="240" w:lineRule="auto"/>
        <w:jc w:val="center"/>
        <w:rPr>
          <w:rFonts w:ascii="Arial" w:hAnsi="Arial" w:cs="Arial"/>
        </w:rPr>
      </w:pPr>
    </w:p>
    <w:p w14:paraId="6BDD369D" w14:textId="77777777" w:rsidR="007D1E76" w:rsidRPr="006A5AC6" w:rsidRDefault="007D1E76" w:rsidP="00CB41C4">
      <w:pPr>
        <w:tabs>
          <w:tab w:val="left" w:leader="underscore" w:pos="9639"/>
        </w:tabs>
        <w:spacing w:after="0" w:line="240" w:lineRule="auto"/>
        <w:jc w:val="center"/>
        <w:rPr>
          <w:rFonts w:ascii="Arial" w:hAnsi="Arial" w:cs="Arial"/>
          <w:b/>
        </w:rPr>
      </w:pPr>
      <w:hyperlink r:id="rId11" w:history="1">
        <w:r w:rsidRPr="006A5AC6">
          <w:rPr>
            <w:rStyle w:val="Hipervnculo"/>
            <w:rFonts w:ascii="Arial" w:hAnsi="Arial" w:cs="Arial"/>
            <w:b/>
          </w:rPr>
          <w:t>NOTAS DE GESTIÓN ADMINISTRATIVA</w:t>
        </w:r>
      </w:hyperlink>
    </w:p>
    <w:p w14:paraId="208516EE" w14:textId="77777777" w:rsidR="007D1E76" w:rsidRPr="006A5AC6" w:rsidRDefault="007D1E76" w:rsidP="00CB41C4">
      <w:pPr>
        <w:tabs>
          <w:tab w:val="left" w:leader="underscore" w:pos="9639"/>
        </w:tabs>
        <w:spacing w:after="0" w:line="240" w:lineRule="auto"/>
        <w:jc w:val="both"/>
        <w:rPr>
          <w:rFonts w:ascii="Arial" w:hAnsi="Arial" w:cs="Arial"/>
        </w:rPr>
      </w:pPr>
    </w:p>
    <w:p w14:paraId="2CCD5F89" w14:textId="77777777" w:rsidR="007D1E76" w:rsidRPr="006A5AC6" w:rsidRDefault="007D1E76" w:rsidP="00CB41C4">
      <w:pPr>
        <w:tabs>
          <w:tab w:val="left" w:leader="underscore" w:pos="9639"/>
        </w:tabs>
        <w:spacing w:after="0" w:line="240" w:lineRule="auto"/>
        <w:jc w:val="both"/>
        <w:rPr>
          <w:rFonts w:ascii="Arial" w:hAnsi="Arial" w:cs="Arial"/>
        </w:rPr>
      </w:pPr>
    </w:p>
    <w:p w14:paraId="5DD6D1A6" w14:textId="77777777" w:rsidR="00F911F6" w:rsidRPr="006A5AC6" w:rsidRDefault="00F911F6" w:rsidP="00CB41C4">
      <w:pPr>
        <w:tabs>
          <w:tab w:val="left" w:leader="underscore" w:pos="9639"/>
        </w:tabs>
        <w:spacing w:after="0" w:line="240" w:lineRule="auto"/>
        <w:jc w:val="both"/>
        <w:rPr>
          <w:rFonts w:ascii="Arial" w:hAnsi="Arial" w:cs="Arial"/>
        </w:rPr>
      </w:pPr>
    </w:p>
    <w:p w14:paraId="1535C711"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 xml:space="preserve">Los Estados Financieros de los entes públicos, proveen de información financiera a los principales usuarios de </w:t>
      </w:r>
      <w:proofErr w:type="gramStart"/>
      <w:r w:rsidRPr="008A1738">
        <w:rPr>
          <w:rFonts w:ascii="Arial" w:hAnsi="Arial" w:cs="Arial"/>
          <w:sz w:val="20"/>
          <w:szCs w:val="20"/>
        </w:rPr>
        <w:t>la misma</w:t>
      </w:r>
      <w:proofErr w:type="gramEnd"/>
      <w:r w:rsidRPr="008A1738">
        <w:rPr>
          <w:rFonts w:ascii="Arial" w:hAnsi="Arial" w:cs="Arial"/>
          <w:sz w:val="20"/>
          <w:szCs w:val="20"/>
        </w:rPr>
        <w:t>, al</w:t>
      </w:r>
      <w:r w:rsidR="00E00323" w:rsidRPr="008A1738">
        <w:rPr>
          <w:rFonts w:ascii="Arial" w:hAnsi="Arial" w:cs="Arial"/>
          <w:sz w:val="20"/>
          <w:szCs w:val="20"/>
        </w:rPr>
        <w:t xml:space="preserve"> Congreso y a los ciudadanos.</w:t>
      </w:r>
    </w:p>
    <w:p w14:paraId="4B229105"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08224F5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8A1738">
        <w:rPr>
          <w:rFonts w:ascii="Arial" w:hAnsi="Arial" w:cs="Arial"/>
          <w:sz w:val="20"/>
          <w:szCs w:val="20"/>
        </w:rPr>
        <w:t>los m</w:t>
      </w:r>
      <w:r w:rsidR="00E00323" w:rsidRPr="008A1738">
        <w:rPr>
          <w:rFonts w:ascii="Arial" w:hAnsi="Arial" w:cs="Arial"/>
          <w:sz w:val="20"/>
          <w:szCs w:val="20"/>
        </w:rPr>
        <w:t>ismos</w:t>
      </w:r>
      <w:proofErr w:type="gramEnd"/>
      <w:r w:rsidR="00E00323" w:rsidRPr="008A1738">
        <w:rPr>
          <w:rFonts w:ascii="Arial" w:hAnsi="Arial" w:cs="Arial"/>
          <w:sz w:val="20"/>
          <w:szCs w:val="20"/>
        </w:rPr>
        <w:t xml:space="preserve"> y sus particularidades.</w:t>
      </w:r>
    </w:p>
    <w:p w14:paraId="274ADDB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7E280A1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8A1738">
        <w:rPr>
          <w:rFonts w:ascii="Arial" w:hAnsi="Arial" w:cs="Arial"/>
          <w:sz w:val="20"/>
          <w:szCs w:val="20"/>
        </w:rPr>
        <w:t>ones en períodos posteriores.</w:t>
      </w:r>
    </w:p>
    <w:p w14:paraId="61183467" w14:textId="77777777" w:rsidR="007D1E76" w:rsidRDefault="007D1E76" w:rsidP="00CB41C4">
      <w:pPr>
        <w:pStyle w:val="Prrafodelista"/>
        <w:tabs>
          <w:tab w:val="left" w:leader="underscore" w:pos="9639"/>
        </w:tabs>
        <w:spacing w:after="0" w:line="240" w:lineRule="auto"/>
        <w:jc w:val="both"/>
        <w:rPr>
          <w:rFonts w:ascii="Arial" w:hAnsi="Arial" w:cs="Arial"/>
          <w:sz w:val="20"/>
          <w:szCs w:val="20"/>
        </w:rPr>
      </w:pPr>
    </w:p>
    <w:p w14:paraId="789F2CA8" w14:textId="77777777" w:rsidR="00F911F6" w:rsidRPr="008A1738" w:rsidRDefault="00F911F6" w:rsidP="00CB41C4">
      <w:pPr>
        <w:pStyle w:val="Prrafodelista"/>
        <w:tabs>
          <w:tab w:val="left" w:leader="underscore" w:pos="9639"/>
        </w:tabs>
        <w:spacing w:after="0" w:line="240" w:lineRule="auto"/>
        <w:jc w:val="both"/>
        <w:rPr>
          <w:rFonts w:ascii="Arial" w:hAnsi="Arial" w:cs="Arial"/>
          <w:sz w:val="20"/>
          <w:szCs w:val="20"/>
        </w:rPr>
      </w:pPr>
    </w:p>
    <w:p w14:paraId="0D810FB0" w14:textId="77777777" w:rsidR="007D1E76" w:rsidRPr="008A1738" w:rsidRDefault="007D1E76" w:rsidP="00CB41C4">
      <w:pPr>
        <w:pStyle w:val="Prrafodelista"/>
        <w:numPr>
          <w:ilvl w:val="0"/>
          <w:numId w:val="1"/>
        </w:num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Las notas de gestión administrativa deben contener los siguientes puntos:</w:t>
      </w:r>
    </w:p>
    <w:p w14:paraId="2B4380B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57ADEC02" w14:textId="77777777" w:rsidR="00F46719" w:rsidRPr="008A1738" w:rsidRDefault="00F46719">
          <w:pPr>
            <w:pStyle w:val="TtuloTDC"/>
            <w:rPr>
              <w:rFonts w:ascii="Arial" w:hAnsi="Arial" w:cs="Arial"/>
              <w:sz w:val="20"/>
              <w:szCs w:val="20"/>
            </w:rPr>
          </w:pPr>
          <w:r w:rsidRPr="008A1738">
            <w:rPr>
              <w:rFonts w:ascii="Arial" w:hAnsi="Arial" w:cs="Arial"/>
              <w:sz w:val="20"/>
              <w:szCs w:val="20"/>
              <w:lang w:val="es-ES"/>
            </w:rPr>
            <w:t>Contenido</w:t>
          </w:r>
        </w:p>
        <w:p w14:paraId="4643E869" w14:textId="2360406F" w:rsidR="00CC21B8" w:rsidRDefault="00276DD2">
          <w:pPr>
            <w:pStyle w:val="TDC2"/>
            <w:tabs>
              <w:tab w:val="right" w:leader="dot" w:pos="9678"/>
            </w:tabs>
            <w:rPr>
              <w:rFonts w:asciiTheme="minorHAnsi" w:eastAsiaTheme="minorEastAsia" w:hAnsiTheme="minorHAnsi" w:cstheme="minorBidi"/>
              <w:noProof/>
              <w:lang w:eastAsia="es-MX"/>
            </w:rPr>
          </w:pPr>
          <w:r w:rsidRPr="008A1738">
            <w:rPr>
              <w:rFonts w:ascii="Arial" w:hAnsi="Arial" w:cs="Arial"/>
              <w:sz w:val="20"/>
              <w:szCs w:val="20"/>
            </w:rPr>
            <w:fldChar w:fldCharType="begin"/>
          </w:r>
          <w:r w:rsidR="00F46719" w:rsidRPr="008A1738">
            <w:rPr>
              <w:rFonts w:ascii="Arial" w:hAnsi="Arial" w:cs="Arial"/>
              <w:sz w:val="20"/>
              <w:szCs w:val="20"/>
            </w:rPr>
            <w:instrText xml:space="preserve"> TOC \o "1-3" \h \z \u </w:instrText>
          </w:r>
          <w:r w:rsidRPr="008A1738">
            <w:rPr>
              <w:rFonts w:ascii="Arial" w:hAnsi="Arial" w:cs="Arial"/>
              <w:sz w:val="20"/>
              <w:szCs w:val="20"/>
            </w:rPr>
            <w:fldChar w:fldCharType="separate"/>
          </w:r>
          <w:hyperlink w:anchor="_Toc136350930" w:history="1">
            <w:r w:rsidR="00CC21B8" w:rsidRPr="00515591">
              <w:rPr>
                <w:rStyle w:val="Hipervnculo"/>
                <w:rFonts w:ascii="Arial" w:hAnsi="Arial" w:cs="Arial"/>
                <w:b/>
                <w:noProof/>
              </w:rPr>
              <w:t>1. Autorización e Historia:</w:t>
            </w:r>
            <w:r w:rsidR="00CC21B8">
              <w:rPr>
                <w:noProof/>
                <w:webHidden/>
              </w:rPr>
              <w:tab/>
            </w:r>
            <w:r w:rsidR="00CC21B8">
              <w:rPr>
                <w:noProof/>
                <w:webHidden/>
              </w:rPr>
              <w:fldChar w:fldCharType="begin"/>
            </w:r>
            <w:r w:rsidR="00CC21B8">
              <w:rPr>
                <w:noProof/>
                <w:webHidden/>
              </w:rPr>
              <w:instrText xml:space="preserve"> PAGEREF _Toc136350930 \h </w:instrText>
            </w:r>
            <w:r w:rsidR="00CC21B8">
              <w:rPr>
                <w:noProof/>
                <w:webHidden/>
              </w:rPr>
            </w:r>
            <w:r w:rsidR="00CC21B8">
              <w:rPr>
                <w:noProof/>
                <w:webHidden/>
              </w:rPr>
              <w:fldChar w:fldCharType="separate"/>
            </w:r>
            <w:r w:rsidR="00912D59">
              <w:rPr>
                <w:noProof/>
                <w:webHidden/>
              </w:rPr>
              <w:t>2</w:t>
            </w:r>
            <w:r w:rsidR="00CC21B8">
              <w:rPr>
                <w:noProof/>
                <w:webHidden/>
              </w:rPr>
              <w:fldChar w:fldCharType="end"/>
            </w:r>
          </w:hyperlink>
        </w:p>
        <w:p w14:paraId="3637DC43" w14:textId="04CEC110" w:rsidR="00CC21B8" w:rsidRDefault="00CC21B8">
          <w:pPr>
            <w:pStyle w:val="TDC2"/>
            <w:tabs>
              <w:tab w:val="right" w:leader="dot" w:pos="9678"/>
            </w:tabs>
            <w:rPr>
              <w:rFonts w:asciiTheme="minorHAnsi" w:eastAsiaTheme="minorEastAsia" w:hAnsiTheme="minorHAnsi" w:cstheme="minorBidi"/>
              <w:noProof/>
              <w:lang w:eastAsia="es-MX"/>
            </w:rPr>
          </w:pPr>
          <w:hyperlink w:anchor="_Toc136350931" w:history="1">
            <w:r w:rsidRPr="00515591">
              <w:rPr>
                <w:rStyle w:val="Hipervnculo"/>
                <w:rFonts w:ascii="Arial" w:hAnsi="Arial" w:cs="Arial"/>
                <w:b/>
                <w:noProof/>
              </w:rPr>
              <w:t>2. Panorama Económico y Financiero:</w:t>
            </w:r>
            <w:r>
              <w:rPr>
                <w:noProof/>
                <w:webHidden/>
              </w:rPr>
              <w:tab/>
            </w:r>
            <w:r>
              <w:rPr>
                <w:noProof/>
                <w:webHidden/>
              </w:rPr>
              <w:fldChar w:fldCharType="begin"/>
            </w:r>
            <w:r>
              <w:rPr>
                <w:noProof/>
                <w:webHidden/>
              </w:rPr>
              <w:instrText xml:space="preserve"> PAGEREF _Toc136350931 \h </w:instrText>
            </w:r>
            <w:r>
              <w:rPr>
                <w:noProof/>
                <w:webHidden/>
              </w:rPr>
            </w:r>
            <w:r>
              <w:rPr>
                <w:noProof/>
                <w:webHidden/>
              </w:rPr>
              <w:fldChar w:fldCharType="separate"/>
            </w:r>
            <w:r w:rsidR="00912D59">
              <w:rPr>
                <w:noProof/>
                <w:webHidden/>
              </w:rPr>
              <w:t>3</w:t>
            </w:r>
            <w:r>
              <w:rPr>
                <w:noProof/>
                <w:webHidden/>
              </w:rPr>
              <w:fldChar w:fldCharType="end"/>
            </w:r>
          </w:hyperlink>
        </w:p>
        <w:p w14:paraId="1809C132" w14:textId="145C463E" w:rsidR="00CC21B8" w:rsidRDefault="00CC21B8">
          <w:pPr>
            <w:pStyle w:val="TDC2"/>
            <w:tabs>
              <w:tab w:val="right" w:leader="dot" w:pos="9678"/>
            </w:tabs>
            <w:rPr>
              <w:rFonts w:asciiTheme="minorHAnsi" w:eastAsiaTheme="minorEastAsia" w:hAnsiTheme="minorHAnsi" w:cstheme="minorBidi"/>
              <w:noProof/>
              <w:lang w:eastAsia="es-MX"/>
            </w:rPr>
          </w:pPr>
          <w:hyperlink w:anchor="_Toc136350932" w:history="1">
            <w:r w:rsidRPr="00515591">
              <w:rPr>
                <w:rStyle w:val="Hipervnculo"/>
                <w:rFonts w:ascii="Arial" w:hAnsi="Arial" w:cs="Arial"/>
                <w:b/>
                <w:noProof/>
              </w:rPr>
              <w:t>3. Organización y Objeto Social:</w:t>
            </w:r>
            <w:r>
              <w:rPr>
                <w:noProof/>
                <w:webHidden/>
              </w:rPr>
              <w:tab/>
            </w:r>
            <w:r>
              <w:rPr>
                <w:noProof/>
                <w:webHidden/>
              </w:rPr>
              <w:fldChar w:fldCharType="begin"/>
            </w:r>
            <w:r>
              <w:rPr>
                <w:noProof/>
                <w:webHidden/>
              </w:rPr>
              <w:instrText xml:space="preserve"> PAGEREF _Toc136350932 \h </w:instrText>
            </w:r>
            <w:r>
              <w:rPr>
                <w:noProof/>
                <w:webHidden/>
              </w:rPr>
            </w:r>
            <w:r>
              <w:rPr>
                <w:noProof/>
                <w:webHidden/>
              </w:rPr>
              <w:fldChar w:fldCharType="separate"/>
            </w:r>
            <w:r w:rsidR="00912D59">
              <w:rPr>
                <w:noProof/>
                <w:webHidden/>
              </w:rPr>
              <w:t>5</w:t>
            </w:r>
            <w:r>
              <w:rPr>
                <w:noProof/>
                <w:webHidden/>
              </w:rPr>
              <w:fldChar w:fldCharType="end"/>
            </w:r>
          </w:hyperlink>
        </w:p>
        <w:p w14:paraId="4945603F" w14:textId="0DA2595F" w:rsidR="00CC21B8" w:rsidRDefault="00CC21B8">
          <w:pPr>
            <w:pStyle w:val="TDC2"/>
            <w:tabs>
              <w:tab w:val="right" w:leader="dot" w:pos="9678"/>
            </w:tabs>
            <w:rPr>
              <w:rFonts w:asciiTheme="minorHAnsi" w:eastAsiaTheme="minorEastAsia" w:hAnsiTheme="minorHAnsi" w:cstheme="minorBidi"/>
              <w:noProof/>
              <w:lang w:eastAsia="es-MX"/>
            </w:rPr>
          </w:pPr>
          <w:hyperlink w:anchor="_Toc136350933" w:history="1">
            <w:r w:rsidRPr="00515591">
              <w:rPr>
                <w:rStyle w:val="Hipervnculo"/>
                <w:rFonts w:ascii="Arial" w:hAnsi="Arial" w:cs="Arial"/>
                <w:b/>
                <w:noProof/>
              </w:rPr>
              <w:t>4. Bases de Preparación de los Estados Financieros:</w:t>
            </w:r>
            <w:r>
              <w:rPr>
                <w:noProof/>
                <w:webHidden/>
              </w:rPr>
              <w:tab/>
            </w:r>
            <w:r>
              <w:rPr>
                <w:noProof/>
                <w:webHidden/>
              </w:rPr>
              <w:fldChar w:fldCharType="begin"/>
            </w:r>
            <w:r>
              <w:rPr>
                <w:noProof/>
                <w:webHidden/>
              </w:rPr>
              <w:instrText xml:space="preserve"> PAGEREF _Toc136350933 \h </w:instrText>
            </w:r>
            <w:r>
              <w:rPr>
                <w:noProof/>
                <w:webHidden/>
              </w:rPr>
            </w:r>
            <w:r>
              <w:rPr>
                <w:noProof/>
                <w:webHidden/>
              </w:rPr>
              <w:fldChar w:fldCharType="separate"/>
            </w:r>
            <w:r w:rsidR="00912D59">
              <w:rPr>
                <w:noProof/>
                <w:webHidden/>
              </w:rPr>
              <w:t>10</w:t>
            </w:r>
            <w:r>
              <w:rPr>
                <w:noProof/>
                <w:webHidden/>
              </w:rPr>
              <w:fldChar w:fldCharType="end"/>
            </w:r>
          </w:hyperlink>
        </w:p>
        <w:p w14:paraId="058A3CDD" w14:textId="6B57876F" w:rsidR="00CC21B8" w:rsidRDefault="00CC21B8">
          <w:pPr>
            <w:pStyle w:val="TDC2"/>
            <w:tabs>
              <w:tab w:val="right" w:leader="dot" w:pos="9678"/>
            </w:tabs>
            <w:rPr>
              <w:rFonts w:asciiTheme="minorHAnsi" w:eastAsiaTheme="minorEastAsia" w:hAnsiTheme="minorHAnsi" w:cstheme="minorBidi"/>
              <w:noProof/>
              <w:lang w:eastAsia="es-MX"/>
            </w:rPr>
          </w:pPr>
          <w:hyperlink w:anchor="_Toc136350934" w:history="1">
            <w:r w:rsidRPr="00515591">
              <w:rPr>
                <w:rStyle w:val="Hipervnculo"/>
                <w:rFonts w:ascii="Arial" w:hAnsi="Arial" w:cs="Arial"/>
                <w:b/>
                <w:noProof/>
              </w:rPr>
              <w:t>5. Políticas de Contabilidad Significativas:</w:t>
            </w:r>
            <w:r>
              <w:rPr>
                <w:noProof/>
                <w:webHidden/>
              </w:rPr>
              <w:tab/>
            </w:r>
            <w:r>
              <w:rPr>
                <w:noProof/>
                <w:webHidden/>
              </w:rPr>
              <w:fldChar w:fldCharType="begin"/>
            </w:r>
            <w:r>
              <w:rPr>
                <w:noProof/>
                <w:webHidden/>
              </w:rPr>
              <w:instrText xml:space="preserve"> PAGEREF _Toc136350934 \h </w:instrText>
            </w:r>
            <w:r>
              <w:rPr>
                <w:noProof/>
                <w:webHidden/>
              </w:rPr>
            </w:r>
            <w:r>
              <w:rPr>
                <w:noProof/>
                <w:webHidden/>
              </w:rPr>
              <w:fldChar w:fldCharType="separate"/>
            </w:r>
            <w:r w:rsidR="00912D59">
              <w:rPr>
                <w:noProof/>
                <w:webHidden/>
              </w:rPr>
              <w:t>11</w:t>
            </w:r>
            <w:r>
              <w:rPr>
                <w:noProof/>
                <w:webHidden/>
              </w:rPr>
              <w:fldChar w:fldCharType="end"/>
            </w:r>
          </w:hyperlink>
        </w:p>
        <w:p w14:paraId="234D93F3" w14:textId="75D9F950" w:rsidR="00CC21B8" w:rsidRDefault="00CC21B8">
          <w:pPr>
            <w:pStyle w:val="TDC2"/>
            <w:tabs>
              <w:tab w:val="right" w:leader="dot" w:pos="9678"/>
            </w:tabs>
            <w:rPr>
              <w:rFonts w:asciiTheme="minorHAnsi" w:eastAsiaTheme="minorEastAsia" w:hAnsiTheme="minorHAnsi" w:cstheme="minorBidi"/>
              <w:noProof/>
              <w:lang w:eastAsia="es-MX"/>
            </w:rPr>
          </w:pPr>
          <w:hyperlink w:anchor="_Toc136350935" w:history="1">
            <w:r w:rsidRPr="00515591">
              <w:rPr>
                <w:rStyle w:val="Hipervnculo"/>
                <w:rFonts w:ascii="Arial" w:hAnsi="Arial" w:cs="Arial"/>
                <w:b/>
                <w:noProof/>
              </w:rPr>
              <w:t>6. Posición en Moneda Extranjera y Protección por Riesgo Cambiario:</w:t>
            </w:r>
            <w:r>
              <w:rPr>
                <w:noProof/>
                <w:webHidden/>
              </w:rPr>
              <w:tab/>
            </w:r>
            <w:r>
              <w:rPr>
                <w:noProof/>
                <w:webHidden/>
              </w:rPr>
              <w:fldChar w:fldCharType="begin"/>
            </w:r>
            <w:r>
              <w:rPr>
                <w:noProof/>
                <w:webHidden/>
              </w:rPr>
              <w:instrText xml:space="preserve"> PAGEREF _Toc136350935 \h </w:instrText>
            </w:r>
            <w:r>
              <w:rPr>
                <w:noProof/>
                <w:webHidden/>
              </w:rPr>
            </w:r>
            <w:r>
              <w:rPr>
                <w:noProof/>
                <w:webHidden/>
              </w:rPr>
              <w:fldChar w:fldCharType="separate"/>
            </w:r>
            <w:r w:rsidR="00912D59">
              <w:rPr>
                <w:noProof/>
                <w:webHidden/>
              </w:rPr>
              <w:t>16</w:t>
            </w:r>
            <w:r>
              <w:rPr>
                <w:noProof/>
                <w:webHidden/>
              </w:rPr>
              <w:fldChar w:fldCharType="end"/>
            </w:r>
          </w:hyperlink>
        </w:p>
        <w:p w14:paraId="72318473" w14:textId="63D5167B" w:rsidR="00CC21B8" w:rsidRDefault="00CC21B8">
          <w:pPr>
            <w:pStyle w:val="TDC2"/>
            <w:tabs>
              <w:tab w:val="right" w:leader="dot" w:pos="9678"/>
            </w:tabs>
            <w:rPr>
              <w:rFonts w:asciiTheme="minorHAnsi" w:eastAsiaTheme="minorEastAsia" w:hAnsiTheme="minorHAnsi" w:cstheme="minorBidi"/>
              <w:noProof/>
              <w:lang w:eastAsia="es-MX"/>
            </w:rPr>
          </w:pPr>
          <w:hyperlink w:anchor="_Toc136350936" w:history="1">
            <w:r w:rsidRPr="00515591">
              <w:rPr>
                <w:rStyle w:val="Hipervnculo"/>
                <w:rFonts w:ascii="Arial" w:hAnsi="Arial" w:cs="Arial"/>
                <w:b/>
                <w:noProof/>
              </w:rPr>
              <w:t>7. Reporte Analítico del Activo:</w:t>
            </w:r>
            <w:r>
              <w:rPr>
                <w:noProof/>
                <w:webHidden/>
              </w:rPr>
              <w:tab/>
            </w:r>
            <w:r>
              <w:rPr>
                <w:noProof/>
                <w:webHidden/>
              </w:rPr>
              <w:fldChar w:fldCharType="begin"/>
            </w:r>
            <w:r>
              <w:rPr>
                <w:noProof/>
                <w:webHidden/>
              </w:rPr>
              <w:instrText xml:space="preserve"> PAGEREF _Toc136350936 \h </w:instrText>
            </w:r>
            <w:r>
              <w:rPr>
                <w:noProof/>
                <w:webHidden/>
              </w:rPr>
            </w:r>
            <w:r>
              <w:rPr>
                <w:noProof/>
                <w:webHidden/>
              </w:rPr>
              <w:fldChar w:fldCharType="separate"/>
            </w:r>
            <w:r w:rsidR="00912D59">
              <w:rPr>
                <w:noProof/>
                <w:webHidden/>
              </w:rPr>
              <w:t>16</w:t>
            </w:r>
            <w:r>
              <w:rPr>
                <w:noProof/>
                <w:webHidden/>
              </w:rPr>
              <w:fldChar w:fldCharType="end"/>
            </w:r>
          </w:hyperlink>
        </w:p>
        <w:p w14:paraId="70B3324D" w14:textId="3B4F4B19" w:rsidR="00CC21B8" w:rsidRDefault="00CC21B8">
          <w:pPr>
            <w:pStyle w:val="TDC2"/>
            <w:tabs>
              <w:tab w:val="right" w:leader="dot" w:pos="9678"/>
            </w:tabs>
            <w:rPr>
              <w:rFonts w:asciiTheme="minorHAnsi" w:eastAsiaTheme="minorEastAsia" w:hAnsiTheme="minorHAnsi" w:cstheme="minorBidi"/>
              <w:noProof/>
              <w:lang w:eastAsia="es-MX"/>
            </w:rPr>
          </w:pPr>
          <w:hyperlink w:anchor="_Toc136350937" w:history="1">
            <w:r w:rsidRPr="00515591">
              <w:rPr>
                <w:rStyle w:val="Hipervnculo"/>
                <w:rFonts w:ascii="Arial" w:hAnsi="Arial" w:cs="Arial"/>
                <w:b/>
                <w:noProof/>
              </w:rPr>
              <w:t>8. Fideicomisos, Mandatos y Análogos:</w:t>
            </w:r>
            <w:r>
              <w:rPr>
                <w:noProof/>
                <w:webHidden/>
              </w:rPr>
              <w:tab/>
            </w:r>
            <w:r>
              <w:rPr>
                <w:noProof/>
                <w:webHidden/>
              </w:rPr>
              <w:fldChar w:fldCharType="begin"/>
            </w:r>
            <w:r>
              <w:rPr>
                <w:noProof/>
                <w:webHidden/>
              </w:rPr>
              <w:instrText xml:space="preserve"> PAGEREF _Toc136350937 \h </w:instrText>
            </w:r>
            <w:r>
              <w:rPr>
                <w:noProof/>
                <w:webHidden/>
              </w:rPr>
            </w:r>
            <w:r>
              <w:rPr>
                <w:noProof/>
                <w:webHidden/>
              </w:rPr>
              <w:fldChar w:fldCharType="separate"/>
            </w:r>
            <w:r w:rsidR="00912D59">
              <w:rPr>
                <w:noProof/>
                <w:webHidden/>
              </w:rPr>
              <w:t>18</w:t>
            </w:r>
            <w:r>
              <w:rPr>
                <w:noProof/>
                <w:webHidden/>
              </w:rPr>
              <w:fldChar w:fldCharType="end"/>
            </w:r>
          </w:hyperlink>
        </w:p>
        <w:p w14:paraId="259D9E00" w14:textId="75CD485C" w:rsidR="00CC21B8" w:rsidRDefault="00CC21B8">
          <w:pPr>
            <w:pStyle w:val="TDC2"/>
            <w:tabs>
              <w:tab w:val="right" w:leader="dot" w:pos="9678"/>
            </w:tabs>
            <w:rPr>
              <w:rFonts w:asciiTheme="minorHAnsi" w:eastAsiaTheme="minorEastAsia" w:hAnsiTheme="minorHAnsi" w:cstheme="minorBidi"/>
              <w:noProof/>
              <w:lang w:eastAsia="es-MX"/>
            </w:rPr>
          </w:pPr>
          <w:hyperlink w:anchor="_Toc136350938" w:history="1">
            <w:r w:rsidRPr="00515591">
              <w:rPr>
                <w:rStyle w:val="Hipervnculo"/>
                <w:rFonts w:ascii="Arial" w:hAnsi="Arial" w:cs="Arial"/>
                <w:b/>
                <w:noProof/>
              </w:rPr>
              <w:t>9. Reporte de la Recaudación:</w:t>
            </w:r>
            <w:r>
              <w:rPr>
                <w:noProof/>
                <w:webHidden/>
              </w:rPr>
              <w:tab/>
            </w:r>
            <w:r>
              <w:rPr>
                <w:noProof/>
                <w:webHidden/>
              </w:rPr>
              <w:fldChar w:fldCharType="begin"/>
            </w:r>
            <w:r>
              <w:rPr>
                <w:noProof/>
                <w:webHidden/>
              </w:rPr>
              <w:instrText xml:space="preserve"> PAGEREF _Toc136350938 \h </w:instrText>
            </w:r>
            <w:r>
              <w:rPr>
                <w:noProof/>
                <w:webHidden/>
              </w:rPr>
            </w:r>
            <w:r>
              <w:rPr>
                <w:noProof/>
                <w:webHidden/>
              </w:rPr>
              <w:fldChar w:fldCharType="separate"/>
            </w:r>
            <w:r w:rsidR="00912D59">
              <w:rPr>
                <w:noProof/>
                <w:webHidden/>
              </w:rPr>
              <w:t>18</w:t>
            </w:r>
            <w:r>
              <w:rPr>
                <w:noProof/>
                <w:webHidden/>
              </w:rPr>
              <w:fldChar w:fldCharType="end"/>
            </w:r>
          </w:hyperlink>
        </w:p>
        <w:p w14:paraId="2AC31A60" w14:textId="32DA4F90" w:rsidR="00CC21B8" w:rsidRDefault="00CC21B8">
          <w:pPr>
            <w:pStyle w:val="TDC2"/>
            <w:tabs>
              <w:tab w:val="right" w:leader="dot" w:pos="9678"/>
            </w:tabs>
            <w:rPr>
              <w:rFonts w:asciiTheme="minorHAnsi" w:eastAsiaTheme="minorEastAsia" w:hAnsiTheme="minorHAnsi" w:cstheme="minorBidi"/>
              <w:noProof/>
              <w:lang w:eastAsia="es-MX"/>
            </w:rPr>
          </w:pPr>
          <w:hyperlink w:anchor="_Toc136350939" w:history="1">
            <w:r w:rsidRPr="00515591">
              <w:rPr>
                <w:rStyle w:val="Hipervnculo"/>
                <w:rFonts w:ascii="Arial" w:hAnsi="Arial" w:cs="Arial"/>
                <w:b/>
                <w:noProof/>
              </w:rPr>
              <w:t>10. Información sobre la Deuda y el Reporte Analítico de la Deuda:</w:t>
            </w:r>
            <w:r>
              <w:rPr>
                <w:noProof/>
                <w:webHidden/>
              </w:rPr>
              <w:tab/>
            </w:r>
            <w:r>
              <w:rPr>
                <w:noProof/>
                <w:webHidden/>
              </w:rPr>
              <w:fldChar w:fldCharType="begin"/>
            </w:r>
            <w:r>
              <w:rPr>
                <w:noProof/>
                <w:webHidden/>
              </w:rPr>
              <w:instrText xml:space="preserve"> PAGEREF _Toc136350939 \h </w:instrText>
            </w:r>
            <w:r>
              <w:rPr>
                <w:noProof/>
                <w:webHidden/>
              </w:rPr>
            </w:r>
            <w:r>
              <w:rPr>
                <w:noProof/>
                <w:webHidden/>
              </w:rPr>
              <w:fldChar w:fldCharType="separate"/>
            </w:r>
            <w:r w:rsidR="00912D59">
              <w:rPr>
                <w:noProof/>
                <w:webHidden/>
              </w:rPr>
              <w:t>18</w:t>
            </w:r>
            <w:r>
              <w:rPr>
                <w:noProof/>
                <w:webHidden/>
              </w:rPr>
              <w:fldChar w:fldCharType="end"/>
            </w:r>
          </w:hyperlink>
        </w:p>
        <w:p w14:paraId="19D7AD71" w14:textId="1A64EC38" w:rsidR="00CC21B8" w:rsidRDefault="00CC21B8">
          <w:pPr>
            <w:pStyle w:val="TDC2"/>
            <w:tabs>
              <w:tab w:val="right" w:leader="dot" w:pos="9678"/>
            </w:tabs>
            <w:rPr>
              <w:rFonts w:asciiTheme="minorHAnsi" w:eastAsiaTheme="minorEastAsia" w:hAnsiTheme="minorHAnsi" w:cstheme="minorBidi"/>
              <w:noProof/>
              <w:lang w:eastAsia="es-MX"/>
            </w:rPr>
          </w:pPr>
          <w:hyperlink w:anchor="_Toc136350940" w:history="1">
            <w:r w:rsidRPr="00515591">
              <w:rPr>
                <w:rStyle w:val="Hipervnculo"/>
                <w:rFonts w:ascii="Arial" w:hAnsi="Arial" w:cs="Arial"/>
                <w:b/>
                <w:noProof/>
              </w:rPr>
              <w:t>11. Calificaciones otorgadas:</w:t>
            </w:r>
            <w:r>
              <w:rPr>
                <w:noProof/>
                <w:webHidden/>
              </w:rPr>
              <w:tab/>
            </w:r>
            <w:r>
              <w:rPr>
                <w:noProof/>
                <w:webHidden/>
              </w:rPr>
              <w:fldChar w:fldCharType="begin"/>
            </w:r>
            <w:r>
              <w:rPr>
                <w:noProof/>
                <w:webHidden/>
              </w:rPr>
              <w:instrText xml:space="preserve"> PAGEREF _Toc136350940 \h </w:instrText>
            </w:r>
            <w:r>
              <w:rPr>
                <w:noProof/>
                <w:webHidden/>
              </w:rPr>
            </w:r>
            <w:r>
              <w:rPr>
                <w:noProof/>
                <w:webHidden/>
              </w:rPr>
              <w:fldChar w:fldCharType="separate"/>
            </w:r>
            <w:r w:rsidR="00912D59">
              <w:rPr>
                <w:noProof/>
                <w:webHidden/>
              </w:rPr>
              <w:t>18</w:t>
            </w:r>
            <w:r>
              <w:rPr>
                <w:noProof/>
                <w:webHidden/>
              </w:rPr>
              <w:fldChar w:fldCharType="end"/>
            </w:r>
          </w:hyperlink>
        </w:p>
        <w:p w14:paraId="0225965B" w14:textId="62ECAEA2" w:rsidR="00CC21B8" w:rsidRDefault="00CC21B8">
          <w:pPr>
            <w:pStyle w:val="TDC2"/>
            <w:tabs>
              <w:tab w:val="right" w:leader="dot" w:pos="9678"/>
            </w:tabs>
            <w:rPr>
              <w:rFonts w:asciiTheme="minorHAnsi" w:eastAsiaTheme="minorEastAsia" w:hAnsiTheme="minorHAnsi" w:cstheme="minorBidi"/>
              <w:noProof/>
              <w:lang w:eastAsia="es-MX"/>
            </w:rPr>
          </w:pPr>
          <w:hyperlink w:anchor="_Toc136350941" w:history="1">
            <w:r w:rsidRPr="00515591">
              <w:rPr>
                <w:rStyle w:val="Hipervnculo"/>
                <w:rFonts w:ascii="Arial" w:hAnsi="Arial" w:cs="Arial"/>
                <w:b/>
                <w:noProof/>
              </w:rPr>
              <w:t>12. Proceso de Mejora:</w:t>
            </w:r>
            <w:r>
              <w:rPr>
                <w:noProof/>
                <w:webHidden/>
              </w:rPr>
              <w:tab/>
            </w:r>
            <w:r>
              <w:rPr>
                <w:noProof/>
                <w:webHidden/>
              </w:rPr>
              <w:fldChar w:fldCharType="begin"/>
            </w:r>
            <w:r>
              <w:rPr>
                <w:noProof/>
                <w:webHidden/>
              </w:rPr>
              <w:instrText xml:space="preserve"> PAGEREF _Toc136350941 \h </w:instrText>
            </w:r>
            <w:r>
              <w:rPr>
                <w:noProof/>
                <w:webHidden/>
              </w:rPr>
            </w:r>
            <w:r>
              <w:rPr>
                <w:noProof/>
                <w:webHidden/>
              </w:rPr>
              <w:fldChar w:fldCharType="separate"/>
            </w:r>
            <w:r w:rsidR="00912D59">
              <w:rPr>
                <w:noProof/>
                <w:webHidden/>
              </w:rPr>
              <w:t>18</w:t>
            </w:r>
            <w:r>
              <w:rPr>
                <w:noProof/>
                <w:webHidden/>
              </w:rPr>
              <w:fldChar w:fldCharType="end"/>
            </w:r>
          </w:hyperlink>
        </w:p>
        <w:p w14:paraId="7705CD6A" w14:textId="34FF125A" w:rsidR="00CC21B8" w:rsidRDefault="00CC21B8">
          <w:pPr>
            <w:pStyle w:val="TDC2"/>
            <w:tabs>
              <w:tab w:val="right" w:leader="dot" w:pos="9678"/>
            </w:tabs>
            <w:rPr>
              <w:rFonts w:asciiTheme="minorHAnsi" w:eastAsiaTheme="minorEastAsia" w:hAnsiTheme="minorHAnsi" w:cstheme="minorBidi"/>
              <w:noProof/>
              <w:lang w:eastAsia="es-MX"/>
            </w:rPr>
          </w:pPr>
          <w:hyperlink w:anchor="_Toc136350942" w:history="1">
            <w:r w:rsidRPr="00515591">
              <w:rPr>
                <w:rStyle w:val="Hipervnculo"/>
                <w:rFonts w:ascii="Arial" w:hAnsi="Arial" w:cs="Arial"/>
                <w:b/>
                <w:noProof/>
              </w:rPr>
              <w:t>13. Información por Segmentos:</w:t>
            </w:r>
            <w:r>
              <w:rPr>
                <w:noProof/>
                <w:webHidden/>
              </w:rPr>
              <w:tab/>
            </w:r>
            <w:r>
              <w:rPr>
                <w:noProof/>
                <w:webHidden/>
              </w:rPr>
              <w:fldChar w:fldCharType="begin"/>
            </w:r>
            <w:r>
              <w:rPr>
                <w:noProof/>
                <w:webHidden/>
              </w:rPr>
              <w:instrText xml:space="preserve"> PAGEREF _Toc136350942 \h </w:instrText>
            </w:r>
            <w:r>
              <w:rPr>
                <w:noProof/>
                <w:webHidden/>
              </w:rPr>
            </w:r>
            <w:r>
              <w:rPr>
                <w:noProof/>
                <w:webHidden/>
              </w:rPr>
              <w:fldChar w:fldCharType="separate"/>
            </w:r>
            <w:r w:rsidR="00912D59">
              <w:rPr>
                <w:noProof/>
                <w:webHidden/>
              </w:rPr>
              <w:t>19</w:t>
            </w:r>
            <w:r>
              <w:rPr>
                <w:noProof/>
                <w:webHidden/>
              </w:rPr>
              <w:fldChar w:fldCharType="end"/>
            </w:r>
          </w:hyperlink>
        </w:p>
        <w:p w14:paraId="34A649BB" w14:textId="36E8FABC" w:rsidR="00CC21B8" w:rsidRDefault="00CC21B8">
          <w:pPr>
            <w:pStyle w:val="TDC2"/>
            <w:tabs>
              <w:tab w:val="right" w:leader="dot" w:pos="9678"/>
            </w:tabs>
            <w:rPr>
              <w:rFonts w:asciiTheme="minorHAnsi" w:eastAsiaTheme="minorEastAsia" w:hAnsiTheme="minorHAnsi" w:cstheme="minorBidi"/>
              <w:noProof/>
              <w:lang w:eastAsia="es-MX"/>
            </w:rPr>
          </w:pPr>
          <w:hyperlink w:anchor="_Toc136350943" w:history="1">
            <w:r w:rsidRPr="00515591">
              <w:rPr>
                <w:rStyle w:val="Hipervnculo"/>
                <w:rFonts w:ascii="Arial" w:hAnsi="Arial" w:cs="Arial"/>
                <w:b/>
                <w:noProof/>
              </w:rPr>
              <w:t>14. Eventos Posteriores al Cierre:</w:t>
            </w:r>
            <w:r>
              <w:rPr>
                <w:noProof/>
                <w:webHidden/>
              </w:rPr>
              <w:tab/>
            </w:r>
            <w:r>
              <w:rPr>
                <w:noProof/>
                <w:webHidden/>
              </w:rPr>
              <w:fldChar w:fldCharType="begin"/>
            </w:r>
            <w:r>
              <w:rPr>
                <w:noProof/>
                <w:webHidden/>
              </w:rPr>
              <w:instrText xml:space="preserve"> PAGEREF _Toc136350943 \h </w:instrText>
            </w:r>
            <w:r>
              <w:rPr>
                <w:noProof/>
                <w:webHidden/>
              </w:rPr>
            </w:r>
            <w:r>
              <w:rPr>
                <w:noProof/>
                <w:webHidden/>
              </w:rPr>
              <w:fldChar w:fldCharType="separate"/>
            </w:r>
            <w:r w:rsidR="00912D59">
              <w:rPr>
                <w:noProof/>
                <w:webHidden/>
              </w:rPr>
              <w:t>19</w:t>
            </w:r>
            <w:r>
              <w:rPr>
                <w:noProof/>
                <w:webHidden/>
              </w:rPr>
              <w:fldChar w:fldCharType="end"/>
            </w:r>
          </w:hyperlink>
        </w:p>
        <w:p w14:paraId="6A675CD4" w14:textId="33B78440" w:rsidR="00CC21B8" w:rsidRDefault="00CC21B8">
          <w:pPr>
            <w:pStyle w:val="TDC2"/>
            <w:tabs>
              <w:tab w:val="right" w:leader="dot" w:pos="9678"/>
            </w:tabs>
            <w:rPr>
              <w:rFonts w:asciiTheme="minorHAnsi" w:eastAsiaTheme="minorEastAsia" w:hAnsiTheme="minorHAnsi" w:cstheme="minorBidi"/>
              <w:noProof/>
              <w:lang w:eastAsia="es-MX"/>
            </w:rPr>
          </w:pPr>
          <w:hyperlink w:anchor="_Toc136350944" w:history="1">
            <w:r w:rsidRPr="00515591">
              <w:rPr>
                <w:rStyle w:val="Hipervnculo"/>
                <w:rFonts w:ascii="Arial" w:hAnsi="Arial" w:cs="Arial"/>
                <w:b/>
                <w:noProof/>
              </w:rPr>
              <w:t>15. Partes Relacionadas:</w:t>
            </w:r>
            <w:r>
              <w:rPr>
                <w:noProof/>
                <w:webHidden/>
              </w:rPr>
              <w:tab/>
            </w:r>
            <w:r>
              <w:rPr>
                <w:noProof/>
                <w:webHidden/>
              </w:rPr>
              <w:fldChar w:fldCharType="begin"/>
            </w:r>
            <w:r>
              <w:rPr>
                <w:noProof/>
                <w:webHidden/>
              </w:rPr>
              <w:instrText xml:space="preserve"> PAGEREF _Toc136350944 \h </w:instrText>
            </w:r>
            <w:r>
              <w:rPr>
                <w:noProof/>
                <w:webHidden/>
              </w:rPr>
            </w:r>
            <w:r>
              <w:rPr>
                <w:noProof/>
                <w:webHidden/>
              </w:rPr>
              <w:fldChar w:fldCharType="separate"/>
            </w:r>
            <w:r w:rsidR="00912D59">
              <w:rPr>
                <w:noProof/>
                <w:webHidden/>
              </w:rPr>
              <w:t>19</w:t>
            </w:r>
            <w:r>
              <w:rPr>
                <w:noProof/>
                <w:webHidden/>
              </w:rPr>
              <w:fldChar w:fldCharType="end"/>
            </w:r>
          </w:hyperlink>
        </w:p>
        <w:p w14:paraId="1A611F50" w14:textId="57F2D2C5" w:rsidR="00CC21B8" w:rsidRDefault="00CC21B8">
          <w:pPr>
            <w:pStyle w:val="TDC2"/>
            <w:tabs>
              <w:tab w:val="right" w:leader="dot" w:pos="9678"/>
            </w:tabs>
            <w:rPr>
              <w:rFonts w:asciiTheme="minorHAnsi" w:eastAsiaTheme="minorEastAsia" w:hAnsiTheme="minorHAnsi" w:cstheme="minorBidi"/>
              <w:noProof/>
              <w:lang w:eastAsia="es-MX"/>
            </w:rPr>
          </w:pPr>
          <w:hyperlink w:anchor="_Toc136350945" w:history="1">
            <w:r w:rsidRPr="00515591">
              <w:rPr>
                <w:rStyle w:val="Hipervnculo"/>
                <w:rFonts w:ascii="Arial" w:hAnsi="Arial" w:cs="Arial"/>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_Toc136350945 \h </w:instrText>
            </w:r>
            <w:r>
              <w:rPr>
                <w:noProof/>
                <w:webHidden/>
              </w:rPr>
            </w:r>
            <w:r>
              <w:rPr>
                <w:noProof/>
                <w:webHidden/>
              </w:rPr>
              <w:fldChar w:fldCharType="separate"/>
            </w:r>
            <w:r w:rsidR="00912D59">
              <w:rPr>
                <w:noProof/>
                <w:webHidden/>
              </w:rPr>
              <w:t>19</w:t>
            </w:r>
            <w:r>
              <w:rPr>
                <w:noProof/>
                <w:webHidden/>
              </w:rPr>
              <w:fldChar w:fldCharType="end"/>
            </w:r>
          </w:hyperlink>
        </w:p>
        <w:p w14:paraId="1AFB01ED" w14:textId="77777777" w:rsidR="00F46719" w:rsidRPr="008A1738" w:rsidRDefault="00276DD2">
          <w:pPr>
            <w:rPr>
              <w:rFonts w:ascii="Arial" w:hAnsi="Arial" w:cs="Arial"/>
              <w:sz w:val="20"/>
              <w:szCs w:val="20"/>
            </w:rPr>
          </w:pPr>
          <w:r w:rsidRPr="008A1738">
            <w:rPr>
              <w:rFonts w:ascii="Arial" w:hAnsi="Arial" w:cs="Arial"/>
              <w:b/>
              <w:bCs/>
              <w:sz w:val="20"/>
              <w:szCs w:val="20"/>
              <w:lang w:val="es-ES"/>
            </w:rPr>
            <w:fldChar w:fldCharType="end"/>
          </w:r>
        </w:p>
      </w:sdtContent>
    </w:sdt>
    <w:p w14:paraId="2A85ADFA" w14:textId="77777777" w:rsidR="00F46719" w:rsidRPr="008A1738" w:rsidRDefault="00F46719" w:rsidP="00CB41C4">
      <w:pPr>
        <w:tabs>
          <w:tab w:val="left" w:leader="underscore" w:pos="9639"/>
        </w:tabs>
        <w:spacing w:after="0" w:line="240" w:lineRule="auto"/>
        <w:jc w:val="both"/>
        <w:rPr>
          <w:rFonts w:ascii="Arial" w:hAnsi="Arial" w:cs="Arial"/>
          <w:sz w:val="20"/>
          <w:szCs w:val="20"/>
        </w:rPr>
      </w:pPr>
    </w:p>
    <w:p w14:paraId="6570113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751F43B" w14:textId="77777777" w:rsidR="00D02462" w:rsidRDefault="00D02462" w:rsidP="000C3365">
      <w:pPr>
        <w:pStyle w:val="Ttulo2"/>
        <w:rPr>
          <w:rFonts w:ascii="Arial" w:hAnsi="Arial" w:cs="Arial"/>
          <w:b/>
          <w:color w:val="auto"/>
          <w:sz w:val="20"/>
          <w:szCs w:val="20"/>
        </w:rPr>
      </w:pPr>
    </w:p>
    <w:p w14:paraId="3E132F36" w14:textId="77777777" w:rsidR="00D02462" w:rsidRPr="00D02462" w:rsidRDefault="00D02462" w:rsidP="00D02462">
      <w:pPr>
        <w:rPr>
          <w:b/>
        </w:rPr>
      </w:pPr>
      <w:r w:rsidRPr="00D02462">
        <w:rPr>
          <w:b/>
        </w:rPr>
        <w:t>Introducción:</w:t>
      </w:r>
    </w:p>
    <w:p w14:paraId="0106F1CE"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Breve descripción de las actividades principales de la entidad.</w:t>
      </w:r>
    </w:p>
    <w:p w14:paraId="02770E62" w14:textId="77777777" w:rsidR="00D02462" w:rsidRDefault="00D02462" w:rsidP="00D02462">
      <w:pPr>
        <w:spacing w:after="0" w:line="240" w:lineRule="auto"/>
        <w:jc w:val="both"/>
        <w:rPr>
          <w:rFonts w:ascii="Arial" w:hAnsi="Arial" w:cs="Arial"/>
          <w:sz w:val="20"/>
          <w:szCs w:val="20"/>
        </w:rPr>
      </w:pPr>
    </w:p>
    <w:p w14:paraId="2C6F6EF7" w14:textId="77777777" w:rsidR="00D02462" w:rsidRDefault="00D02462" w:rsidP="00D02462">
      <w:pPr>
        <w:spacing w:after="0" w:line="240" w:lineRule="auto"/>
        <w:jc w:val="both"/>
        <w:rPr>
          <w:rFonts w:ascii="Arial" w:hAnsi="Arial" w:cs="Arial"/>
          <w:sz w:val="20"/>
          <w:szCs w:val="20"/>
        </w:rPr>
      </w:pPr>
      <w:r w:rsidRPr="008A1738">
        <w:rPr>
          <w:rFonts w:ascii="Arial" w:hAnsi="Arial" w:cs="Arial"/>
          <w:sz w:val="20"/>
          <w:szCs w:val="20"/>
        </w:rPr>
        <w:t>Denominado comercialmente como: “Fondos Guanajuato”, se desempeñan funciones y actividades de Financiamiento en apoyo a la</w:t>
      </w:r>
      <w:r>
        <w:rPr>
          <w:rFonts w:ascii="Arial" w:hAnsi="Arial" w:cs="Arial"/>
          <w:sz w:val="20"/>
          <w:szCs w:val="20"/>
        </w:rPr>
        <w:t>s</w:t>
      </w:r>
      <w:r w:rsidRPr="008A1738">
        <w:rPr>
          <w:rFonts w:ascii="Arial" w:hAnsi="Arial" w:cs="Arial"/>
          <w:sz w:val="20"/>
          <w:szCs w:val="20"/>
        </w:rPr>
        <w:t xml:space="preserve"> Micro, Pequeña</w:t>
      </w:r>
      <w:r>
        <w:rPr>
          <w:rFonts w:ascii="Arial" w:hAnsi="Arial" w:cs="Arial"/>
          <w:sz w:val="20"/>
          <w:szCs w:val="20"/>
        </w:rPr>
        <w:t>s</w:t>
      </w:r>
      <w:r w:rsidRPr="008A1738">
        <w:rPr>
          <w:rFonts w:ascii="Arial" w:hAnsi="Arial" w:cs="Arial"/>
          <w:sz w:val="20"/>
          <w:szCs w:val="20"/>
        </w:rPr>
        <w:t xml:space="preserve"> y Mediana</w:t>
      </w:r>
      <w:r>
        <w:rPr>
          <w:rFonts w:ascii="Arial" w:hAnsi="Arial" w:cs="Arial"/>
          <w:sz w:val="20"/>
          <w:szCs w:val="20"/>
        </w:rPr>
        <w:t>s E</w:t>
      </w:r>
      <w:r w:rsidRPr="008A1738">
        <w:rPr>
          <w:rFonts w:ascii="Arial" w:hAnsi="Arial" w:cs="Arial"/>
          <w:sz w:val="20"/>
          <w:szCs w:val="20"/>
        </w:rPr>
        <w:t>mpresa</w:t>
      </w:r>
      <w:r>
        <w:rPr>
          <w:rFonts w:ascii="Arial" w:hAnsi="Arial" w:cs="Arial"/>
          <w:sz w:val="20"/>
          <w:szCs w:val="20"/>
        </w:rPr>
        <w:t>s</w:t>
      </w:r>
      <w:r w:rsidRPr="008A1738">
        <w:rPr>
          <w:rFonts w:ascii="Arial" w:hAnsi="Arial" w:cs="Arial"/>
          <w:sz w:val="20"/>
          <w:szCs w:val="20"/>
        </w:rPr>
        <w:t xml:space="preserve"> </w:t>
      </w:r>
      <w:r>
        <w:rPr>
          <w:rFonts w:ascii="Arial" w:hAnsi="Arial" w:cs="Arial"/>
          <w:sz w:val="20"/>
          <w:szCs w:val="20"/>
        </w:rPr>
        <w:t xml:space="preserve">(MIPYMES) </w:t>
      </w:r>
      <w:r w:rsidRPr="008A1738">
        <w:rPr>
          <w:rFonts w:ascii="Arial" w:hAnsi="Arial" w:cs="Arial"/>
          <w:sz w:val="20"/>
          <w:szCs w:val="20"/>
        </w:rPr>
        <w:t>con proyección hacia la generación de empleo y el beneficio social en el Estado de Guanajuato en sectores que no son atendidos por las fuentes tradicionales de financiamiento.</w:t>
      </w:r>
    </w:p>
    <w:p w14:paraId="4A00C2E5" w14:textId="77777777" w:rsidR="00D02462" w:rsidRDefault="00D02462" w:rsidP="00D02462">
      <w:pPr>
        <w:spacing w:after="0" w:line="240" w:lineRule="auto"/>
        <w:jc w:val="both"/>
        <w:rPr>
          <w:rFonts w:ascii="Arial" w:hAnsi="Arial" w:cs="Arial"/>
          <w:sz w:val="20"/>
          <w:szCs w:val="20"/>
        </w:rPr>
      </w:pPr>
      <w:r w:rsidRPr="008A1738">
        <w:rPr>
          <w:rFonts w:ascii="Arial" w:hAnsi="Arial" w:cs="Arial"/>
          <w:sz w:val="20"/>
          <w:szCs w:val="20"/>
        </w:rPr>
        <w:t>La principal actividad de la entidad es promover un amplio portafolio de esquemas y programas de financiamiento, todos ellos diseñados con el único objetivo de poder acompañar y asesorar a cada uno de los acreditados, empresarios y emprendedores, en las etapas más importantes de su vida empresarial.</w:t>
      </w:r>
    </w:p>
    <w:p w14:paraId="1A41AF7C" w14:textId="77777777" w:rsidR="00D02462" w:rsidRDefault="00D02462" w:rsidP="00D02462">
      <w:pPr>
        <w:spacing w:after="0" w:line="240" w:lineRule="auto"/>
        <w:jc w:val="both"/>
        <w:rPr>
          <w:rFonts w:ascii="Arial" w:hAnsi="Arial" w:cs="Arial"/>
          <w:sz w:val="20"/>
          <w:szCs w:val="20"/>
        </w:rPr>
      </w:pPr>
      <w:r w:rsidRPr="008A1738">
        <w:rPr>
          <w:rFonts w:ascii="Arial" w:hAnsi="Arial" w:cs="Arial"/>
          <w:sz w:val="20"/>
          <w:szCs w:val="20"/>
        </w:rPr>
        <w:t>Los sectores que se impulsan son: industrial, comercial, servicios y agroindustrial, otorgando así el apoyo a los negocios haciéndolos más competitivos al brindarles soporte económico para compras de materia prima, mercancía, mobiliario y equipo, maquinaria y adecuaciones físicas.</w:t>
      </w:r>
    </w:p>
    <w:p w14:paraId="64F5F393"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Así mismo ayudando a emprendedores con proyectos viables generados dentro de una incubadora con:</w:t>
      </w:r>
    </w:p>
    <w:p w14:paraId="4A8E2BD6"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Asesoría empresarial</w:t>
      </w:r>
    </w:p>
    <w:p w14:paraId="4B349DFD"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Capacitación</w:t>
      </w:r>
    </w:p>
    <w:p w14:paraId="3C9DC64E"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Consultoría especializada y asistencia técnica en la elaboración del Plan de Negocios</w:t>
      </w:r>
    </w:p>
    <w:p w14:paraId="0BCD7E8C"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Recursos financieros para su desarrollo, implementación y consolidación.</w:t>
      </w:r>
    </w:p>
    <w:p w14:paraId="657C7D06" w14:textId="77777777" w:rsidR="00D02462" w:rsidRPr="00D02462" w:rsidRDefault="00D02462" w:rsidP="00D02462"/>
    <w:p w14:paraId="73D549E9" w14:textId="77777777" w:rsidR="007D1E76" w:rsidRPr="008A1738" w:rsidRDefault="00C3149F" w:rsidP="000C3365">
      <w:pPr>
        <w:pStyle w:val="Ttulo2"/>
        <w:rPr>
          <w:rFonts w:ascii="Arial" w:hAnsi="Arial" w:cs="Arial"/>
          <w:b/>
          <w:color w:val="auto"/>
          <w:sz w:val="20"/>
          <w:szCs w:val="20"/>
        </w:rPr>
      </w:pPr>
      <w:bookmarkStart w:id="0" w:name="_Toc136350930"/>
      <w:r>
        <w:rPr>
          <w:rFonts w:ascii="Arial" w:hAnsi="Arial" w:cs="Arial"/>
          <w:b/>
          <w:color w:val="auto"/>
          <w:sz w:val="20"/>
          <w:szCs w:val="20"/>
        </w:rPr>
        <w:t>1. Autorización e Historia</w:t>
      </w:r>
      <w:r w:rsidR="007D1E76" w:rsidRPr="008A1738">
        <w:rPr>
          <w:rFonts w:ascii="Arial" w:hAnsi="Arial" w:cs="Arial"/>
          <w:b/>
          <w:color w:val="auto"/>
          <w:sz w:val="20"/>
          <w:szCs w:val="20"/>
        </w:rPr>
        <w:t>:</w:t>
      </w:r>
      <w:bookmarkEnd w:id="0"/>
    </w:p>
    <w:p w14:paraId="58815DB7"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informará sobre:</w:t>
      </w:r>
    </w:p>
    <w:p w14:paraId="75F508DF"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p>
    <w:p w14:paraId="54625995"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Fecha de creación del ente.</w:t>
      </w:r>
    </w:p>
    <w:p w14:paraId="5C138BA9"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La Entidad se creó mediante contrato constitutivo de fecha 09 de abril de 1992, el Gobierno del Estado de Guanajuato y Nacional Financiera, S.N.C., formalizaron la creación de la Entidad, que en su origen fue identificado con el número F/1018-2, denominado “Fondo para el Financiamiento de las Empresas de Solidaridad del Estado de Guanajuato”, por sus siglas FOFIES.</w:t>
      </w:r>
    </w:p>
    <w:p w14:paraId="74E1A6C3"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Que con fecha 18 de marzo de 2014 se suscribe el Quinto Convenio Modificatorio, en el cual establece identificar a la Entidad bajo la denominación “Fondos Guanajuato de Financiamiento”; Fondos Guanajuato de Financiamiento, anteriormente llamado</w:t>
      </w:r>
      <w:r>
        <w:rPr>
          <w:rFonts w:ascii="Arial" w:hAnsi="Arial" w:cs="Arial"/>
          <w:sz w:val="20"/>
          <w:szCs w:val="20"/>
        </w:rPr>
        <w:t>:</w:t>
      </w:r>
      <w:r w:rsidRPr="008A1738">
        <w:rPr>
          <w:rFonts w:ascii="Arial" w:hAnsi="Arial" w:cs="Arial"/>
          <w:sz w:val="20"/>
          <w:szCs w:val="20"/>
        </w:rPr>
        <w:t xml:space="preserve"> </w:t>
      </w:r>
      <w:r>
        <w:rPr>
          <w:rFonts w:ascii="Arial" w:hAnsi="Arial" w:cs="Arial"/>
          <w:sz w:val="20"/>
          <w:szCs w:val="20"/>
        </w:rPr>
        <w:t>“</w:t>
      </w:r>
      <w:r w:rsidRPr="008A1738">
        <w:rPr>
          <w:rFonts w:ascii="Arial" w:hAnsi="Arial" w:cs="Arial"/>
          <w:sz w:val="20"/>
          <w:szCs w:val="20"/>
        </w:rPr>
        <w:t>Fondo para el Financiamiento de las Empresas de Solidaridad del Estado de Guanajuato es una Entidad de la Administración Pública Paraestatal</w:t>
      </w:r>
      <w:r>
        <w:rPr>
          <w:rFonts w:ascii="Arial" w:hAnsi="Arial" w:cs="Arial"/>
          <w:sz w:val="20"/>
          <w:szCs w:val="20"/>
        </w:rPr>
        <w:t>”</w:t>
      </w:r>
      <w:r w:rsidRPr="008A1738">
        <w:rPr>
          <w:rFonts w:ascii="Arial" w:hAnsi="Arial" w:cs="Arial"/>
          <w:sz w:val="20"/>
          <w:szCs w:val="20"/>
        </w:rPr>
        <w:t>.</w:t>
      </w:r>
    </w:p>
    <w:p w14:paraId="0FC774EA"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p>
    <w:p w14:paraId="71DCE209"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Principales cambios en su estructura (interna históricamente).</w:t>
      </w:r>
    </w:p>
    <w:p w14:paraId="41D879D7"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El 13 de junio de 2001 se celebró el Primer Convenio Modificatorio al Contrato de Fideicomiso, entre Gobierno del Estado de Guanajuato y Nacional Financiera, S.N.C., con el objeto de fomentar y fortalecer las actividades productivas de la Microempresa del Estado de Guanajuato, se ampliaron los fines del "Fondo para el Financiamiento de las Empresas de Solidaridad del Estado de Guanajuato".</w:t>
      </w:r>
    </w:p>
    <w:p w14:paraId="28C70FA3"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Con fecha 17 de julio del 2003, se celebró el Segundo Convenio Modificatorio al Fideicomiso "Fondo para el Financiamiento de las Empresas de Solidaridad del Estado de Guanajuato" toda vez que se ha decidido establecer con el Fondo para la Participación de Riesgos un nuevo esquema de garantías.</w:t>
      </w:r>
    </w:p>
    <w:p w14:paraId="77AFB495"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Así mismo en fecha 4 de noviembre del 2005, se suscribió el Tercer Convenio Modificatorio al Fideicomiso, por medio del cual se buscó incentivar de mayor manera el apoyo a emprendedores y empresarios de micro, pequeñas y medianas empresas del Estado de Guanajuato.</w:t>
      </w:r>
    </w:p>
    <w:p w14:paraId="2AAFA633"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De igual forma en fecha 31 de julio del 2008, se suscribió el Cuarto Convenio Modificatorio al Fideicomiso denominado "Fondo para el Financiamiento de las Empresas de Solidaridad del Estado de Guanajuato", a efecto de habilitar al fideicomiso como intermediario financiero especializado con una línea global de descuento, para el apoyo financiero a las micro, pequeñas y medianas empresas de la cadena productiva de los minerales en el Estado de Guanajuato.</w:t>
      </w:r>
    </w:p>
    <w:p w14:paraId="2F87C5ED" w14:textId="77777777" w:rsidR="00D02462" w:rsidRPr="008A1738" w:rsidRDefault="00D02462" w:rsidP="00D02462">
      <w:pPr>
        <w:spacing w:after="0" w:line="240" w:lineRule="auto"/>
        <w:jc w:val="both"/>
        <w:rPr>
          <w:rFonts w:ascii="Arial" w:hAnsi="Arial" w:cs="Arial"/>
          <w:sz w:val="20"/>
          <w:szCs w:val="20"/>
        </w:rPr>
      </w:pPr>
      <w:r w:rsidRPr="008A1738">
        <w:rPr>
          <w:rFonts w:ascii="Arial" w:hAnsi="Arial" w:cs="Arial"/>
          <w:sz w:val="20"/>
          <w:szCs w:val="20"/>
        </w:rPr>
        <w:t xml:space="preserve">Que con fecha 18 de marzo de 2014 se suscribe el Quinto Convenio Modificatorio, en el cual mediante su cláusula Tercera establece Promover y celebrar todo tipo de actos, contratos o convenios, por medio de los cuales se dé cumplimiento a los fines de la Entidad, se utilicen o se canalicen recursos, de manera directa por el propio fideicomiso o a través de terceros, pudiendo conjuntar esfuerzos con la Federación, los estados y los </w:t>
      </w:r>
      <w:r w:rsidRPr="008A1738">
        <w:rPr>
          <w:rFonts w:ascii="Arial" w:hAnsi="Arial" w:cs="Arial"/>
          <w:sz w:val="20"/>
          <w:szCs w:val="20"/>
        </w:rPr>
        <w:lastRenderedPageBreak/>
        <w:t>municipios, así como con la iniciativa privada o en general con cualquier persona física o moral, pública o privada, nacional o extranjera, en apego a las disposiciones aplicables.</w:t>
      </w:r>
    </w:p>
    <w:p w14:paraId="06C0CEF2" w14:textId="77777777" w:rsidR="00D02462" w:rsidRPr="008A1738" w:rsidRDefault="00D02462" w:rsidP="00D02462">
      <w:pPr>
        <w:tabs>
          <w:tab w:val="left" w:leader="underscore" w:pos="9639"/>
        </w:tabs>
        <w:spacing w:after="0" w:line="240" w:lineRule="auto"/>
        <w:jc w:val="both"/>
        <w:rPr>
          <w:rFonts w:ascii="Arial" w:hAnsi="Arial" w:cs="Arial"/>
          <w:sz w:val="20"/>
          <w:szCs w:val="20"/>
        </w:rPr>
      </w:pPr>
    </w:p>
    <w:p w14:paraId="2DCFD615" w14:textId="77777777" w:rsidR="0054701E" w:rsidRPr="008A1738" w:rsidRDefault="0054701E" w:rsidP="00CB41C4">
      <w:pPr>
        <w:tabs>
          <w:tab w:val="left" w:leader="underscore" w:pos="9639"/>
        </w:tabs>
        <w:spacing w:after="0" w:line="240" w:lineRule="auto"/>
        <w:jc w:val="both"/>
        <w:rPr>
          <w:rFonts w:ascii="Arial" w:hAnsi="Arial" w:cs="Arial"/>
          <w:sz w:val="20"/>
          <w:szCs w:val="20"/>
        </w:rPr>
      </w:pPr>
    </w:p>
    <w:p w14:paraId="1954B800" w14:textId="77777777" w:rsidR="007D1E76" w:rsidRPr="008A1738" w:rsidRDefault="00C3149F" w:rsidP="000C3365">
      <w:pPr>
        <w:pStyle w:val="Ttulo2"/>
        <w:rPr>
          <w:rFonts w:ascii="Arial" w:hAnsi="Arial" w:cs="Arial"/>
          <w:b/>
          <w:color w:val="auto"/>
          <w:sz w:val="20"/>
          <w:szCs w:val="20"/>
        </w:rPr>
      </w:pPr>
      <w:bookmarkStart w:id="1" w:name="_Toc136350931"/>
      <w:r>
        <w:rPr>
          <w:rFonts w:ascii="Arial" w:hAnsi="Arial" w:cs="Arial"/>
          <w:b/>
          <w:color w:val="auto"/>
          <w:sz w:val="20"/>
          <w:szCs w:val="20"/>
        </w:rPr>
        <w:t>2. P</w:t>
      </w:r>
      <w:r w:rsidR="007D1E76" w:rsidRPr="008A1738">
        <w:rPr>
          <w:rFonts w:ascii="Arial" w:hAnsi="Arial" w:cs="Arial"/>
          <w:b/>
          <w:color w:val="auto"/>
          <w:sz w:val="20"/>
          <w:szCs w:val="20"/>
        </w:rPr>
        <w:t>an</w:t>
      </w:r>
      <w:r w:rsidR="00E00323" w:rsidRPr="008A1738">
        <w:rPr>
          <w:rFonts w:ascii="Arial" w:hAnsi="Arial" w:cs="Arial"/>
          <w:b/>
          <w:color w:val="auto"/>
          <w:sz w:val="20"/>
          <w:szCs w:val="20"/>
        </w:rPr>
        <w:t>orama Económico y Financiero:</w:t>
      </w:r>
      <w:bookmarkEnd w:id="1"/>
    </w:p>
    <w:p w14:paraId="62239FB4" w14:textId="77777777" w:rsidR="007D1E76"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informará sobre las principales condiciones económico-financieras bajo las cuales el ente público estuvo operando y las cuales influyeron en la toma de decisiones de la administración</w:t>
      </w:r>
      <w:r w:rsidR="00264535">
        <w:rPr>
          <w:rFonts w:ascii="Arial" w:hAnsi="Arial" w:cs="Arial"/>
          <w:sz w:val="20"/>
          <w:szCs w:val="20"/>
        </w:rPr>
        <w:t>,</w:t>
      </w:r>
      <w:r w:rsidRPr="008A1738">
        <w:rPr>
          <w:rFonts w:ascii="Arial" w:hAnsi="Arial" w:cs="Arial"/>
          <w:sz w:val="20"/>
          <w:szCs w:val="20"/>
        </w:rPr>
        <w:t xml:space="preserve"> tanto</w:t>
      </w:r>
      <w:r w:rsidR="00E00323" w:rsidRPr="008A1738">
        <w:rPr>
          <w:rFonts w:ascii="Arial" w:hAnsi="Arial" w:cs="Arial"/>
          <w:sz w:val="20"/>
          <w:szCs w:val="20"/>
        </w:rPr>
        <w:t xml:space="preserve"> a nivel local como federal.</w:t>
      </w:r>
    </w:p>
    <w:p w14:paraId="0BB2B614" w14:textId="77777777" w:rsidR="003107E2" w:rsidRPr="008A1738" w:rsidRDefault="003107E2" w:rsidP="00CB41C4">
      <w:pPr>
        <w:tabs>
          <w:tab w:val="left" w:leader="underscore" w:pos="9639"/>
        </w:tabs>
        <w:spacing w:after="0" w:line="240" w:lineRule="auto"/>
        <w:jc w:val="both"/>
        <w:rPr>
          <w:rFonts w:ascii="Arial" w:hAnsi="Arial" w:cs="Arial"/>
          <w:sz w:val="20"/>
          <w:szCs w:val="20"/>
        </w:rPr>
      </w:pPr>
    </w:p>
    <w:p w14:paraId="61FFD024"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Contexto Global</w:t>
      </w:r>
    </w:p>
    <w:p w14:paraId="2DE0DBBB" w14:textId="77777777" w:rsidR="00205C68" w:rsidRDefault="00205C68" w:rsidP="00205C68">
      <w:pPr>
        <w:spacing w:after="0" w:line="240" w:lineRule="auto"/>
        <w:jc w:val="both"/>
        <w:rPr>
          <w:rFonts w:ascii="Arial" w:hAnsi="Arial" w:cs="Arial"/>
          <w:sz w:val="20"/>
          <w:szCs w:val="20"/>
        </w:rPr>
      </w:pPr>
    </w:p>
    <w:p w14:paraId="265A68EE"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La desaceleración económica que se venía presentando a nivel internacional, aunada a la contingencia sanitaria provocada por el COVID-19, generó un entorno económico que derivó en recesión y pérdida de empleos en todo el mundo.</w:t>
      </w:r>
    </w:p>
    <w:p w14:paraId="75783DB0" w14:textId="77777777" w:rsidR="00205C68" w:rsidRDefault="00205C68" w:rsidP="00205C68">
      <w:pPr>
        <w:spacing w:after="0" w:line="240" w:lineRule="auto"/>
        <w:jc w:val="both"/>
        <w:rPr>
          <w:rFonts w:ascii="Arial" w:hAnsi="Arial" w:cs="Arial"/>
          <w:sz w:val="20"/>
          <w:szCs w:val="20"/>
        </w:rPr>
      </w:pPr>
    </w:p>
    <w:p w14:paraId="20E370DE"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El Fondo Monetario Internacional estima que en el año 2020 existió una contracción económica del -3.3% y que alrededor de 95 millones de personas adicionales quedaron por debajo del umbral de la pobreza extrema a nivel mundial.</w:t>
      </w:r>
    </w:p>
    <w:p w14:paraId="506DA5BA" w14:textId="77777777" w:rsidR="00205C68" w:rsidRDefault="00205C68" w:rsidP="00205C68">
      <w:pPr>
        <w:spacing w:after="0" w:line="240" w:lineRule="auto"/>
        <w:jc w:val="both"/>
        <w:rPr>
          <w:rFonts w:ascii="Arial" w:hAnsi="Arial" w:cs="Arial"/>
          <w:sz w:val="20"/>
          <w:szCs w:val="20"/>
        </w:rPr>
      </w:pPr>
    </w:p>
    <w:p w14:paraId="197BA970"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 xml:space="preserve">De igual manera, la economía de México tuvo una contracción de -8.5% </w:t>
      </w:r>
      <w:proofErr w:type="gramStart"/>
      <w:r>
        <w:rPr>
          <w:rFonts w:ascii="Arial" w:hAnsi="Arial" w:cs="Arial"/>
          <w:sz w:val="20"/>
          <w:szCs w:val="20"/>
        </w:rPr>
        <w:t>de acuerdo a</w:t>
      </w:r>
      <w:proofErr w:type="gramEnd"/>
      <w:r>
        <w:rPr>
          <w:rFonts w:ascii="Arial" w:hAnsi="Arial" w:cs="Arial"/>
          <w:sz w:val="20"/>
          <w:szCs w:val="20"/>
        </w:rPr>
        <w:t xml:space="preserve"> los datos del INEGI.</w:t>
      </w:r>
    </w:p>
    <w:p w14:paraId="381FF180" w14:textId="77777777" w:rsidR="00205C68" w:rsidRDefault="00205C68" w:rsidP="00205C68">
      <w:pPr>
        <w:spacing w:after="0" w:line="240" w:lineRule="auto"/>
        <w:jc w:val="both"/>
        <w:rPr>
          <w:rFonts w:ascii="Arial" w:hAnsi="Arial" w:cs="Arial"/>
          <w:sz w:val="20"/>
          <w:szCs w:val="20"/>
        </w:rPr>
      </w:pPr>
    </w:p>
    <w:p w14:paraId="3C807DBD"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Contexto Local</w:t>
      </w:r>
    </w:p>
    <w:p w14:paraId="28648504" w14:textId="77777777" w:rsidR="00205C68" w:rsidRDefault="00205C68" w:rsidP="00205C68">
      <w:pPr>
        <w:spacing w:after="0" w:line="240" w:lineRule="auto"/>
        <w:jc w:val="both"/>
        <w:rPr>
          <w:rFonts w:ascii="Arial" w:hAnsi="Arial" w:cs="Arial"/>
          <w:sz w:val="20"/>
          <w:szCs w:val="20"/>
        </w:rPr>
      </w:pPr>
    </w:p>
    <w:p w14:paraId="334FBDA0"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Guanajuato por su parte, ha enfrentado una reducción en los ingresos provenientes de la federación. De acuerdo con el Paquete Fiscal 2021, se espera una reducción de más de 4 mil millones de pesos con respecto al año 2020.</w:t>
      </w:r>
    </w:p>
    <w:p w14:paraId="152A6E6E" w14:textId="77777777" w:rsidR="00205C68" w:rsidRDefault="00205C68" w:rsidP="00205C68">
      <w:pPr>
        <w:spacing w:after="0" w:line="240" w:lineRule="auto"/>
        <w:jc w:val="both"/>
        <w:rPr>
          <w:rFonts w:ascii="Arial" w:hAnsi="Arial" w:cs="Arial"/>
          <w:sz w:val="20"/>
          <w:szCs w:val="20"/>
        </w:rPr>
      </w:pPr>
    </w:p>
    <w:p w14:paraId="17DB3A7F"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No obstante, lo anterior, existen oportunidades en el entorno que pueden ser capitalizadas como el T-MEC, que entró en vigor el pasado 1 de julio de 2020, el cual representa la posibilidad de impulsar el comercio internacional y aprovechar las ventajas competitivas de Guanajuato.</w:t>
      </w:r>
    </w:p>
    <w:p w14:paraId="505FC705" w14:textId="77777777" w:rsidR="00205C68" w:rsidRDefault="00205C68" w:rsidP="00205C68">
      <w:pPr>
        <w:spacing w:after="0" w:line="240" w:lineRule="auto"/>
        <w:jc w:val="both"/>
        <w:rPr>
          <w:rFonts w:ascii="Arial" w:hAnsi="Arial" w:cs="Arial"/>
          <w:sz w:val="20"/>
          <w:szCs w:val="20"/>
        </w:rPr>
      </w:pPr>
    </w:p>
    <w:p w14:paraId="0562DD17"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Actualización del Programa de Gobierno</w:t>
      </w:r>
    </w:p>
    <w:p w14:paraId="3CC87FC4" w14:textId="77777777" w:rsidR="00205C68" w:rsidRDefault="00205C68" w:rsidP="00205C68">
      <w:pPr>
        <w:spacing w:after="0" w:line="240" w:lineRule="auto"/>
        <w:jc w:val="both"/>
        <w:rPr>
          <w:rFonts w:ascii="Arial" w:hAnsi="Arial" w:cs="Arial"/>
          <w:sz w:val="20"/>
          <w:szCs w:val="20"/>
        </w:rPr>
      </w:pPr>
    </w:p>
    <w:p w14:paraId="72DA55D2"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Derivado de estas nuevas realidades surge la necesidad de actualizar el Programa de Gobierno con un enfoque innovador, que permita la atención de los retos que se tienen hacia el término del sexenio, así mismo, la Ley de Planeación del estado establece que la actualización de dicho instrumento se realice en el tercer año de la administración.</w:t>
      </w:r>
    </w:p>
    <w:p w14:paraId="3D1B4E67" w14:textId="77777777" w:rsidR="00205C68" w:rsidRDefault="00205C68" w:rsidP="00205C68">
      <w:pPr>
        <w:spacing w:after="0" w:line="240" w:lineRule="auto"/>
        <w:jc w:val="both"/>
        <w:rPr>
          <w:rFonts w:ascii="Arial" w:hAnsi="Arial" w:cs="Arial"/>
          <w:sz w:val="20"/>
          <w:szCs w:val="20"/>
        </w:rPr>
      </w:pPr>
    </w:p>
    <w:p w14:paraId="5B9B9BA9"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Es publicado en el Periódico Oficial del Gobierno del Estado de Guanajuato Número 192, de fecha 27 de septiembre de 2021, Tercera Parte, Sumario: Secretaría de Desarrollo Económico Sustentable, la ACTUALIZACIÓN del Programa Sectorial Economía para Todos 2019-2024, el cual señala en su contenido lo siguiente:</w:t>
      </w:r>
    </w:p>
    <w:p w14:paraId="7BAF7EDA" w14:textId="77777777" w:rsidR="00205C68" w:rsidRDefault="00205C68" w:rsidP="00205C68">
      <w:pPr>
        <w:spacing w:after="0" w:line="240" w:lineRule="auto"/>
        <w:jc w:val="both"/>
        <w:rPr>
          <w:rFonts w:ascii="Arial" w:hAnsi="Arial" w:cs="Arial"/>
          <w:sz w:val="20"/>
          <w:szCs w:val="20"/>
        </w:rPr>
      </w:pPr>
    </w:p>
    <w:p w14:paraId="16A276F2"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IV. Diagnóstico del Sector</w:t>
      </w:r>
    </w:p>
    <w:p w14:paraId="71B9DE3B"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4.2 Creación, desarrollo, permanencia e internacionalización de las unidades económicas</w:t>
      </w:r>
    </w:p>
    <w:p w14:paraId="028F5FBE" w14:textId="77777777" w:rsidR="00205C68" w:rsidRDefault="00205C68" w:rsidP="00205C68">
      <w:pPr>
        <w:spacing w:after="0" w:line="240" w:lineRule="auto"/>
        <w:jc w:val="both"/>
        <w:rPr>
          <w:rFonts w:ascii="Arial" w:hAnsi="Arial" w:cs="Arial"/>
          <w:sz w:val="20"/>
          <w:szCs w:val="20"/>
        </w:rPr>
      </w:pPr>
      <w:r w:rsidRPr="007017ED">
        <w:rPr>
          <w:rFonts w:ascii="Arial" w:hAnsi="Arial" w:cs="Arial"/>
          <w:sz w:val="20"/>
          <w:szCs w:val="20"/>
        </w:rPr>
        <w:t>4.2.3 Financiamiento a las Mipymes</w:t>
      </w:r>
    </w:p>
    <w:p w14:paraId="5158BB7D" w14:textId="77777777" w:rsidR="00205C68" w:rsidRDefault="00205C68" w:rsidP="00205C68">
      <w:pPr>
        <w:spacing w:after="0" w:line="240" w:lineRule="auto"/>
        <w:jc w:val="both"/>
        <w:rPr>
          <w:rFonts w:ascii="Arial" w:hAnsi="Arial" w:cs="Arial"/>
          <w:sz w:val="20"/>
          <w:szCs w:val="20"/>
        </w:rPr>
      </w:pPr>
    </w:p>
    <w:p w14:paraId="541D7E7B"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Una problemática identificada por parte de las Mipymes es el financiamiento a fin de continuar en operación y así conservar los empleos que generan.</w:t>
      </w:r>
    </w:p>
    <w:p w14:paraId="0A8A1DE3"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 xml:space="preserve">Es así </w:t>
      </w:r>
      <w:proofErr w:type="gramStart"/>
      <w:r>
        <w:rPr>
          <w:rFonts w:ascii="Arial" w:hAnsi="Arial" w:cs="Arial"/>
          <w:sz w:val="20"/>
          <w:szCs w:val="20"/>
        </w:rPr>
        <w:t>que</w:t>
      </w:r>
      <w:proofErr w:type="gramEnd"/>
      <w:r>
        <w:rPr>
          <w:rFonts w:ascii="Arial" w:hAnsi="Arial" w:cs="Arial"/>
          <w:sz w:val="20"/>
          <w:szCs w:val="20"/>
        </w:rPr>
        <w:t xml:space="preserve"> se identifica la necesidad de diseñar y ofertar esquemas financieros flexibles y accesibles en coordinación con la banca comercial y de desarrollo para fortalecer la capitalización de las Mipymes, la elaboración de planes de negocio estructurados y la realización de proyectos.</w:t>
      </w:r>
    </w:p>
    <w:p w14:paraId="6FA941D6"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Al año 2020, se otorgaron hasta 1 mil 900 créditos, en beneficio de sectores como el comercio, transporte, servicios, turismo y manufacturas.</w:t>
      </w:r>
    </w:p>
    <w:p w14:paraId="4B4FADAC" w14:textId="77777777" w:rsidR="00205C68" w:rsidRDefault="00205C68" w:rsidP="00205C68">
      <w:pPr>
        <w:spacing w:after="0" w:line="240" w:lineRule="auto"/>
        <w:jc w:val="both"/>
        <w:rPr>
          <w:rFonts w:ascii="Arial" w:hAnsi="Arial" w:cs="Arial"/>
          <w:sz w:val="20"/>
          <w:szCs w:val="20"/>
        </w:rPr>
      </w:pPr>
    </w:p>
    <w:p w14:paraId="4AC66DEF" w14:textId="77777777" w:rsidR="009B7F8C" w:rsidRDefault="009B7F8C" w:rsidP="00205C68">
      <w:pPr>
        <w:spacing w:after="0" w:line="240" w:lineRule="auto"/>
        <w:jc w:val="both"/>
        <w:rPr>
          <w:rFonts w:ascii="Arial" w:hAnsi="Arial" w:cs="Arial"/>
          <w:sz w:val="20"/>
          <w:szCs w:val="20"/>
        </w:rPr>
      </w:pPr>
    </w:p>
    <w:p w14:paraId="39744A7C"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lastRenderedPageBreak/>
        <w:t>VI. Planteamiento estratégico</w:t>
      </w:r>
    </w:p>
    <w:p w14:paraId="3D5A36A9"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En esta sección del documento se presentan las apuestas estratégicas del sector que se materializan a través de los objetivos estratégicos con sus respectivas metas e indicadores, los cuales marcan el rumbo a seguir para las dependencias y entidades que integran el sector.</w:t>
      </w:r>
    </w:p>
    <w:p w14:paraId="48EFD367" w14:textId="77777777" w:rsidR="00205C68" w:rsidRDefault="00205C68" w:rsidP="00205C68">
      <w:pPr>
        <w:spacing w:after="0" w:line="240" w:lineRule="auto"/>
        <w:jc w:val="both"/>
        <w:rPr>
          <w:rFonts w:ascii="Arial" w:hAnsi="Arial" w:cs="Arial"/>
          <w:sz w:val="20"/>
          <w:szCs w:val="20"/>
        </w:rPr>
      </w:pPr>
    </w:p>
    <w:p w14:paraId="338DE060"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Línea estratégica 4.2 Creación, desarrollo, permanencia e internacionalización de las unidades económicas.</w:t>
      </w:r>
    </w:p>
    <w:p w14:paraId="64E58110" w14:textId="77777777" w:rsidR="00205C68" w:rsidRDefault="00205C68" w:rsidP="00205C68">
      <w:pPr>
        <w:spacing w:after="0" w:line="240" w:lineRule="auto"/>
        <w:jc w:val="both"/>
        <w:rPr>
          <w:rFonts w:ascii="Arial" w:hAnsi="Arial" w:cs="Arial"/>
          <w:sz w:val="20"/>
          <w:szCs w:val="20"/>
          <w:highlight w:val="yellow"/>
        </w:rPr>
      </w:pPr>
    </w:p>
    <w:p w14:paraId="539539DF" w14:textId="77777777" w:rsidR="00205C68" w:rsidRDefault="00205C68" w:rsidP="00205C68">
      <w:pPr>
        <w:spacing w:after="0" w:line="240" w:lineRule="auto"/>
        <w:jc w:val="both"/>
        <w:rPr>
          <w:rFonts w:ascii="Arial" w:hAnsi="Arial" w:cs="Arial"/>
          <w:sz w:val="20"/>
          <w:szCs w:val="20"/>
        </w:rPr>
      </w:pPr>
      <w:r w:rsidRPr="00764849">
        <w:rPr>
          <w:rFonts w:ascii="Arial" w:hAnsi="Arial" w:cs="Arial"/>
          <w:sz w:val="20"/>
          <w:szCs w:val="20"/>
        </w:rPr>
        <w:t>OBJETIVO 4.2.1:</w:t>
      </w:r>
      <w:r>
        <w:rPr>
          <w:rFonts w:ascii="Arial" w:hAnsi="Arial" w:cs="Arial"/>
          <w:sz w:val="20"/>
          <w:szCs w:val="20"/>
        </w:rPr>
        <w:t xml:space="preserve"> Otorgar esquemas flexibles de financiamiento a las unidades económicas del estado.</w:t>
      </w:r>
    </w:p>
    <w:p w14:paraId="1EDA11E8" w14:textId="77777777" w:rsidR="00205C68" w:rsidRDefault="00205C68" w:rsidP="00205C68">
      <w:pPr>
        <w:spacing w:after="0" w:line="240" w:lineRule="auto"/>
        <w:jc w:val="both"/>
        <w:rPr>
          <w:rFonts w:ascii="Arial" w:hAnsi="Arial" w:cs="Arial"/>
          <w:sz w:val="20"/>
          <w:szCs w:val="20"/>
        </w:rPr>
      </w:pPr>
    </w:p>
    <w:p w14:paraId="2EEDA85B"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Alineación ODS (Objetivos del Desarrollo Sostenible)</w:t>
      </w:r>
    </w:p>
    <w:p w14:paraId="6E6071F0"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8.3 Promover políticas orientadas al desarrollo que apoyen las actividades productivas, la creación de puestos de trabajo decentes, el emprendimiento, la creatividad y la innovación, y fomentar la formalización y el crecimiento de las microempresas y las pequeñas y medianas empresas, incluso mediante el acceso a servicios financieros.</w:t>
      </w:r>
    </w:p>
    <w:p w14:paraId="04FFFDF3" w14:textId="77777777" w:rsidR="00205C68" w:rsidRDefault="00205C68" w:rsidP="00205C68">
      <w:pPr>
        <w:spacing w:after="0" w:line="240" w:lineRule="auto"/>
        <w:jc w:val="both"/>
        <w:rPr>
          <w:rFonts w:ascii="Arial" w:hAnsi="Arial" w:cs="Arial"/>
          <w:sz w:val="20"/>
          <w:szCs w:val="20"/>
        </w:rPr>
      </w:pPr>
    </w:p>
    <w:p w14:paraId="6BBE0D32"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Indicador</w:t>
      </w:r>
    </w:p>
    <w:p w14:paraId="750D20A9"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4.2.1.1 Porcentaje de unidades económicas apoyadas con esquemas flexibles de financiamiento.</w:t>
      </w:r>
    </w:p>
    <w:p w14:paraId="13AAEA02" w14:textId="77777777" w:rsidR="00205C68" w:rsidRDefault="00205C68" w:rsidP="00205C68">
      <w:pPr>
        <w:spacing w:after="0" w:line="240" w:lineRule="auto"/>
        <w:jc w:val="both"/>
        <w:rPr>
          <w:rFonts w:ascii="Arial" w:hAnsi="Arial" w:cs="Arial"/>
          <w:sz w:val="20"/>
          <w:szCs w:val="20"/>
        </w:rPr>
      </w:pPr>
    </w:p>
    <w:p w14:paraId="1EE016E3"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Meta</w:t>
      </w:r>
    </w:p>
    <w:p w14:paraId="15DAB2DF"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Apoyar con esquemas flexibles de financiamiento al 60 por ciento de las unidades económicas solicitantes.</w:t>
      </w:r>
    </w:p>
    <w:p w14:paraId="020CD587" w14:textId="77777777" w:rsidR="00205C68" w:rsidRDefault="00205C68" w:rsidP="00205C68">
      <w:pPr>
        <w:spacing w:after="0" w:line="240" w:lineRule="auto"/>
        <w:jc w:val="both"/>
        <w:rPr>
          <w:rFonts w:ascii="Arial" w:hAnsi="Arial" w:cs="Arial"/>
          <w:sz w:val="20"/>
          <w:szCs w:val="20"/>
        </w:rPr>
      </w:pPr>
    </w:p>
    <w:p w14:paraId="41685E94"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Responsable</w:t>
      </w:r>
    </w:p>
    <w:p w14:paraId="5C0138FF"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FONDOSGTO-SDES</w:t>
      </w:r>
    </w:p>
    <w:p w14:paraId="35F46854" w14:textId="77777777" w:rsidR="00205C68" w:rsidRDefault="00205C68" w:rsidP="00205C68">
      <w:pPr>
        <w:spacing w:after="0" w:line="240" w:lineRule="auto"/>
        <w:jc w:val="both"/>
        <w:rPr>
          <w:rFonts w:ascii="Arial" w:hAnsi="Arial" w:cs="Arial"/>
          <w:sz w:val="20"/>
          <w:szCs w:val="20"/>
        </w:rPr>
      </w:pPr>
    </w:p>
    <w:p w14:paraId="7C53223F"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Líneas de acción</w:t>
      </w:r>
    </w:p>
    <w:p w14:paraId="1C55D2E2"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4.2.1.1 Fortalecer y adaptar la operación de los esquemas financieros vigentes, a las necesidades actuales de las Mipymes.</w:t>
      </w:r>
    </w:p>
    <w:p w14:paraId="2387F5A8" w14:textId="77777777" w:rsidR="00205C68" w:rsidRDefault="00205C68" w:rsidP="00205C68">
      <w:pPr>
        <w:spacing w:after="0" w:line="240" w:lineRule="auto"/>
        <w:jc w:val="both"/>
        <w:rPr>
          <w:rFonts w:ascii="Arial" w:hAnsi="Arial" w:cs="Arial"/>
          <w:sz w:val="20"/>
          <w:szCs w:val="20"/>
        </w:rPr>
      </w:pPr>
      <w:r>
        <w:rPr>
          <w:rFonts w:ascii="Arial" w:hAnsi="Arial" w:cs="Arial"/>
          <w:sz w:val="20"/>
          <w:szCs w:val="20"/>
        </w:rPr>
        <w:t>4.2.1.2 Impulsar e incentivar nuevos esquemas de apoyos financiero a las Mipymes en coordinación con la banca comercial y de desarrollo.</w:t>
      </w:r>
    </w:p>
    <w:p w14:paraId="31E7E16F" w14:textId="77777777" w:rsidR="00205C68" w:rsidRDefault="00205C68" w:rsidP="00205C68">
      <w:pPr>
        <w:spacing w:after="0" w:line="240" w:lineRule="auto"/>
        <w:jc w:val="both"/>
        <w:rPr>
          <w:rFonts w:ascii="Arial" w:hAnsi="Arial" w:cs="Arial"/>
          <w:sz w:val="20"/>
          <w:szCs w:val="20"/>
        </w:rPr>
      </w:pPr>
    </w:p>
    <w:p w14:paraId="27C02A08" w14:textId="77777777" w:rsidR="00205C68" w:rsidRPr="00F525D7" w:rsidRDefault="00205C68" w:rsidP="00205C68">
      <w:pPr>
        <w:spacing w:after="0" w:line="240" w:lineRule="auto"/>
        <w:jc w:val="both"/>
        <w:rPr>
          <w:rFonts w:ascii="Arial" w:hAnsi="Arial" w:cs="Arial"/>
          <w:sz w:val="20"/>
          <w:szCs w:val="20"/>
        </w:rPr>
      </w:pPr>
      <w:r>
        <w:rPr>
          <w:rFonts w:ascii="Arial" w:hAnsi="Arial" w:cs="Arial"/>
          <w:sz w:val="20"/>
          <w:szCs w:val="20"/>
        </w:rPr>
        <w:t>E</w:t>
      </w:r>
      <w:r w:rsidRPr="00F525D7">
        <w:rPr>
          <w:rFonts w:ascii="Arial" w:hAnsi="Arial" w:cs="Arial"/>
          <w:sz w:val="20"/>
          <w:szCs w:val="20"/>
        </w:rPr>
        <w:t>l reto económico del Gobierno del Estado de Guanajuato</w:t>
      </w:r>
      <w:r>
        <w:rPr>
          <w:rFonts w:ascii="Arial" w:hAnsi="Arial" w:cs="Arial"/>
          <w:sz w:val="20"/>
          <w:szCs w:val="20"/>
        </w:rPr>
        <w:t xml:space="preserve"> es:</w:t>
      </w:r>
      <w:r w:rsidRPr="00F525D7">
        <w:rPr>
          <w:rFonts w:ascii="Arial" w:hAnsi="Arial" w:cs="Arial"/>
          <w:sz w:val="20"/>
          <w:szCs w:val="20"/>
        </w:rPr>
        <w:t xml:space="preserve"> crear las condiciones para el desarrollo económico sustentable y competitivo que impulse el progreso de los Guanajuatenses. </w:t>
      </w:r>
      <w:r>
        <w:rPr>
          <w:rFonts w:ascii="Arial" w:hAnsi="Arial" w:cs="Arial"/>
          <w:sz w:val="20"/>
          <w:szCs w:val="20"/>
        </w:rPr>
        <w:t>U</w:t>
      </w:r>
      <w:r w:rsidRPr="00F525D7">
        <w:rPr>
          <w:rFonts w:ascii="Arial" w:hAnsi="Arial" w:cs="Arial"/>
          <w:sz w:val="20"/>
          <w:szCs w:val="20"/>
        </w:rPr>
        <w:t>n factor importante es la posibilidad de tener acceso al financiamiento. Para dar cumplimiento a este reto debe estar incluido un esquema integral que contribuya eficaz y eficientemente al aumento del empleo, del nivel de ingresos y mejora</w:t>
      </w:r>
      <w:r>
        <w:rPr>
          <w:rFonts w:ascii="Arial" w:hAnsi="Arial" w:cs="Arial"/>
          <w:sz w:val="20"/>
          <w:szCs w:val="20"/>
        </w:rPr>
        <w:t>r</w:t>
      </w:r>
      <w:r w:rsidRPr="00F525D7">
        <w:rPr>
          <w:rFonts w:ascii="Arial" w:hAnsi="Arial" w:cs="Arial"/>
          <w:sz w:val="20"/>
          <w:szCs w:val="20"/>
        </w:rPr>
        <w:t xml:space="preserve"> el nivel de vida de los guanajuatenses. P</w:t>
      </w:r>
      <w:r>
        <w:rPr>
          <w:rFonts w:ascii="Arial" w:hAnsi="Arial" w:cs="Arial"/>
          <w:sz w:val="20"/>
          <w:szCs w:val="20"/>
        </w:rPr>
        <w:t>o</w:t>
      </w:r>
      <w:r w:rsidRPr="00F525D7">
        <w:rPr>
          <w:rFonts w:ascii="Arial" w:hAnsi="Arial" w:cs="Arial"/>
          <w:sz w:val="20"/>
          <w:szCs w:val="20"/>
        </w:rPr>
        <w:t xml:space="preserve">r </w:t>
      </w:r>
      <w:r>
        <w:rPr>
          <w:rFonts w:ascii="Arial" w:hAnsi="Arial" w:cs="Arial"/>
          <w:sz w:val="20"/>
          <w:szCs w:val="20"/>
        </w:rPr>
        <w:t>lo anterior</w:t>
      </w:r>
      <w:r w:rsidRPr="00F525D7">
        <w:rPr>
          <w:rFonts w:ascii="Arial" w:hAnsi="Arial" w:cs="Arial"/>
          <w:sz w:val="20"/>
          <w:szCs w:val="20"/>
        </w:rPr>
        <w:t>, son necesarios productos de crédito para diversificar la oferta de esquemas financieros q</w:t>
      </w:r>
      <w:r>
        <w:rPr>
          <w:rFonts w:ascii="Arial" w:hAnsi="Arial" w:cs="Arial"/>
          <w:sz w:val="20"/>
          <w:szCs w:val="20"/>
        </w:rPr>
        <w:t>ue se adapten a las necesidades,</w:t>
      </w:r>
      <w:r w:rsidRPr="00F525D7">
        <w:rPr>
          <w:rFonts w:ascii="Arial" w:hAnsi="Arial" w:cs="Arial"/>
          <w:sz w:val="20"/>
          <w:szCs w:val="20"/>
        </w:rPr>
        <w:t xml:space="preserve"> fortalecer los esquemas actuales y generar nuevos esquemas que permitan el acceso al financiamiento de micro y pequeñas empresas que no cuentan con las posibilidades de recurrir a fuentes tradicionales de financiamiento.</w:t>
      </w:r>
    </w:p>
    <w:p w14:paraId="12192C0E" w14:textId="77777777" w:rsidR="00205C68" w:rsidRDefault="00205C68" w:rsidP="00726778">
      <w:pPr>
        <w:spacing w:after="0" w:line="240" w:lineRule="auto"/>
        <w:jc w:val="both"/>
        <w:rPr>
          <w:rFonts w:ascii="Arial" w:hAnsi="Arial" w:cs="Arial"/>
          <w:sz w:val="20"/>
          <w:szCs w:val="20"/>
        </w:rPr>
      </w:pPr>
    </w:p>
    <w:p w14:paraId="6ABBE2EF" w14:textId="77777777" w:rsidR="00726778" w:rsidRPr="008A1738" w:rsidRDefault="00726778" w:rsidP="00726778">
      <w:pPr>
        <w:spacing w:after="0" w:line="240" w:lineRule="auto"/>
        <w:jc w:val="both"/>
        <w:rPr>
          <w:rFonts w:ascii="Arial" w:hAnsi="Arial" w:cs="Arial"/>
          <w:sz w:val="20"/>
          <w:szCs w:val="20"/>
        </w:rPr>
      </w:pPr>
      <w:r w:rsidRPr="008A1738">
        <w:rPr>
          <w:rFonts w:ascii="Arial" w:hAnsi="Arial" w:cs="Arial"/>
          <w:sz w:val="20"/>
          <w:szCs w:val="20"/>
        </w:rPr>
        <w:t xml:space="preserve">A </w:t>
      </w:r>
      <w:r w:rsidR="002565EE" w:rsidRPr="008A1738">
        <w:rPr>
          <w:rFonts w:ascii="Arial" w:hAnsi="Arial" w:cs="Arial"/>
          <w:sz w:val="20"/>
          <w:szCs w:val="20"/>
        </w:rPr>
        <w:t>continuación,</w:t>
      </w:r>
      <w:r w:rsidRPr="008A1738">
        <w:rPr>
          <w:rFonts w:ascii="Arial" w:hAnsi="Arial" w:cs="Arial"/>
          <w:sz w:val="20"/>
          <w:szCs w:val="20"/>
        </w:rPr>
        <w:t xml:space="preserve"> tabla comparativa del mercado:</w:t>
      </w:r>
    </w:p>
    <w:p w14:paraId="44FDE076" w14:textId="77777777" w:rsidR="00726778" w:rsidRPr="008A1738" w:rsidRDefault="00726778" w:rsidP="00726778">
      <w:pPr>
        <w:spacing w:after="0" w:line="240" w:lineRule="auto"/>
        <w:jc w:val="both"/>
        <w:rPr>
          <w:rFonts w:ascii="Arial" w:hAnsi="Arial" w:cs="Arial"/>
          <w:sz w:val="20"/>
          <w:szCs w:val="20"/>
        </w:rPr>
      </w:pPr>
    </w:p>
    <w:p w14:paraId="5A98EF73" w14:textId="77777777" w:rsidR="00726778" w:rsidRPr="008A1738" w:rsidRDefault="00327249" w:rsidP="00327249">
      <w:pPr>
        <w:spacing w:after="0" w:line="240" w:lineRule="auto"/>
        <w:jc w:val="both"/>
        <w:rPr>
          <w:rFonts w:ascii="Arial" w:hAnsi="Arial" w:cs="Arial"/>
          <w:sz w:val="20"/>
          <w:szCs w:val="20"/>
        </w:rPr>
      </w:pPr>
      <w:r>
        <w:rPr>
          <w:noProof/>
          <w:lang w:eastAsia="es-MX"/>
        </w:rPr>
        <w:drawing>
          <wp:inline distT="0" distB="0" distL="0" distR="0" wp14:anchorId="0EACC9CD" wp14:editId="15C68063">
            <wp:extent cx="5534025" cy="1390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4025" cy="1390650"/>
                    </a:xfrm>
                    <a:prstGeom prst="rect">
                      <a:avLst/>
                    </a:prstGeom>
                  </pic:spPr>
                </pic:pic>
              </a:graphicData>
            </a:graphic>
          </wp:inline>
        </w:drawing>
      </w:r>
      <w:r w:rsidR="00726778" w:rsidRPr="008A1738">
        <w:rPr>
          <w:rFonts w:ascii="Arial" w:hAnsi="Arial" w:cs="Arial"/>
          <w:sz w:val="20"/>
          <w:szCs w:val="20"/>
        </w:rPr>
        <w:t xml:space="preserve">                               </w:t>
      </w:r>
    </w:p>
    <w:p w14:paraId="3826EDCA" w14:textId="77777777" w:rsidR="00726778" w:rsidRPr="008A1738" w:rsidRDefault="00726778" w:rsidP="00726778">
      <w:pPr>
        <w:spacing w:after="0" w:line="240" w:lineRule="auto"/>
        <w:jc w:val="both"/>
        <w:rPr>
          <w:rFonts w:ascii="Arial" w:hAnsi="Arial" w:cs="Arial"/>
          <w:sz w:val="20"/>
          <w:szCs w:val="20"/>
        </w:rPr>
      </w:pPr>
    </w:p>
    <w:p w14:paraId="487D1E26" w14:textId="77777777" w:rsidR="00726778" w:rsidRPr="008A1738" w:rsidRDefault="00726778" w:rsidP="00726778">
      <w:pPr>
        <w:spacing w:after="0" w:line="240" w:lineRule="auto"/>
        <w:jc w:val="both"/>
        <w:rPr>
          <w:rFonts w:ascii="Arial" w:hAnsi="Arial" w:cs="Arial"/>
          <w:sz w:val="20"/>
          <w:szCs w:val="20"/>
        </w:rPr>
      </w:pPr>
      <w:r w:rsidRPr="008A1738">
        <w:rPr>
          <w:rFonts w:ascii="Arial" w:hAnsi="Arial" w:cs="Arial"/>
          <w:sz w:val="20"/>
          <w:szCs w:val="20"/>
        </w:rPr>
        <w:t>Fondo</w:t>
      </w:r>
      <w:r w:rsidR="009663F0" w:rsidRPr="008A1738">
        <w:rPr>
          <w:rFonts w:ascii="Arial" w:hAnsi="Arial" w:cs="Arial"/>
          <w:sz w:val="20"/>
          <w:szCs w:val="20"/>
        </w:rPr>
        <w:t>s</w:t>
      </w:r>
      <w:r w:rsidRPr="008A1738">
        <w:rPr>
          <w:rFonts w:ascii="Arial" w:hAnsi="Arial" w:cs="Arial"/>
          <w:sz w:val="20"/>
          <w:szCs w:val="20"/>
        </w:rPr>
        <w:t xml:space="preserve"> Guanajuato de </w:t>
      </w:r>
      <w:r w:rsidR="009663F0" w:rsidRPr="008A1738">
        <w:rPr>
          <w:rFonts w:ascii="Arial" w:hAnsi="Arial" w:cs="Arial"/>
          <w:sz w:val="20"/>
          <w:szCs w:val="20"/>
        </w:rPr>
        <w:t>Fi</w:t>
      </w:r>
      <w:r w:rsidRPr="008A1738">
        <w:rPr>
          <w:rFonts w:ascii="Arial" w:hAnsi="Arial" w:cs="Arial"/>
          <w:sz w:val="20"/>
          <w:szCs w:val="20"/>
        </w:rPr>
        <w:t>na</w:t>
      </w:r>
      <w:r w:rsidR="009663F0" w:rsidRPr="008A1738">
        <w:rPr>
          <w:rFonts w:ascii="Arial" w:hAnsi="Arial" w:cs="Arial"/>
          <w:sz w:val="20"/>
          <w:szCs w:val="20"/>
        </w:rPr>
        <w:t>nciamiento</w:t>
      </w:r>
      <w:r w:rsidRPr="008A1738">
        <w:rPr>
          <w:rFonts w:ascii="Arial" w:hAnsi="Arial" w:cs="Arial"/>
          <w:sz w:val="20"/>
          <w:szCs w:val="20"/>
        </w:rPr>
        <w:t xml:space="preserve">, como Fideicomiso </w:t>
      </w:r>
      <w:r w:rsidR="002565EE" w:rsidRPr="008A1738">
        <w:rPr>
          <w:rFonts w:ascii="Arial" w:hAnsi="Arial" w:cs="Arial"/>
          <w:sz w:val="20"/>
          <w:szCs w:val="20"/>
        </w:rPr>
        <w:t>Público es</w:t>
      </w:r>
      <w:r w:rsidRPr="008A1738">
        <w:rPr>
          <w:rFonts w:ascii="Arial" w:hAnsi="Arial" w:cs="Arial"/>
          <w:sz w:val="20"/>
          <w:szCs w:val="20"/>
        </w:rPr>
        <w:t xml:space="preserve"> creado para otorgar apoyos a las micro</w:t>
      </w:r>
      <w:r w:rsidR="00301876" w:rsidRPr="008A1738">
        <w:rPr>
          <w:rFonts w:ascii="Arial" w:hAnsi="Arial" w:cs="Arial"/>
          <w:sz w:val="20"/>
          <w:szCs w:val="20"/>
        </w:rPr>
        <w:t>, pequeña</w:t>
      </w:r>
      <w:r w:rsidR="00446047">
        <w:rPr>
          <w:rFonts w:ascii="Arial" w:hAnsi="Arial" w:cs="Arial"/>
          <w:sz w:val="20"/>
          <w:szCs w:val="20"/>
        </w:rPr>
        <w:t>s</w:t>
      </w:r>
      <w:r w:rsidR="00301876" w:rsidRPr="008A1738">
        <w:rPr>
          <w:rFonts w:ascii="Arial" w:hAnsi="Arial" w:cs="Arial"/>
          <w:sz w:val="20"/>
          <w:szCs w:val="20"/>
        </w:rPr>
        <w:t xml:space="preserve"> </w:t>
      </w:r>
      <w:r w:rsidRPr="008A1738">
        <w:rPr>
          <w:rFonts w:ascii="Arial" w:hAnsi="Arial" w:cs="Arial"/>
          <w:sz w:val="20"/>
          <w:szCs w:val="20"/>
        </w:rPr>
        <w:t xml:space="preserve">y </w:t>
      </w:r>
      <w:r w:rsidR="00301876" w:rsidRPr="008A1738">
        <w:rPr>
          <w:rFonts w:ascii="Arial" w:hAnsi="Arial" w:cs="Arial"/>
          <w:sz w:val="20"/>
          <w:szCs w:val="20"/>
        </w:rPr>
        <w:t>mediana</w:t>
      </w:r>
      <w:r w:rsidR="00446047">
        <w:rPr>
          <w:rFonts w:ascii="Arial" w:hAnsi="Arial" w:cs="Arial"/>
          <w:sz w:val="20"/>
          <w:szCs w:val="20"/>
        </w:rPr>
        <w:t>s</w:t>
      </w:r>
      <w:r w:rsidRPr="008A1738">
        <w:rPr>
          <w:rFonts w:ascii="Arial" w:hAnsi="Arial" w:cs="Arial"/>
          <w:sz w:val="20"/>
          <w:szCs w:val="20"/>
        </w:rPr>
        <w:t xml:space="preserve"> empresas que no son atendidos por las instituciones financieras en sus requerimientos de financiamiento y apoyo a la gestión empresarial ya sea debido a su tamaño y grado de desarrollo o por el alto costo y riesgo que implican.</w:t>
      </w:r>
    </w:p>
    <w:p w14:paraId="02FA6163" w14:textId="77777777" w:rsidR="007D1E76" w:rsidRPr="008A1738" w:rsidRDefault="00726778" w:rsidP="00726778">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lastRenderedPageBreak/>
        <w:t>De esta forma enfrenta una cerrada competencia no por un segmento de mercado, sino para proteger a la planta productiva, sobre todo a los empresarios y emprendedores de las Micro</w:t>
      </w:r>
      <w:r w:rsidR="00301876" w:rsidRPr="008A1738">
        <w:rPr>
          <w:rFonts w:ascii="Arial" w:hAnsi="Arial" w:cs="Arial"/>
          <w:sz w:val="20"/>
          <w:szCs w:val="20"/>
        </w:rPr>
        <w:t>,</w:t>
      </w:r>
      <w:r w:rsidRPr="008A1738">
        <w:rPr>
          <w:rFonts w:ascii="Arial" w:hAnsi="Arial" w:cs="Arial"/>
          <w:sz w:val="20"/>
          <w:szCs w:val="20"/>
        </w:rPr>
        <w:t xml:space="preserve"> Pequeña</w:t>
      </w:r>
      <w:r w:rsidR="00446047">
        <w:rPr>
          <w:rFonts w:ascii="Arial" w:hAnsi="Arial" w:cs="Arial"/>
          <w:sz w:val="20"/>
          <w:szCs w:val="20"/>
        </w:rPr>
        <w:t>s</w:t>
      </w:r>
      <w:r w:rsidR="00301876" w:rsidRPr="008A1738">
        <w:rPr>
          <w:rFonts w:ascii="Arial" w:hAnsi="Arial" w:cs="Arial"/>
          <w:sz w:val="20"/>
          <w:szCs w:val="20"/>
        </w:rPr>
        <w:t xml:space="preserve"> y Mediana</w:t>
      </w:r>
      <w:r w:rsidR="00446047">
        <w:rPr>
          <w:rFonts w:ascii="Arial" w:hAnsi="Arial" w:cs="Arial"/>
          <w:sz w:val="20"/>
          <w:szCs w:val="20"/>
        </w:rPr>
        <w:t>s</w:t>
      </w:r>
      <w:r w:rsidRPr="008A1738">
        <w:rPr>
          <w:rFonts w:ascii="Arial" w:hAnsi="Arial" w:cs="Arial"/>
          <w:sz w:val="20"/>
          <w:szCs w:val="20"/>
        </w:rPr>
        <w:t xml:space="preserve"> Empresas, de recurrir a otras fuentes de financiamiento </w:t>
      </w:r>
      <w:r w:rsidR="002565EE" w:rsidRPr="008A1738">
        <w:rPr>
          <w:rFonts w:ascii="Arial" w:hAnsi="Arial" w:cs="Arial"/>
          <w:sz w:val="20"/>
          <w:szCs w:val="20"/>
        </w:rPr>
        <w:t>que,</w:t>
      </w:r>
      <w:r w:rsidRPr="008A1738">
        <w:rPr>
          <w:rFonts w:ascii="Arial" w:hAnsi="Arial" w:cs="Arial"/>
          <w:sz w:val="20"/>
          <w:szCs w:val="20"/>
        </w:rPr>
        <w:t xml:space="preserve"> si bien otorgan crédito fácil y rápido, lo hacen con altos costos financieros y aplican prácticas de cobranza agresivas que resultan perjudiciales para las empresas.</w:t>
      </w:r>
    </w:p>
    <w:p w14:paraId="5A76D4A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BC9D628" w14:textId="77777777" w:rsidR="007D1E76" w:rsidRPr="008A1738" w:rsidRDefault="00983283" w:rsidP="000C3365">
      <w:pPr>
        <w:pStyle w:val="Ttulo2"/>
        <w:rPr>
          <w:rFonts w:ascii="Arial" w:hAnsi="Arial" w:cs="Arial"/>
          <w:b/>
          <w:color w:val="auto"/>
          <w:sz w:val="20"/>
          <w:szCs w:val="20"/>
        </w:rPr>
      </w:pPr>
      <w:bookmarkStart w:id="2" w:name="_Toc136350932"/>
      <w:r>
        <w:rPr>
          <w:rFonts w:ascii="Arial" w:hAnsi="Arial" w:cs="Arial"/>
          <w:b/>
          <w:color w:val="auto"/>
          <w:sz w:val="20"/>
          <w:szCs w:val="20"/>
        </w:rPr>
        <w:t>3</w:t>
      </w:r>
      <w:r w:rsidR="007D1E76" w:rsidRPr="008A1738">
        <w:rPr>
          <w:rFonts w:ascii="Arial" w:hAnsi="Arial" w:cs="Arial"/>
          <w:b/>
          <w:color w:val="auto"/>
          <w:sz w:val="20"/>
          <w:szCs w:val="20"/>
        </w:rPr>
        <w:t xml:space="preserve">. </w:t>
      </w:r>
      <w:r w:rsidR="00E00323" w:rsidRPr="008A1738">
        <w:rPr>
          <w:rFonts w:ascii="Arial" w:hAnsi="Arial" w:cs="Arial"/>
          <w:b/>
          <w:color w:val="auto"/>
          <w:sz w:val="20"/>
          <w:szCs w:val="20"/>
        </w:rPr>
        <w:t>Organización y Objeto Social:</w:t>
      </w:r>
      <w:bookmarkEnd w:id="2"/>
    </w:p>
    <w:p w14:paraId="292976D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informará sobre:</w:t>
      </w:r>
    </w:p>
    <w:p w14:paraId="36C062A1"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0D949C7F"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Objeto social.</w:t>
      </w:r>
    </w:p>
    <w:p w14:paraId="19447E18" w14:textId="77777777" w:rsidR="009663F0" w:rsidRPr="008A1738" w:rsidRDefault="009663F0" w:rsidP="009663F0">
      <w:pPr>
        <w:spacing w:after="0" w:line="240" w:lineRule="auto"/>
        <w:jc w:val="both"/>
        <w:rPr>
          <w:rFonts w:ascii="Arial" w:hAnsi="Arial" w:cs="Arial"/>
          <w:sz w:val="20"/>
          <w:szCs w:val="20"/>
        </w:rPr>
      </w:pPr>
      <w:r w:rsidRPr="008A1738">
        <w:rPr>
          <w:rFonts w:ascii="Arial" w:hAnsi="Arial" w:cs="Arial"/>
          <w:sz w:val="20"/>
          <w:szCs w:val="20"/>
        </w:rPr>
        <w:t xml:space="preserve">Tiene como objeto, entre otros, fomentar el desarrollo de la microempresa, en particular las del Estado de Guanajuato, mediante la operación de un sistema de otorgamiento de apoyos financieros preferenciales, para lo cual se realizan las siguientes actividades con sujeción a lo que establezcan las reglas de operación del fideicomiso: </w:t>
      </w:r>
    </w:p>
    <w:p w14:paraId="73A61CE8" w14:textId="77777777" w:rsidR="0085679A" w:rsidRPr="008A1738" w:rsidRDefault="0085679A" w:rsidP="009663F0">
      <w:pPr>
        <w:spacing w:after="0" w:line="240" w:lineRule="auto"/>
        <w:jc w:val="both"/>
        <w:rPr>
          <w:rFonts w:ascii="Arial" w:hAnsi="Arial" w:cs="Arial"/>
          <w:sz w:val="20"/>
          <w:szCs w:val="20"/>
        </w:rPr>
      </w:pPr>
    </w:p>
    <w:p w14:paraId="46AFE758" w14:textId="77777777" w:rsidR="009663F0" w:rsidRPr="008A1738" w:rsidRDefault="00D4360D" w:rsidP="009663F0">
      <w:pPr>
        <w:numPr>
          <w:ilvl w:val="4"/>
          <w:numId w:val="8"/>
        </w:numPr>
        <w:spacing w:after="0" w:line="240" w:lineRule="auto"/>
        <w:ind w:left="0" w:firstLine="0"/>
        <w:jc w:val="both"/>
        <w:rPr>
          <w:rFonts w:ascii="Arial" w:hAnsi="Arial" w:cs="Arial"/>
          <w:sz w:val="20"/>
          <w:szCs w:val="20"/>
        </w:rPr>
      </w:pPr>
      <w:r w:rsidRPr="008A1738">
        <w:rPr>
          <w:rFonts w:ascii="Arial" w:hAnsi="Arial" w:cs="Arial"/>
          <w:sz w:val="20"/>
          <w:szCs w:val="20"/>
        </w:rPr>
        <w:t xml:space="preserve"> </w:t>
      </w:r>
      <w:r w:rsidR="009663F0" w:rsidRPr="008A1738">
        <w:rPr>
          <w:rFonts w:ascii="Arial" w:hAnsi="Arial" w:cs="Arial"/>
          <w:sz w:val="20"/>
          <w:szCs w:val="20"/>
        </w:rPr>
        <w:t>Promover</w:t>
      </w:r>
      <w:r w:rsidRPr="008A1738">
        <w:rPr>
          <w:rFonts w:ascii="Arial" w:hAnsi="Arial" w:cs="Arial"/>
          <w:sz w:val="20"/>
          <w:szCs w:val="20"/>
        </w:rPr>
        <w:t>,</w:t>
      </w:r>
      <w:r w:rsidR="009663F0" w:rsidRPr="008A1738">
        <w:rPr>
          <w:rFonts w:ascii="Arial" w:hAnsi="Arial" w:cs="Arial"/>
          <w:sz w:val="20"/>
          <w:szCs w:val="20"/>
        </w:rPr>
        <w:t xml:space="preserve"> apoyar y fomentar el desarrollo de las actividades productivas que fortalezcan la planta productiva y genera</w:t>
      </w:r>
      <w:r w:rsidRPr="008A1738">
        <w:rPr>
          <w:rFonts w:ascii="Arial" w:hAnsi="Arial" w:cs="Arial"/>
          <w:sz w:val="20"/>
          <w:szCs w:val="20"/>
        </w:rPr>
        <w:t>ción</w:t>
      </w:r>
      <w:r w:rsidR="009663F0" w:rsidRPr="008A1738">
        <w:rPr>
          <w:rFonts w:ascii="Arial" w:hAnsi="Arial" w:cs="Arial"/>
          <w:sz w:val="20"/>
          <w:szCs w:val="20"/>
        </w:rPr>
        <w:t xml:space="preserve"> empleo.</w:t>
      </w:r>
    </w:p>
    <w:p w14:paraId="654AE692" w14:textId="77777777" w:rsidR="009663F0" w:rsidRPr="008A1738" w:rsidRDefault="009663F0" w:rsidP="009663F0">
      <w:pPr>
        <w:tabs>
          <w:tab w:val="num" w:pos="1134"/>
        </w:tabs>
        <w:rPr>
          <w:rFonts w:ascii="Arial" w:hAnsi="Arial" w:cs="Arial"/>
          <w:sz w:val="20"/>
          <w:szCs w:val="20"/>
        </w:rPr>
      </w:pPr>
    </w:p>
    <w:p w14:paraId="057C5372" w14:textId="77777777" w:rsidR="009663F0" w:rsidRPr="008A1738" w:rsidRDefault="00D4360D" w:rsidP="009663F0">
      <w:pPr>
        <w:numPr>
          <w:ilvl w:val="4"/>
          <w:numId w:val="8"/>
        </w:numPr>
        <w:spacing w:after="0" w:line="240" w:lineRule="auto"/>
        <w:ind w:left="0" w:firstLine="0"/>
        <w:jc w:val="both"/>
        <w:rPr>
          <w:rFonts w:ascii="Arial" w:hAnsi="Arial" w:cs="Arial"/>
          <w:sz w:val="20"/>
          <w:szCs w:val="20"/>
        </w:rPr>
      </w:pPr>
      <w:r w:rsidRPr="008A1738">
        <w:rPr>
          <w:rFonts w:ascii="Arial" w:hAnsi="Arial" w:cs="Arial"/>
          <w:sz w:val="20"/>
          <w:szCs w:val="20"/>
        </w:rPr>
        <w:t xml:space="preserve"> </w:t>
      </w:r>
      <w:r w:rsidR="009663F0" w:rsidRPr="008A1738">
        <w:rPr>
          <w:rFonts w:ascii="Arial" w:hAnsi="Arial" w:cs="Arial"/>
          <w:sz w:val="20"/>
          <w:szCs w:val="20"/>
        </w:rPr>
        <w:t>Alentar y apoyar a la micro</w:t>
      </w:r>
      <w:r w:rsidRPr="008A1738">
        <w:rPr>
          <w:rFonts w:ascii="Arial" w:hAnsi="Arial" w:cs="Arial"/>
          <w:sz w:val="20"/>
          <w:szCs w:val="20"/>
        </w:rPr>
        <w:t xml:space="preserve">, pequeña y mediana </w:t>
      </w:r>
      <w:r w:rsidR="009663F0" w:rsidRPr="008A1738">
        <w:rPr>
          <w:rFonts w:ascii="Arial" w:hAnsi="Arial" w:cs="Arial"/>
          <w:sz w:val="20"/>
          <w:szCs w:val="20"/>
        </w:rPr>
        <w:t>empresa, en particular la que no cuente con los elementos tanto económicos como técnicos para su desarrollo.</w:t>
      </w:r>
    </w:p>
    <w:p w14:paraId="0D99FF2E" w14:textId="77777777" w:rsidR="00446047" w:rsidRPr="008A1738" w:rsidRDefault="00446047" w:rsidP="009663F0">
      <w:pPr>
        <w:tabs>
          <w:tab w:val="num" w:pos="1134"/>
        </w:tabs>
        <w:rPr>
          <w:rFonts w:ascii="Arial" w:hAnsi="Arial" w:cs="Arial"/>
          <w:sz w:val="20"/>
          <w:szCs w:val="20"/>
        </w:rPr>
      </w:pPr>
    </w:p>
    <w:p w14:paraId="67DF351E" w14:textId="77777777" w:rsidR="009663F0" w:rsidRPr="008A1738" w:rsidRDefault="00D4360D" w:rsidP="009663F0">
      <w:pPr>
        <w:numPr>
          <w:ilvl w:val="4"/>
          <w:numId w:val="8"/>
        </w:numPr>
        <w:spacing w:after="0" w:line="240" w:lineRule="auto"/>
        <w:ind w:left="0" w:firstLine="0"/>
        <w:jc w:val="both"/>
        <w:rPr>
          <w:rFonts w:ascii="Arial" w:hAnsi="Arial" w:cs="Arial"/>
          <w:sz w:val="20"/>
          <w:szCs w:val="20"/>
        </w:rPr>
      </w:pPr>
      <w:r w:rsidRPr="008A1738">
        <w:rPr>
          <w:rFonts w:ascii="Arial" w:hAnsi="Arial" w:cs="Arial"/>
          <w:sz w:val="20"/>
          <w:szCs w:val="20"/>
        </w:rPr>
        <w:t xml:space="preserve"> </w:t>
      </w:r>
      <w:r w:rsidR="009663F0" w:rsidRPr="008A1738">
        <w:rPr>
          <w:rFonts w:ascii="Arial" w:hAnsi="Arial" w:cs="Arial"/>
          <w:sz w:val="20"/>
          <w:szCs w:val="20"/>
        </w:rPr>
        <w:t>Incentivar la producción de bienes susceptibles de exportación y aquellos que contribuyan a subsistir importaciones.</w:t>
      </w:r>
    </w:p>
    <w:p w14:paraId="79059C95" w14:textId="77777777" w:rsidR="009663F0" w:rsidRPr="008A1738" w:rsidRDefault="009663F0" w:rsidP="009663F0">
      <w:pPr>
        <w:tabs>
          <w:tab w:val="num" w:pos="1134"/>
        </w:tabs>
        <w:rPr>
          <w:rFonts w:ascii="Arial" w:hAnsi="Arial" w:cs="Arial"/>
          <w:sz w:val="20"/>
          <w:szCs w:val="20"/>
        </w:rPr>
      </w:pPr>
    </w:p>
    <w:p w14:paraId="6754F46A" w14:textId="77777777" w:rsidR="009663F0" w:rsidRPr="008A1738" w:rsidRDefault="009663F0" w:rsidP="00CB1D5E">
      <w:pPr>
        <w:numPr>
          <w:ilvl w:val="4"/>
          <w:numId w:val="8"/>
        </w:numPr>
        <w:spacing w:after="0" w:line="240" w:lineRule="auto"/>
        <w:ind w:left="0" w:firstLine="0"/>
        <w:jc w:val="both"/>
        <w:rPr>
          <w:rFonts w:ascii="Arial" w:hAnsi="Arial" w:cs="Arial"/>
          <w:sz w:val="20"/>
          <w:szCs w:val="20"/>
        </w:rPr>
      </w:pPr>
      <w:r w:rsidRPr="008A1738">
        <w:rPr>
          <w:rFonts w:ascii="Arial" w:hAnsi="Arial" w:cs="Arial"/>
          <w:sz w:val="20"/>
          <w:szCs w:val="20"/>
        </w:rPr>
        <w:t xml:space="preserve">Otorgar financiamiento a los </w:t>
      </w:r>
      <w:r w:rsidR="002565EE" w:rsidRPr="008A1738">
        <w:rPr>
          <w:rFonts w:ascii="Arial" w:hAnsi="Arial" w:cs="Arial"/>
          <w:sz w:val="20"/>
          <w:szCs w:val="20"/>
        </w:rPr>
        <w:t>sujetos de</w:t>
      </w:r>
      <w:r w:rsidRPr="008A1738">
        <w:rPr>
          <w:rFonts w:ascii="Arial" w:hAnsi="Arial" w:cs="Arial"/>
          <w:sz w:val="20"/>
          <w:szCs w:val="20"/>
        </w:rPr>
        <w:t xml:space="preserve"> apoyo, fijándoles </w:t>
      </w:r>
      <w:r w:rsidR="002565EE" w:rsidRPr="008A1738">
        <w:rPr>
          <w:rFonts w:ascii="Arial" w:hAnsi="Arial" w:cs="Arial"/>
          <w:sz w:val="20"/>
          <w:szCs w:val="20"/>
        </w:rPr>
        <w:t>plazos de</w:t>
      </w:r>
      <w:r w:rsidRPr="008A1738">
        <w:rPr>
          <w:rFonts w:ascii="Arial" w:hAnsi="Arial" w:cs="Arial"/>
          <w:sz w:val="20"/>
          <w:szCs w:val="20"/>
        </w:rPr>
        <w:t xml:space="preserve"> amortización congruentes a su capacidad de pago, debidamente sancionadas por el Comité Técnico.</w:t>
      </w:r>
    </w:p>
    <w:p w14:paraId="4131831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237FCC0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Principal actividad.</w:t>
      </w:r>
    </w:p>
    <w:p w14:paraId="78C1D504" w14:textId="77777777" w:rsidR="00446047" w:rsidRDefault="00446047" w:rsidP="008B439C">
      <w:pPr>
        <w:spacing w:after="0" w:line="240" w:lineRule="auto"/>
        <w:jc w:val="both"/>
        <w:rPr>
          <w:rFonts w:ascii="Arial" w:hAnsi="Arial" w:cs="Arial"/>
          <w:sz w:val="20"/>
          <w:szCs w:val="20"/>
        </w:rPr>
      </w:pPr>
    </w:p>
    <w:p w14:paraId="3F16036C"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Denominado comercialmente como</w:t>
      </w:r>
      <w:r w:rsidR="00CD1709">
        <w:rPr>
          <w:rFonts w:ascii="Arial" w:hAnsi="Arial" w:cs="Arial"/>
          <w:sz w:val="20"/>
          <w:szCs w:val="20"/>
        </w:rPr>
        <w:t>:</w:t>
      </w:r>
      <w:r w:rsidRPr="008A1738">
        <w:rPr>
          <w:rFonts w:ascii="Arial" w:hAnsi="Arial" w:cs="Arial"/>
          <w:sz w:val="20"/>
          <w:szCs w:val="20"/>
        </w:rPr>
        <w:t xml:space="preserve"> </w:t>
      </w:r>
      <w:r w:rsidR="007B038C" w:rsidRPr="008A1738">
        <w:rPr>
          <w:rFonts w:ascii="Arial" w:hAnsi="Arial" w:cs="Arial"/>
          <w:sz w:val="20"/>
          <w:szCs w:val="20"/>
        </w:rPr>
        <w:t>“</w:t>
      </w:r>
      <w:r w:rsidRPr="008A1738">
        <w:rPr>
          <w:rFonts w:ascii="Arial" w:hAnsi="Arial" w:cs="Arial"/>
          <w:sz w:val="20"/>
          <w:szCs w:val="20"/>
        </w:rPr>
        <w:t>Fondos Guanajuato</w:t>
      </w:r>
      <w:r w:rsidR="007B038C" w:rsidRPr="008A1738">
        <w:rPr>
          <w:rFonts w:ascii="Arial" w:hAnsi="Arial" w:cs="Arial"/>
          <w:sz w:val="20"/>
          <w:szCs w:val="20"/>
        </w:rPr>
        <w:t>”</w:t>
      </w:r>
      <w:r w:rsidR="00CD1709">
        <w:rPr>
          <w:rFonts w:ascii="Arial" w:hAnsi="Arial" w:cs="Arial"/>
          <w:sz w:val="20"/>
          <w:szCs w:val="20"/>
        </w:rPr>
        <w:t>,</w:t>
      </w:r>
      <w:r w:rsidRPr="008A1738">
        <w:rPr>
          <w:rFonts w:ascii="Arial" w:hAnsi="Arial" w:cs="Arial"/>
          <w:sz w:val="20"/>
          <w:szCs w:val="20"/>
        </w:rPr>
        <w:t xml:space="preserve"> se desempeñan funciones y actividades de Financiamiento en apoyo a la</w:t>
      </w:r>
      <w:r w:rsidR="00CD1709">
        <w:rPr>
          <w:rFonts w:ascii="Arial" w:hAnsi="Arial" w:cs="Arial"/>
          <w:sz w:val="20"/>
          <w:szCs w:val="20"/>
        </w:rPr>
        <w:t>s</w:t>
      </w:r>
      <w:r w:rsidRPr="008A1738">
        <w:rPr>
          <w:rFonts w:ascii="Arial" w:hAnsi="Arial" w:cs="Arial"/>
          <w:sz w:val="20"/>
          <w:szCs w:val="20"/>
        </w:rPr>
        <w:t xml:space="preserve"> Micro, Pequeña</w:t>
      </w:r>
      <w:r w:rsidR="00CD1709">
        <w:rPr>
          <w:rFonts w:ascii="Arial" w:hAnsi="Arial" w:cs="Arial"/>
          <w:sz w:val="20"/>
          <w:szCs w:val="20"/>
        </w:rPr>
        <w:t>s</w:t>
      </w:r>
      <w:r w:rsidRPr="008A1738">
        <w:rPr>
          <w:rFonts w:ascii="Arial" w:hAnsi="Arial" w:cs="Arial"/>
          <w:sz w:val="20"/>
          <w:szCs w:val="20"/>
        </w:rPr>
        <w:t xml:space="preserve"> y Mediana</w:t>
      </w:r>
      <w:r w:rsidR="00CD1709">
        <w:rPr>
          <w:rFonts w:ascii="Arial" w:hAnsi="Arial" w:cs="Arial"/>
          <w:sz w:val="20"/>
          <w:szCs w:val="20"/>
        </w:rPr>
        <w:t>s</w:t>
      </w:r>
      <w:r w:rsidRPr="008A1738">
        <w:rPr>
          <w:rFonts w:ascii="Arial" w:hAnsi="Arial" w:cs="Arial"/>
          <w:sz w:val="20"/>
          <w:szCs w:val="20"/>
        </w:rPr>
        <w:t xml:space="preserve"> </w:t>
      </w:r>
      <w:r w:rsidR="00CD1709">
        <w:rPr>
          <w:rFonts w:ascii="Arial" w:hAnsi="Arial" w:cs="Arial"/>
          <w:sz w:val="20"/>
          <w:szCs w:val="20"/>
        </w:rPr>
        <w:t>E</w:t>
      </w:r>
      <w:r w:rsidRPr="008A1738">
        <w:rPr>
          <w:rFonts w:ascii="Arial" w:hAnsi="Arial" w:cs="Arial"/>
          <w:sz w:val="20"/>
          <w:szCs w:val="20"/>
        </w:rPr>
        <w:t>mpresa</w:t>
      </w:r>
      <w:r w:rsidR="00CD1709">
        <w:rPr>
          <w:rFonts w:ascii="Arial" w:hAnsi="Arial" w:cs="Arial"/>
          <w:sz w:val="20"/>
          <w:szCs w:val="20"/>
        </w:rPr>
        <w:t>s</w:t>
      </w:r>
      <w:r w:rsidRPr="008A1738">
        <w:rPr>
          <w:rFonts w:ascii="Arial" w:hAnsi="Arial" w:cs="Arial"/>
          <w:sz w:val="20"/>
          <w:szCs w:val="20"/>
        </w:rPr>
        <w:t xml:space="preserve"> </w:t>
      </w:r>
      <w:r w:rsidR="00CD1709">
        <w:rPr>
          <w:rFonts w:ascii="Arial" w:hAnsi="Arial" w:cs="Arial"/>
          <w:sz w:val="20"/>
          <w:szCs w:val="20"/>
        </w:rPr>
        <w:t xml:space="preserve">(MIPYMES) </w:t>
      </w:r>
      <w:r w:rsidRPr="008A1738">
        <w:rPr>
          <w:rFonts w:ascii="Arial" w:hAnsi="Arial" w:cs="Arial"/>
          <w:sz w:val="20"/>
          <w:szCs w:val="20"/>
        </w:rPr>
        <w:t>con proyección hacia la generación de empleo y el beneficio social en el Estado de Guanajuato en sectores que no son atendidos por las fuentes tradicionales de financiamiento.</w:t>
      </w:r>
    </w:p>
    <w:p w14:paraId="4A8E2192" w14:textId="77777777" w:rsidR="008B439C" w:rsidRPr="008A1738" w:rsidRDefault="007B038C" w:rsidP="008B439C">
      <w:pPr>
        <w:spacing w:after="0" w:line="240" w:lineRule="auto"/>
        <w:jc w:val="both"/>
        <w:rPr>
          <w:rFonts w:ascii="Arial" w:hAnsi="Arial" w:cs="Arial"/>
          <w:sz w:val="20"/>
          <w:szCs w:val="20"/>
        </w:rPr>
      </w:pPr>
      <w:r w:rsidRPr="008A1738">
        <w:rPr>
          <w:rFonts w:ascii="Arial" w:hAnsi="Arial" w:cs="Arial"/>
          <w:sz w:val="20"/>
          <w:szCs w:val="20"/>
        </w:rPr>
        <w:t>La principal actividad de la en</w:t>
      </w:r>
      <w:r w:rsidR="008B439C" w:rsidRPr="008A1738">
        <w:rPr>
          <w:rFonts w:ascii="Arial" w:hAnsi="Arial" w:cs="Arial"/>
          <w:sz w:val="20"/>
          <w:szCs w:val="20"/>
        </w:rPr>
        <w:t>tidad es promover un amplio portafolio de esquemas y programas de financiamiento</w:t>
      </w:r>
      <w:r w:rsidRPr="008A1738">
        <w:rPr>
          <w:rFonts w:ascii="Arial" w:hAnsi="Arial" w:cs="Arial"/>
          <w:sz w:val="20"/>
          <w:szCs w:val="20"/>
        </w:rPr>
        <w:t>,</w:t>
      </w:r>
      <w:r w:rsidR="008B439C" w:rsidRPr="008A1738">
        <w:rPr>
          <w:rFonts w:ascii="Arial" w:hAnsi="Arial" w:cs="Arial"/>
          <w:sz w:val="20"/>
          <w:szCs w:val="20"/>
        </w:rPr>
        <w:t xml:space="preserve"> </w:t>
      </w:r>
      <w:r w:rsidRPr="008A1738">
        <w:rPr>
          <w:rFonts w:ascii="Arial" w:hAnsi="Arial" w:cs="Arial"/>
          <w:sz w:val="20"/>
          <w:szCs w:val="20"/>
        </w:rPr>
        <w:t>t</w:t>
      </w:r>
      <w:r w:rsidR="008B439C" w:rsidRPr="008A1738">
        <w:rPr>
          <w:rFonts w:ascii="Arial" w:hAnsi="Arial" w:cs="Arial"/>
          <w:sz w:val="20"/>
          <w:szCs w:val="20"/>
        </w:rPr>
        <w:t>odos ellos diseñados con el único objetivo de poder acompañar y asesorar a cada uno de los acreditados, empresarios y emprendedores, en las etapas más importantes de su vida</w:t>
      </w:r>
      <w:r w:rsidRPr="008A1738">
        <w:rPr>
          <w:rFonts w:ascii="Arial" w:hAnsi="Arial" w:cs="Arial"/>
          <w:sz w:val="20"/>
          <w:szCs w:val="20"/>
        </w:rPr>
        <w:t xml:space="preserve"> empresarial</w:t>
      </w:r>
      <w:r w:rsidR="008B439C" w:rsidRPr="008A1738">
        <w:rPr>
          <w:rFonts w:ascii="Arial" w:hAnsi="Arial" w:cs="Arial"/>
          <w:sz w:val="20"/>
          <w:szCs w:val="20"/>
        </w:rPr>
        <w:t>.</w:t>
      </w:r>
    </w:p>
    <w:p w14:paraId="49AAC7FD"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Los sectores que se impulsan son</w:t>
      </w:r>
      <w:r w:rsidR="007B038C" w:rsidRPr="008A1738">
        <w:rPr>
          <w:rFonts w:ascii="Arial" w:hAnsi="Arial" w:cs="Arial"/>
          <w:sz w:val="20"/>
          <w:szCs w:val="20"/>
        </w:rPr>
        <w:t>:</w:t>
      </w:r>
      <w:r w:rsidRPr="008A1738">
        <w:rPr>
          <w:rFonts w:ascii="Arial" w:hAnsi="Arial" w:cs="Arial"/>
          <w:sz w:val="20"/>
          <w:szCs w:val="20"/>
        </w:rPr>
        <w:t xml:space="preserve"> industrial, comercial, servicios y agroindustrial</w:t>
      </w:r>
      <w:r w:rsidR="003107E2">
        <w:rPr>
          <w:rFonts w:ascii="Arial" w:hAnsi="Arial" w:cs="Arial"/>
          <w:sz w:val="20"/>
          <w:szCs w:val="20"/>
        </w:rPr>
        <w:t>,</w:t>
      </w:r>
      <w:r w:rsidRPr="008A1738">
        <w:rPr>
          <w:rFonts w:ascii="Arial" w:hAnsi="Arial" w:cs="Arial"/>
          <w:sz w:val="20"/>
          <w:szCs w:val="20"/>
        </w:rPr>
        <w:t xml:space="preserve"> </w:t>
      </w:r>
      <w:r w:rsidR="003107E2">
        <w:rPr>
          <w:rFonts w:ascii="Arial" w:hAnsi="Arial" w:cs="Arial"/>
          <w:sz w:val="20"/>
          <w:szCs w:val="20"/>
        </w:rPr>
        <w:t>otorgando así el a</w:t>
      </w:r>
      <w:r w:rsidRPr="008A1738">
        <w:rPr>
          <w:rFonts w:ascii="Arial" w:hAnsi="Arial" w:cs="Arial"/>
          <w:sz w:val="20"/>
          <w:szCs w:val="20"/>
        </w:rPr>
        <w:t>poyo a los negocios haciéndolos más competitivos al brindarles soporte económico para compras de materia prima, mercancía, mobiliario y equipo, maquinaria y adecuaciones físicas.</w:t>
      </w:r>
    </w:p>
    <w:p w14:paraId="37C7089B"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Así mismo</w:t>
      </w:r>
      <w:r w:rsidR="003107E2">
        <w:rPr>
          <w:rFonts w:ascii="Arial" w:hAnsi="Arial" w:cs="Arial"/>
          <w:sz w:val="20"/>
          <w:szCs w:val="20"/>
        </w:rPr>
        <w:t>,</w:t>
      </w:r>
      <w:r w:rsidRPr="008A1738">
        <w:rPr>
          <w:rFonts w:ascii="Arial" w:hAnsi="Arial" w:cs="Arial"/>
          <w:sz w:val="20"/>
          <w:szCs w:val="20"/>
        </w:rPr>
        <w:t xml:space="preserve"> ayudando a emprendedores con proyectos viables generados dentro de una incubadora</w:t>
      </w:r>
      <w:r w:rsidR="00264535">
        <w:rPr>
          <w:rFonts w:ascii="Arial" w:hAnsi="Arial" w:cs="Arial"/>
          <w:sz w:val="20"/>
          <w:szCs w:val="20"/>
        </w:rPr>
        <w:t xml:space="preserve"> con</w:t>
      </w:r>
      <w:r w:rsidRPr="008A1738">
        <w:rPr>
          <w:rFonts w:ascii="Arial" w:hAnsi="Arial" w:cs="Arial"/>
          <w:sz w:val="20"/>
          <w:szCs w:val="20"/>
        </w:rPr>
        <w:t>:</w:t>
      </w:r>
    </w:p>
    <w:p w14:paraId="69A1F806"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Asesoría empresarial</w:t>
      </w:r>
    </w:p>
    <w:p w14:paraId="05B4F698"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Capacitación</w:t>
      </w:r>
    </w:p>
    <w:p w14:paraId="0A64D4BA"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Consultoría especializada y asistencia técnica en la e</w:t>
      </w:r>
      <w:r w:rsidR="00264535">
        <w:rPr>
          <w:rFonts w:ascii="Arial" w:hAnsi="Arial" w:cs="Arial"/>
          <w:sz w:val="20"/>
          <w:szCs w:val="20"/>
        </w:rPr>
        <w:t>laboración del Plan de Negocios</w:t>
      </w:r>
    </w:p>
    <w:p w14:paraId="59419D30"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Recursos financieros para su desarrollo, implementación y consolidación.</w:t>
      </w:r>
    </w:p>
    <w:p w14:paraId="45382E6D" w14:textId="77777777" w:rsidR="00264535" w:rsidRDefault="00264535" w:rsidP="008B439C">
      <w:pPr>
        <w:spacing w:after="0" w:line="240" w:lineRule="auto"/>
        <w:jc w:val="both"/>
        <w:rPr>
          <w:rFonts w:ascii="Arial" w:hAnsi="Arial" w:cs="Arial"/>
          <w:sz w:val="20"/>
          <w:szCs w:val="20"/>
        </w:rPr>
      </w:pPr>
    </w:p>
    <w:p w14:paraId="1759EC55"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Los financiamientos (programas) que se refieren a la operación, son como sigue:</w:t>
      </w:r>
    </w:p>
    <w:p w14:paraId="6FCC3F75" w14:textId="77777777" w:rsidR="00C82F63" w:rsidRPr="008A1738" w:rsidRDefault="00C82F63" w:rsidP="008B439C">
      <w:pPr>
        <w:spacing w:after="0" w:line="240" w:lineRule="auto"/>
        <w:jc w:val="both"/>
        <w:rPr>
          <w:rFonts w:ascii="Arial" w:hAnsi="Arial" w:cs="Arial"/>
          <w:sz w:val="20"/>
          <w:szCs w:val="20"/>
        </w:rPr>
      </w:pPr>
    </w:p>
    <w:p w14:paraId="09AB6FC2" w14:textId="77777777" w:rsidR="008D6298" w:rsidRPr="00CB1D5E" w:rsidRDefault="008D6298" w:rsidP="00CB1D5E">
      <w:pPr>
        <w:pStyle w:val="Prrafodelista"/>
        <w:numPr>
          <w:ilvl w:val="0"/>
          <w:numId w:val="13"/>
        </w:numPr>
        <w:spacing w:after="0" w:line="240" w:lineRule="auto"/>
        <w:jc w:val="both"/>
        <w:rPr>
          <w:rFonts w:ascii="Arial" w:hAnsi="Arial" w:cs="Arial"/>
          <w:sz w:val="20"/>
          <w:szCs w:val="20"/>
        </w:rPr>
      </w:pPr>
      <w:r w:rsidRPr="00CB1D5E">
        <w:rPr>
          <w:rFonts w:ascii="Arial" w:hAnsi="Arial" w:cs="Arial"/>
          <w:sz w:val="20"/>
          <w:szCs w:val="20"/>
        </w:rPr>
        <w:t xml:space="preserve">Crédito Fofies </w:t>
      </w:r>
      <w:r w:rsidR="00DC5CF7" w:rsidRPr="00DF1B73">
        <w:rPr>
          <w:rFonts w:ascii="Arial" w:hAnsi="Arial" w:cs="Arial"/>
          <w:sz w:val="20"/>
          <w:szCs w:val="20"/>
        </w:rPr>
        <w:t>de $500,000.01 a $3,000,000.00 Plazo hasta 60 meses</w:t>
      </w:r>
      <w:r w:rsidRPr="00CB1D5E">
        <w:rPr>
          <w:rFonts w:ascii="Arial" w:hAnsi="Arial" w:cs="Arial"/>
          <w:sz w:val="20"/>
          <w:szCs w:val="20"/>
        </w:rPr>
        <w:t>.</w:t>
      </w:r>
    </w:p>
    <w:p w14:paraId="10EB0985" w14:textId="77777777" w:rsidR="008D6298" w:rsidRPr="008A1738" w:rsidRDefault="008D6298" w:rsidP="008D6298">
      <w:pPr>
        <w:spacing w:after="0" w:line="240" w:lineRule="auto"/>
        <w:jc w:val="both"/>
        <w:rPr>
          <w:rFonts w:ascii="Arial" w:hAnsi="Arial" w:cs="Arial"/>
          <w:sz w:val="20"/>
          <w:szCs w:val="20"/>
        </w:rPr>
      </w:pPr>
    </w:p>
    <w:p w14:paraId="23D8F4F5" w14:textId="77777777" w:rsidR="008D6298" w:rsidRPr="008A1738" w:rsidRDefault="00DC5CF7" w:rsidP="00CB1D5E">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Sector Primario hasta $500,000.00 Plazo hasta 24 meses</w:t>
      </w:r>
      <w:r w:rsidR="008D6298" w:rsidRPr="008A1738">
        <w:rPr>
          <w:rFonts w:ascii="Arial" w:hAnsi="Arial" w:cs="Arial"/>
          <w:sz w:val="20"/>
          <w:szCs w:val="20"/>
        </w:rPr>
        <w:t>.</w:t>
      </w:r>
    </w:p>
    <w:p w14:paraId="553A12F9" w14:textId="77777777" w:rsidR="008D6298" w:rsidRPr="008A1738" w:rsidRDefault="008D6298" w:rsidP="008D6298">
      <w:pPr>
        <w:spacing w:after="0" w:line="240" w:lineRule="auto"/>
        <w:jc w:val="both"/>
        <w:rPr>
          <w:rFonts w:ascii="Arial" w:hAnsi="Arial" w:cs="Arial"/>
          <w:sz w:val="20"/>
          <w:szCs w:val="20"/>
        </w:rPr>
      </w:pPr>
    </w:p>
    <w:p w14:paraId="2FF6CE99" w14:textId="77777777" w:rsidR="008D6298" w:rsidRPr="008A1738" w:rsidRDefault="00DC5CF7" w:rsidP="00CB1D5E">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Sector Agroindustrial hasta $2,000,000.00 Plazo hasta 60 meses</w:t>
      </w:r>
      <w:r w:rsidR="008D6298" w:rsidRPr="008A1738">
        <w:rPr>
          <w:rFonts w:ascii="Arial" w:hAnsi="Arial" w:cs="Arial"/>
          <w:sz w:val="20"/>
          <w:szCs w:val="20"/>
        </w:rPr>
        <w:t>.</w:t>
      </w:r>
    </w:p>
    <w:p w14:paraId="2A608BE4" w14:textId="77777777" w:rsidR="008D6298" w:rsidRPr="008A1738" w:rsidRDefault="008D6298" w:rsidP="008D6298">
      <w:pPr>
        <w:spacing w:after="0" w:line="240" w:lineRule="auto"/>
        <w:jc w:val="both"/>
        <w:rPr>
          <w:rFonts w:ascii="Arial" w:hAnsi="Arial" w:cs="Arial"/>
          <w:sz w:val="20"/>
          <w:szCs w:val="20"/>
        </w:rPr>
      </w:pPr>
    </w:p>
    <w:p w14:paraId="54E3682B" w14:textId="77777777" w:rsidR="008D6298" w:rsidRPr="008A1738" w:rsidRDefault="001A7578" w:rsidP="00CB1D5E">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Ladrilleras Guanajuato de $150,000.00 y $245,000.00 Plazo hasta 60 meses</w:t>
      </w:r>
      <w:r w:rsidR="008D6298" w:rsidRPr="008A1738">
        <w:rPr>
          <w:rFonts w:ascii="Arial" w:hAnsi="Arial" w:cs="Arial"/>
          <w:sz w:val="20"/>
          <w:szCs w:val="20"/>
        </w:rPr>
        <w:t>.</w:t>
      </w:r>
    </w:p>
    <w:p w14:paraId="33201842" w14:textId="77777777" w:rsidR="008D6298" w:rsidRPr="008A1738" w:rsidRDefault="008D6298" w:rsidP="008D6298">
      <w:pPr>
        <w:spacing w:after="0" w:line="240" w:lineRule="auto"/>
        <w:jc w:val="both"/>
        <w:rPr>
          <w:rFonts w:ascii="Arial" w:hAnsi="Arial" w:cs="Arial"/>
          <w:sz w:val="20"/>
          <w:szCs w:val="20"/>
        </w:rPr>
      </w:pPr>
    </w:p>
    <w:p w14:paraId="714F5F42" w14:textId="77777777" w:rsidR="008D6298" w:rsidRPr="008A1738" w:rsidRDefault="001A7578" w:rsidP="00CB1D5E">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Renovación de Parque Vehicular hasta $300,000.00 Plazo hasta 60 meses</w:t>
      </w:r>
      <w:r w:rsidR="008D6298" w:rsidRPr="008A1738">
        <w:rPr>
          <w:rFonts w:ascii="Arial" w:hAnsi="Arial" w:cs="Arial"/>
          <w:sz w:val="20"/>
          <w:szCs w:val="20"/>
        </w:rPr>
        <w:t>.</w:t>
      </w:r>
    </w:p>
    <w:p w14:paraId="0D066B87" w14:textId="77777777" w:rsidR="008D6298" w:rsidRPr="008A1738" w:rsidRDefault="008D6298" w:rsidP="008D6298">
      <w:pPr>
        <w:spacing w:after="0" w:line="240" w:lineRule="auto"/>
        <w:jc w:val="both"/>
        <w:rPr>
          <w:rFonts w:ascii="Arial" w:hAnsi="Arial" w:cs="Arial"/>
          <w:sz w:val="20"/>
          <w:szCs w:val="20"/>
        </w:rPr>
      </w:pPr>
    </w:p>
    <w:p w14:paraId="4A57D9F5" w14:textId="77777777" w:rsidR="008D6298" w:rsidRPr="008A1738"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MÁS Obras para GTO $7,000,000.00 Plazo hasta 12 meses</w:t>
      </w:r>
      <w:r w:rsidR="008D6298" w:rsidRPr="008A1738">
        <w:rPr>
          <w:rFonts w:ascii="Arial" w:hAnsi="Arial" w:cs="Arial"/>
          <w:sz w:val="20"/>
          <w:szCs w:val="20"/>
        </w:rPr>
        <w:t>.</w:t>
      </w:r>
    </w:p>
    <w:p w14:paraId="27516386" w14:textId="77777777" w:rsidR="008D6298" w:rsidRPr="008A1738" w:rsidRDefault="008D6298" w:rsidP="008D6298">
      <w:pPr>
        <w:spacing w:after="0" w:line="240" w:lineRule="auto"/>
        <w:jc w:val="both"/>
        <w:rPr>
          <w:rFonts w:ascii="Arial" w:hAnsi="Arial" w:cs="Arial"/>
          <w:sz w:val="20"/>
          <w:szCs w:val="20"/>
        </w:rPr>
      </w:pPr>
    </w:p>
    <w:p w14:paraId="7863C526" w14:textId="77777777" w:rsidR="008D6298" w:rsidRPr="008A1738"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Apoyo a emprendedores de $15,000.00 a $500,000.00 Plazo hasta 60 meses</w:t>
      </w:r>
      <w:r w:rsidR="008D6298" w:rsidRPr="008A1738">
        <w:rPr>
          <w:rFonts w:ascii="Arial" w:hAnsi="Arial" w:cs="Arial"/>
          <w:sz w:val="20"/>
          <w:szCs w:val="20"/>
        </w:rPr>
        <w:t>.</w:t>
      </w:r>
    </w:p>
    <w:p w14:paraId="268F28DC" w14:textId="77777777" w:rsidR="008D6298" w:rsidRPr="008A1738" w:rsidRDefault="008D6298" w:rsidP="008D6298">
      <w:pPr>
        <w:spacing w:after="0" w:line="240" w:lineRule="auto"/>
        <w:jc w:val="both"/>
        <w:rPr>
          <w:rFonts w:ascii="Arial" w:hAnsi="Arial" w:cs="Arial"/>
          <w:sz w:val="20"/>
          <w:szCs w:val="20"/>
        </w:rPr>
      </w:pPr>
    </w:p>
    <w:p w14:paraId="5D1F42AE" w14:textId="77777777" w:rsidR="008D6298" w:rsidRPr="008A1738"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Bolsa de Garantía FIRA $1,300,000.00 a $31,000,000.00</w:t>
      </w:r>
    </w:p>
    <w:p w14:paraId="134E0759" w14:textId="77777777" w:rsidR="008B439C" w:rsidRPr="008A1738" w:rsidRDefault="008B439C" w:rsidP="008B439C">
      <w:pPr>
        <w:spacing w:after="0" w:line="240" w:lineRule="auto"/>
        <w:jc w:val="both"/>
        <w:rPr>
          <w:rFonts w:ascii="Arial" w:hAnsi="Arial" w:cs="Arial"/>
          <w:sz w:val="20"/>
          <w:szCs w:val="20"/>
        </w:rPr>
      </w:pPr>
    </w:p>
    <w:p w14:paraId="337C97A8" w14:textId="77777777" w:rsidR="0085679A"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de Garantía NAFIN+GTO Contigo SI $5,000,000.00 Plazo hasta 60 meses</w:t>
      </w:r>
      <w:r w:rsidR="0085679A" w:rsidRPr="008A1738">
        <w:rPr>
          <w:rFonts w:ascii="Arial" w:hAnsi="Arial" w:cs="Arial"/>
          <w:sz w:val="20"/>
          <w:szCs w:val="20"/>
        </w:rPr>
        <w:t>.</w:t>
      </w:r>
    </w:p>
    <w:p w14:paraId="4DD2D5F5" w14:textId="77777777" w:rsidR="004A3A40" w:rsidRPr="004A3A40" w:rsidRDefault="004A3A40" w:rsidP="004A3A40">
      <w:pPr>
        <w:pStyle w:val="Prrafodelista"/>
        <w:rPr>
          <w:rFonts w:ascii="Arial" w:hAnsi="Arial" w:cs="Arial"/>
          <w:sz w:val="20"/>
          <w:szCs w:val="20"/>
        </w:rPr>
      </w:pPr>
    </w:p>
    <w:p w14:paraId="2C66EE3F" w14:textId="77777777" w:rsidR="004A3A40"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de garantías con la banca comercial hasta $4,434,000.00 Plazo de 1 a 3 años</w:t>
      </w:r>
      <w:r w:rsidR="004A3A40" w:rsidRPr="008A1738">
        <w:rPr>
          <w:rFonts w:ascii="Arial" w:hAnsi="Arial" w:cs="Arial"/>
          <w:sz w:val="20"/>
          <w:szCs w:val="20"/>
        </w:rPr>
        <w:t>.</w:t>
      </w:r>
      <w:r w:rsidR="004A3A40">
        <w:rPr>
          <w:rFonts w:ascii="Arial" w:hAnsi="Arial" w:cs="Arial"/>
          <w:sz w:val="20"/>
          <w:szCs w:val="20"/>
        </w:rPr>
        <w:t xml:space="preserve"> </w:t>
      </w:r>
    </w:p>
    <w:p w14:paraId="03CEC35A" w14:textId="77777777" w:rsidR="004A3A40" w:rsidRPr="004A3A40" w:rsidRDefault="004A3A40" w:rsidP="004A3A40">
      <w:pPr>
        <w:pStyle w:val="Prrafodelista"/>
        <w:rPr>
          <w:rFonts w:ascii="Arial" w:hAnsi="Arial" w:cs="Arial"/>
          <w:sz w:val="20"/>
          <w:szCs w:val="20"/>
        </w:rPr>
      </w:pPr>
    </w:p>
    <w:p w14:paraId="2E290CB8" w14:textId="77777777" w:rsidR="004A3A40" w:rsidRPr="008A1738" w:rsidRDefault="001A7578" w:rsidP="00373463">
      <w:pPr>
        <w:pStyle w:val="Prrafodelista"/>
        <w:numPr>
          <w:ilvl w:val="0"/>
          <w:numId w:val="13"/>
        </w:numPr>
        <w:spacing w:after="0" w:line="240" w:lineRule="auto"/>
        <w:jc w:val="both"/>
        <w:rPr>
          <w:rFonts w:ascii="Arial" w:hAnsi="Arial" w:cs="Arial"/>
          <w:sz w:val="20"/>
          <w:szCs w:val="20"/>
        </w:rPr>
      </w:pPr>
      <w:r w:rsidRPr="00DF1B73">
        <w:rPr>
          <w:rFonts w:ascii="Arial" w:hAnsi="Arial" w:cs="Arial"/>
          <w:sz w:val="20"/>
          <w:szCs w:val="20"/>
        </w:rPr>
        <w:t>Programa Gto Sustentable desde $50,000.00 hasta $6,000,000.00 Plazo hasta 72 meses</w:t>
      </w:r>
      <w:r w:rsidR="00D63E65">
        <w:rPr>
          <w:rFonts w:ascii="Arial" w:hAnsi="Arial" w:cs="Arial"/>
          <w:sz w:val="20"/>
          <w:szCs w:val="20"/>
        </w:rPr>
        <w:t>.</w:t>
      </w:r>
    </w:p>
    <w:p w14:paraId="77D9AB15" w14:textId="77777777" w:rsidR="0085679A" w:rsidRPr="008A1738" w:rsidRDefault="0085679A" w:rsidP="008B439C">
      <w:pPr>
        <w:spacing w:after="0" w:line="240" w:lineRule="auto"/>
        <w:jc w:val="both"/>
        <w:rPr>
          <w:rFonts w:ascii="Arial" w:hAnsi="Arial" w:cs="Arial"/>
          <w:sz w:val="20"/>
          <w:szCs w:val="20"/>
        </w:rPr>
      </w:pPr>
    </w:p>
    <w:p w14:paraId="74854654" w14:textId="77777777" w:rsidR="008B439C" w:rsidRPr="008A1738" w:rsidRDefault="008B439C" w:rsidP="008B439C">
      <w:pPr>
        <w:spacing w:after="0" w:line="240" w:lineRule="auto"/>
        <w:jc w:val="both"/>
        <w:rPr>
          <w:rFonts w:ascii="Arial" w:hAnsi="Arial" w:cs="Arial"/>
          <w:sz w:val="20"/>
          <w:szCs w:val="20"/>
        </w:rPr>
      </w:pPr>
      <w:r w:rsidRPr="008A1738">
        <w:rPr>
          <w:rFonts w:ascii="Arial" w:hAnsi="Arial" w:cs="Arial"/>
          <w:sz w:val="20"/>
          <w:szCs w:val="20"/>
        </w:rPr>
        <w:t xml:space="preserve">Cada uno de los programas ha sido aprobado por el Comité Técnico en apego a las Reglas de Operación de la Entidad, así como </w:t>
      </w:r>
      <w:r w:rsidR="00373463">
        <w:rPr>
          <w:rFonts w:ascii="Arial" w:hAnsi="Arial" w:cs="Arial"/>
          <w:sz w:val="20"/>
          <w:szCs w:val="20"/>
        </w:rPr>
        <w:t xml:space="preserve">a lo </w:t>
      </w:r>
      <w:r w:rsidRPr="008A1738">
        <w:rPr>
          <w:rFonts w:ascii="Arial" w:hAnsi="Arial" w:cs="Arial"/>
          <w:sz w:val="20"/>
          <w:szCs w:val="20"/>
        </w:rPr>
        <w:t>establecido en los fines del Fideicomiso en los convenios modificatorios.</w:t>
      </w:r>
    </w:p>
    <w:p w14:paraId="37E7EE8A" w14:textId="77777777" w:rsidR="0085679A" w:rsidRPr="008A1738" w:rsidRDefault="0085679A" w:rsidP="00CB41C4">
      <w:pPr>
        <w:tabs>
          <w:tab w:val="left" w:leader="underscore" w:pos="9639"/>
        </w:tabs>
        <w:spacing w:after="0" w:line="240" w:lineRule="auto"/>
        <w:jc w:val="both"/>
        <w:rPr>
          <w:rFonts w:ascii="Arial" w:hAnsi="Arial" w:cs="Arial"/>
          <w:b/>
          <w:sz w:val="20"/>
          <w:szCs w:val="20"/>
        </w:rPr>
      </w:pPr>
    </w:p>
    <w:p w14:paraId="57B6FEDF"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c)</w:t>
      </w:r>
      <w:r w:rsidRPr="008A1738">
        <w:rPr>
          <w:rFonts w:ascii="Arial" w:hAnsi="Arial" w:cs="Arial"/>
          <w:sz w:val="20"/>
          <w:szCs w:val="20"/>
        </w:rPr>
        <w:t xml:space="preserve"> E</w:t>
      </w:r>
      <w:r w:rsidR="003E2E8A" w:rsidRPr="008A1738">
        <w:rPr>
          <w:rFonts w:ascii="Arial" w:hAnsi="Arial" w:cs="Arial"/>
          <w:sz w:val="20"/>
          <w:szCs w:val="20"/>
        </w:rPr>
        <w:t>jercicio fiscal</w:t>
      </w:r>
      <w:r w:rsidRPr="008A1738">
        <w:rPr>
          <w:rFonts w:ascii="Arial" w:hAnsi="Arial" w:cs="Arial"/>
          <w:sz w:val="20"/>
          <w:szCs w:val="20"/>
        </w:rPr>
        <w:t>.</w:t>
      </w:r>
    </w:p>
    <w:p w14:paraId="225C8994" w14:textId="77777777" w:rsidR="007D1E76" w:rsidRPr="008A1738" w:rsidRDefault="00D25233" w:rsidP="00CB41C4">
      <w:pPr>
        <w:tabs>
          <w:tab w:val="left" w:leader="underscore" w:pos="9639"/>
        </w:tabs>
        <w:spacing w:after="0" w:line="240" w:lineRule="auto"/>
        <w:jc w:val="both"/>
        <w:rPr>
          <w:rFonts w:ascii="Arial" w:hAnsi="Arial" w:cs="Arial"/>
          <w:sz w:val="20"/>
          <w:szCs w:val="20"/>
        </w:rPr>
      </w:pPr>
      <w:r>
        <w:rPr>
          <w:rFonts w:ascii="Arial" w:eastAsia="Times New Roman" w:hAnsi="Arial" w:cs="Arial"/>
          <w:color w:val="000000"/>
          <w:sz w:val="20"/>
          <w:szCs w:val="20"/>
        </w:rPr>
        <w:t>En</w:t>
      </w:r>
      <w:r w:rsidR="007B7BF7">
        <w:rPr>
          <w:rFonts w:ascii="Arial" w:eastAsia="Times New Roman" w:hAnsi="Arial" w:cs="Arial"/>
          <w:color w:val="000000"/>
          <w:sz w:val="20"/>
          <w:szCs w:val="20"/>
        </w:rPr>
        <w:t xml:space="preserve"> e</w:t>
      </w:r>
      <w:r w:rsidR="00097BDF" w:rsidRPr="008A1738">
        <w:rPr>
          <w:rFonts w:ascii="Arial" w:eastAsia="Times New Roman" w:hAnsi="Arial" w:cs="Arial"/>
          <w:color w:val="000000"/>
          <w:sz w:val="20"/>
          <w:szCs w:val="20"/>
        </w:rPr>
        <w:t xml:space="preserve">l ejercicio fiscal </w:t>
      </w:r>
      <w:r>
        <w:rPr>
          <w:rFonts w:ascii="Arial" w:eastAsia="Times New Roman" w:hAnsi="Arial" w:cs="Arial"/>
          <w:color w:val="000000"/>
          <w:sz w:val="20"/>
          <w:szCs w:val="20"/>
        </w:rPr>
        <w:t xml:space="preserve">que </w:t>
      </w:r>
      <w:r w:rsidR="00097BDF" w:rsidRPr="008A1738">
        <w:rPr>
          <w:rFonts w:ascii="Arial" w:eastAsia="Times New Roman" w:hAnsi="Arial" w:cs="Arial"/>
          <w:color w:val="000000"/>
          <w:sz w:val="20"/>
          <w:szCs w:val="20"/>
        </w:rPr>
        <w:t xml:space="preserve">corresponde al año natural, </w:t>
      </w:r>
      <w:r w:rsidRPr="008A1738">
        <w:rPr>
          <w:rFonts w:ascii="Arial" w:eastAsia="Times New Roman" w:hAnsi="Arial" w:cs="Arial"/>
          <w:color w:val="000000"/>
          <w:sz w:val="20"/>
          <w:szCs w:val="20"/>
        </w:rPr>
        <w:t>el F</w:t>
      </w:r>
      <w:r>
        <w:rPr>
          <w:rFonts w:ascii="Arial" w:eastAsia="Times New Roman" w:hAnsi="Arial" w:cs="Arial"/>
          <w:color w:val="000000"/>
          <w:sz w:val="20"/>
          <w:szCs w:val="20"/>
        </w:rPr>
        <w:t xml:space="preserve">ideicomiso presenta </w:t>
      </w:r>
      <w:r w:rsidR="00F43B8C">
        <w:rPr>
          <w:rFonts w:ascii="Arial" w:eastAsia="Times New Roman" w:hAnsi="Arial" w:cs="Arial"/>
          <w:color w:val="000000"/>
          <w:sz w:val="20"/>
          <w:szCs w:val="20"/>
        </w:rPr>
        <w:t xml:space="preserve">y realiza el pago </w:t>
      </w:r>
      <w:r>
        <w:rPr>
          <w:rFonts w:ascii="Arial" w:eastAsia="Times New Roman" w:hAnsi="Arial" w:cs="Arial"/>
          <w:color w:val="000000"/>
          <w:sz w:val="20"/>
          <w:szCs w:val="20"/>
        </w:rPr>
        <w:t>de forma mensual la “Declaración provisional o definitiva de impuestos federales” así como la “Declaración definitiva de impuestos estatales</w:t>
      </w:r>
      <w:r w:rsidR="00F43B8C">
        <w:rPr>
          <w:rFonts w:ascii="Arial" w:eastAsia="Times New Roman" w:hAnsi="Arial" w:cs="Arial"/>
          <w:color w:val="000000"/>
          <w:sz w:val="20"/>
          <w:szCs w:val="20"/>
        </w:rPr>
        <w:t>”</w:t>
      </w:r>
      <w:r w:rsidR="00883759">
        <w:rPr>
          <w:rFonts w:ascii="Arial" w:eastAsia="Times New Roman" w:hAnsi="Arial" w:cs="Arial"/>
          <w:color w:val="000000"/>
          <w:sz w:val="20"/>
          <w:szCs w:val="20"/>
        </w:rPr>
        <w:t xml:space="preserve">, también </w:t>
      </w:r>
      <w:r w:rsidR="00AA0CBB">
        <w:rPr>
          <w:rFonts w:ascii="Arial" w:eastAsia="Times New Roman" w:hAnsi="Arial" w:cs="Arial"/>
          <w:color w:val="000000"/>
          <w:sz w:val="20"/>
          <w:szCs w:val="20"/>
        </w:rPr>
        <w:t xml:space="preserve">de forma anual </w:t>
      </w:r>
      <w:r w:rsidR="00883759">
        <w:rPr>
          <w:rFonts w:ascii="Arial" w:eastAsia="Times New Roman" w:hAnsi="Arial" w:cs="Arial"/>
          <w:color w:val="000000"/>
          <w:sz w:val="20"/>
          <w:szCs w:val="20"/>
        </w:rPr>
        <w:t xml:space="preserve">se </w:t>
      </w:r>
      <w:r w:rsidR="00AA0CBB">
        <w:rPr>
          <w:rFonts w:ascii="Arial" w:eastAsia="Times New Roman" w:hAnsi="Arial" w:cs="Arial"/>
          <w:color w:val="000000"/>
          <w:sz w:val="20"/>
          <w:szCs w:val="20"/>
        </w:rPr>
        <w:t xml:space="preserve">presenta </w:t>
      </w:r>
      <w:r w:rsidR="00883759">
        <w:rPr>
          <w:rFonts w:ascii="Arial" w:eastAsia="Times New Roman" w:hAnsi="Arial" w:cs="Arial"/>
          <w:color w:val="000000"/>
          <w:sz w:val="20"/>
          <w:szCs w:val="20"/>
        </w:rPr>
        <w:t>la “Declaración</w:t>
      </w:r>
      <w:r w:rsidR="00AA0CBB">
        <w:rPr>
          <w:rFonts w:ascii="Arial" w:eastAsia="Times New Roman" w:hAnsi="Arial" w:cs="Arial"/>
          <w:color w:val="000000"/>
          <w:sz w:val="20"/>
          <w:szCs w:val="20"/>
        </w:rPr>
        <w:t xml:space="preserve"> </w:t>
      </w:r>
      <w:r w:rsidR="00D1471F">
        <w:rPr>
          <w:rFonts w:ascii="Arial" w:eastAsia="Times New Roman" w:hAnsi="Arial" w:cs="Arial"/>
          <w:color w:val="000000"/>
          <w:sz w:val="20"/>
          <w:szCs w:val="20"/>
        </w:rPr>
        <w:t xml:space="preserve">del Ejercicio </w:t>
      </w:r>
      <w:r w:rsidR="00AA0CBB">
        <w:rPr>
          <w:rFonts w:ascii="Arial" w:eastAsia="Times New Roman" w:hAnsi="Arial" w:cs="Arial"/>
          <w:color w:val="000000"/>
          <w:sz w:val="20"/>
          <w:szCs w:val="20"/>
        </w:rPr>
        <w:t>de Personas</w:t>
      </w:r>
      <w:r w:rsidR="007420BC">
        <w:rPr>
          <w:rFonts w:ascii="Arial" w:eastAsia="Times New Roman" w:hAnsi="Arial" w:cs="Arial"/>
          <w:color w:val="000000"/>
          <w:sz w:val="20"/>
          <w:szCs w:val="20"/>
        </w:rPr>
        <w:t xml:space="preserve"> </w:t>
      </w:r>
      <w:r w:rsidR="00AA0CBB">
        <w:rPr>
          <w:rFonts w:ascii="Arial" w:eastAsia="Times New Roman" w:hAnsi="Arial" w:cs="Arial"/>
          <w:color w:val="000000"/>
          <w:sz w:val="20"/>
          <w:szCs w:val="20"/>
        </w:rPr>
        <w:t>Morales</w:t>
      </w:r>
      <w:r w:rsidR="00D1471F">
        <w:rPr>
          <w:rFonts w:ascii="Arial" w:eastAsia="Times New Roman" w:hAnsi="Arial" w:cs="Arial"/>
          <w:color w:val="000000"/>
          <w:sz w:val="20"/>
          <w:szCs w:val="20"/>
        </w:rPr>
        <w:t xml:space="preserve"> con Fines No Lucrativos</w:t>
      </w:r>
      <w:r w:rsidR="00AA0CBB">
        <w:rPr>
          <w:rFonts w:ascii="Arial" w:eastAsia="Times New Roman" w:hAnsi="Arial" w:cs="Arial"/>
          <w:color w:val="000000"/>
          <w:sz w:val="20"/>
          <w:szCs w:val="20"/>
        </w:rPr>
        <w:t>” y</w:t>
      </w:r>
      <w:r w:rsidR="00AA1066">
        <w:rPr>
          <w:rFonts w:ascii="Arial" w:eastAsia="Times New Roman" w:hAnsi="Arial" w:cs="Arial"/>
          <w:color w:val="000000"/>
          <w:sz w:val="20"/>
          <w:szCs w:val="20"/>
        </w:rPr>
        <w:t>,</w:t>
      </w:r>
      <w:r w:rsidR="00AA0CBB">
        <w:rPr>
          <w:rFonts w:ascii="Arial" w:eastAsia="Times New Roman" w:hAnsi="Arial" w:cs="Arial"/>
          <w:color w:val="000000"/>
          <w:sz w:val="20"/>
          <w:szCs w:val="20"/>
        </w:rPr>
        <w:t xml:space="preserve"> por un despacho externo</w:t>
      </w:r>
      <w:r w:rsidR="00AA1066">
        <w:rPr>
          <w:rFonts w:ascii="Arial" w:eastAsia="Times New Roman" w:hAnsi="Arial" w:cs="Arial"/>
          <w:color w:val="000000"/>
          <w:sz w:val="20"/>
          <w:szCs w:val="20"/>
        </w:rPr>
        <w:t>,</w:t>
      </w:r>
      <w:r w:rsidR="00AA0CBB">
        <w:rPr>
          <w:rFonts w:ascii="Arial" w:eastAsia="Times New Roman" w:hAnsi="Arial" w:cs="Arial"/>
          <w:color w:val="000000"/>
          <w:sz w:val="20"/>
          <w:szCs w:val="20"/>
        </w:rPr>
        <w:t xml:space="preserve"> realiza la Auditoría para efectos de la presentación del Dictamen de los Estados Financieros. Por otro lado, el fideicomiso </w:t>
      </w:r>
      <w:r w:rsidR="00097BDF" w:rsidRPr="008A1738">
        <w:rPr>
          <w:rFonts w:ascii="Arial" w:eastAsia="Times New Roman" w:hAnsi="Arial" w:cs="Arial"/>
          <w:color w:val="000000"/>
          <w:sz w:val="20"/>
          <w:szCs w:val="20"/>
        </w:rPr>
        <w:t>realiza cortes mensuales</w:t>
      </w:r>
      <w:r w:rsidR="003E2E8A" w:rsidRPr="008A1738">
        <w:rPr>
          <w:rFonts w:ascii="Arial" w:eastAsia="Times New Roman" w:hAnsi="Arial" w:cs="Arial"/>
          <w:color w:val="000000"/>
          <w:sz w:val="20"/>
          <w:szCs w:val="20"/>
        </w:rPr>
        <w:t>, trimestrales y anual</w:t>
      </w:r>
      <w:r w:rsidR="00097BDF" w:rsidRPr="008A1738">
        <w:rPr>
          <w:rFonts w:ascii="Arial" w:eastAsia="Times New Roman" w:hAnsi="Arial" w:cs="Arial"/>
          <w:color w:val="000000"/>
          <w:sz w:val="20"/>
          <w:szCs w:val="20"/>
        </w:rPr>
        <w:t xml:space="preserve"> para la </w:t>
      </w:r>
      <w:r w:rsidR="00AA0CBB">
        <w:rPr>
          <w:rFonts w:ascii="Arial" w:eastAsia="Times New Roman" w:hAnsi="Arial" w:cs="Arial"/>
          <w:color w:val="000000"/>
          <w:sz w:val="20"/>
          <w:szCs w:val="20"/>
        </w:rPr>
        <w:t xml:space="preserve">integración y </w:t>
      </w:r>
      <w:r w:rsidR="00097BDF" w:rsidRPr="008A1738">
        <w:rPr>
          <w:rFonts w:ascii="Arial" w:eastAsia="Times New Roman" w:hAnsi="Arial" w:cs="Arial"/>
          <w:color w:val="000000"/>
          <w:sz w:val="20"/>
          <w:szCs w:val="20"/>
        </w:rPr>
        <w:t xml:space="preserve">presentación de </w:t>
      </w:r>
      <w:r w:rsidR="003E2E8A" w:rsidRPr="008A1738">
        <w:rPr>
          <w:rFonts w:ascii="Arial" w:eastAsia="Times New Roman" w:hAnsi="Arial" w:cs="Arial"/>
          <w:color w:val="000000"/>
          <w:sz w:val="20"/>
          <w:szCs w:val="20"/>
        </w:rPr>
        <w:t>Información Financiera y C</w:t>
      </w:r>
      <w:r w:rsidR="00097BDF" w:rsidRPr="008A1738">
        <w:rPr>
          <w:rFonts w:ascii="Arial" w:eastAsia="Times New Roman" w:hAnsi="Arial" w:cs="Arial"/>
          <w:color w:val="000000"/>
          <w:sz w:val="20"/>
          <w:szCs w:val="20"/>
        </w:rPr>
        <w:t>uenta</w:t>
      </w:r>
      <w:r w:rsidR="003E2E8A" w:rsidRPr="008A1738">
        <w:rPr>
          <w:rFonts w:ascii="Arial" w:eastAsia="Times New Roman" w:hAnsi="Arial" w:cs="Arial"/>
          <w:color w:val="000000"/>
          <w:sz w:val="20"/>
          <w:szCs w:val="20"/>
        </w:rPr>
        <w:t xml:space="preserve"> P</w:t>
      </w:r>
      <w:r w:rsidR="00097BDF" w:rsidRPr="008A1738">
        <w:rPr>
          <w:rFonts w:ascii="Arial" w:eastAsia="Times New Roman" w:hAnsi="Arial" w:cs="Arial"/>
          <w:color w:val="000000"/>
          <w:sz w:val="20"/>
          <w:szCs w:val="20"/>
        </w:rPr>
        <w:t>ública</w:t>
      </w:r>
      <w:r w:rsidR="00AA0CBB" w:rsidRPr="00AA0CBB">
        <w:rPr>
          <w:rFonts w:ascii="Arial" w:eastAsia="Times New Roman" w:hAnsi="Arial" w:cs="Arial"/>
          <w:color w:val="000000"/>
          <w:sz w:val="20"/>
          <w:szCs w:val="20"/>
        </w:rPr>
        <w:t xml:space="preserve"> </w:t>
      </w:r>
      <w:r w:rsidR="00AA0CBB">
        <w:rPr>
          <w:rFonts w:ascii="Arial" w:eastAsia="Times New Roman" w:hAnsi="Arial" w:cs="Arial"/>
          <w:color w:val="000000"/>
          <w:sz w:val="20"/>
          <w:szCs w:val="20"/>
        </w:rPr>
        <w:t xml:space="preserve">en materia de </w:t>
      </w:r>
      <w:r w:rsidR="00D1471F">
        <w:rPr>
          <w:rFonts w:ascii="Arial" w:eastAsia="Times New Roman" w:hAnsi="Arial" w:cs="Arial"/>
          <w:color w:val="000000"/>
          <w:sz w:val="20"/>
          <w:szCs w:val="20"/>
        </w:rPr>
        <w:t xml:space="preserve">la Ley General de </w:t>
      </w:r>
      <w:r w:rsidR="00AA0CBB">
        <w:rPr>
          <w:rFonts w:ascii="Arial" w:eastAsia="Times New Roman" w:hAnsi="Arial" w:cs="Arial"/>
          <w:color w:val="000000"/>
          <w:sz w:val="20"/>
          <w:szCs w:val="20"/>
        </w:rPr>
        <w:t>Contabilidad Gubernamental</w:t>
      </w:r>
      <w:r w:rsidR="00D1471F">
        <w:rPr>
          <w:rFonts w:ascii="Arial" w:eastAsia="Times New Roman" w:hAnsi="Arial" w:cs="Arial"/>
          <w:color w:val="000000"/>
          <w:sz w:val="20"/>
          <w:szCs w:val="20"/>
        </w:rPr>
        <w:t>.</w:t>
      </w:r>
    </w:p>
    <w:p w14:paraId="5316C111"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2AF97BE6" w14:textId="77777777" w:rsidR="008B439C"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d)</w:t>
      </w:r>
      <w:r w:rsidRPr="008A1738">
        <w:rPr>
          <w:rFonts w:ascii="Arial" w:hAnsi="Arial" w:cs="Arial"/>
          <w:sz w:val="20"/>
          <w:szCs w:val="20"/>
        </w:rPr>
        <w:t xml:space="preserve"> Régimen jurídico (Forma como está dada de alta la entidad ante la S.H.C.P., ejemplos: S.C., S.A., Personas mo</w:t>
      </w:r>
      <w:r w:rsidR="00B12279">
        <w:rPr>
          <w:rFonts w:ascii="Arial" w:hAnsi="Arial" w:cs="Arial"/>
          <w:sz w:val="20"/>
          <w:szCs w:val="20"/>
        </w:rPr>
        <w:t>rales sin fines de lucro, etc.)</w:t>
      </w:r>
    </w:p>
    <w:p w14:paraId="4012EE69" w14:textId="77777777" w:rsidR="00B12279" w:rsidRDefault="00B12279" w:rsidP="00CB41C4">
      <w:pPr>
        <w:tabs>
          <w:tab w:val="left" w:leader="underscore" w:pos="9639"/>
        </w:tabs>
        <w:spacing w:after="0" w:line="240" w:lineRule="auto"/>
        <w:jc w:val="both"/>
        <w:rPr>
          <w:rFonts w:ascii="Arial" w:hAnsi="Arial" w:cs="Arial"/>
          <w:sz w:val="20"/>
          <w:szCs w:val="20"/>
        </w:rPr>
      </w:pPr>
    </w:p>
    <w:p w14:paraId="31511367" w14:textId="77777777" w:rsidR="00554E9E" w:rsidRDefault="00B12279"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 xml:space="preserve">Fondos Guanajuato de Financiamiento está </w:t>
      </w:r>
      <w:r w:rsidR="00554E9E">
        <w:rPr>
          <w:rFonts w:ascii="Arial" w:hAnsi="Arial" w:cs="Arial"/>
          <w:sz w:val="20"/>
          <w:szCs w:val="20"/>
        </w:rPr>
        <w:t>registrado</w:t>
      </w:r>
      <w:r>
        <w:rPr>
          <w:rFonts w:ascii="Arial" w:hAnsi="Arial" w:cs="Arial"/>
          <w:sz w:val="20"/>
          <w:szCs w:val="20"/>
        </w:rPr>
        <w:t xml:space="preserve"> </w:t>
      </w:r>
      <w:r w:rsidR="007B7BF7">
        <w:rPr>
          <w:rFonts w:ascii="Arial" w:hAnsi="Arial" w:cs="Arial"/>
          <w:sz w:val="20"/>
          <w:szCs w:val="20"/>
        </w:rPr>
        <w:t xml:space="preserve">ante la SHCP mediante el SAT </w:t>
      </w:r>
      <w:r w:rsidR="00554E9E">
        <w:rPr>
          <w:rFonts w:ascii="Arial" w:hAnsi="Arial" w:cs="Arial"/>
          <w:sz w:val="20"/>
          <w:szCs w:val="20"/>
        </w:rPr>
        <w:t>de la siguiente forma:</w:t>
      </w:r>
    </w:p>
    <w:p w14:paraId="0E62276B" w14:textId="77777777" w:rsidR="00554E9E" w:rsidRDefault="00554E9E"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RFC: NFF9204099T4</w:t>
      </w:r>
    </w:p>
    <w:p w14:paraId="668EF4E8" w14:textId="77777777" w:rsidR="00554E9E" w:rsidRDefault="00554E9E"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Denominación/Razón Social: Fondos Guanajuato de Financiamiento</w:t>
      </w:r>
    </w:p>
    <w:p w14:paraId="15565B99" w14:textId="77777777" w:rsidR="00B12279" w:rsidRPr="008A1738" w:rsidRDefault="00B12279"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Régimen Fiscal</w:t>
      </w:r>
      <w:r w:rsidR="00554E9E">
        <w:rPr>
          <w:rFonts w:ascii="Arial" w:hAnsi="Arial" w:cs="Arial"/>
          <w:sz w:val="20"/>
          <w:szCs w:val="20"/>
        </w:rPr>
        <w:t>:</w:t>
      </w:r>
      <w:r>
        <w:rPr>
          <w:rFonts w:ascii="Arial" w:hAnsi="Arial" w:cs="Arial"/>
          <w:sz w:val="20"/>
          <w:szCs w:val="20"/>
        </w:rPr>
        <w:t xml:space="preserve"> 603 Personas Morales con Fines No Lucrativos</w:t>
      </w:r>
      <w:r w:rsidR="007B7BF7">
        <w:rPr>
          <w:rFonts w:ascii="Arial" w:hAnsi="Arial" w:cs="Arial"/>
          <w:sz w:val="20"/>
          <w:szCs w:val="20"/>
        </w:rPr>
        <w:t>.</w:t>
      </w:r>
    </w:p>
    <w:p w14:paraId="2D04C4F7" w14:textId="77777777" w:rsidR="00554E9E" w:rsidRPr="00BF5B9D" w:rsidRDefault="00554E9E" w:rsidP="00554E9E">
      <w:pPr>
        <w:pStyle w:val="Prrafodelista"/>
        <w:spacing w:after="0" w:line="240" w:lineRule="auto"/>
        <w:ind w:left="0"/>
        <w:jc w:val="both"/>
        <w:rPr>
          <w:rFonts w:ascii="Arial" w:eastAsia="Times New Roman" w:hAnsi="Arial" w:cs="Arial"/>
          <w:color w:val="000000"/>
          <w:sz w:val="20"/>
          <w:szCs w:val="20"/>
        </w:rPr>
      </w:pPr>
      <w:r>
        <w:rPr>
          <w:rFonts w:ascii="Arial" w:eastAsia="Times New Roman" w:hAnsi="Arial" w:cs="Arial"/>
          <w:color w:val="000000"/>
          <w:sz w:val="20"/>
          <w:szCs w:val="20"/>
        </w:rPr>
        <w:t>Régimen C</w:t>
      </w:r>
      <w:r w:rsidRPr="00BF5B9D">
        <w:rPr>
          <w:rFonts w:ascii="Arial" w:eastAsia="Times New Roman" w:hAnsi="Arial" w:cs="Arial"/>
          <w:color w:val="000000"/>
          <w:sz w:val="20"/>
          <w:szCs w:val="20"/>
        </w:rPr>
        <w:t>apital: Sin tipo de sociedad.</w:t>
      </w:r>
    </w:p>
    <w:p w14:paraId="2B04FD0A" w14:textId="77777777" w:rsidR="00554E9E" w:rsidRPr="00BF5B9D" w:rsidRDefault="00554E9E" w:rsidP="00554E9E">
      <w:pPr>
        <w:pStyle w:val="Prrafodelista"/>
        <w:spacing w:after="0" w:line="240" w:lineRule="auto"/>
        <w:ind w:left="0"/>
        <w:jc w:val="both"/>
        <w:rPr>
          <w:rFonts w:ascii="Arial" w:eastAsia="Times New Roman" w:hAnsi="Arial" w:cs="Arial"/>
          <w:color w:val="000000"/>
          <w:sz w:val="20"/>
          <w:szCs w:val="20"/>
        </w:rPr>
      </w:pPr>
      <w:r w:rsidRPr="00BF5B9D">
        <w:rPr>
          <w:rFonts w:ascii="Arial" w:eastAsia="Times New Roman" w:hAnsi="Arial" w:cs="Arial"/>
          <w:color w:val="000000"/>
          <w:sz w:val="20"/>
          <w:szCs w:val="20"/>
        </w:rPr>
        <w:t>Actividad económica: Fondos y fideicomisos financieros para el desarrollo.</w:t>
      </w:r>
    </w:p>
    <w:p w14:paraId="796C4325" w14:textId="77777777" w:rsidR="00B869D6" w:rsidRDefault="00B869D6" w:rsidP="00554E9E">
      <w:pPr>
        <w:tabs>
          <w:tab w:val="left" w:leader="underscore" w:pos="9639"/>
        </w:tabs>
        <w:spacing w:after="0" w:line="240" w:lineRule="auto"/>
        <w:jc w:val="both"/>
        <w:rPr>
          <w:rFonts w:ascii="Arial" w:hAnsi="Arial" w:cs="Arial"/>
          <w:sz w:val="20"/>
          <w:szCs w:val="20"/>
        </w:rPr>
      </w:pPr>
    </w:p>
    <w:p w14:paraId="4958CC77" w14:textId="77777777" w:rsidR="00554E9E" w:rsidRPr="008A1738" w:rsidRDefault="00554E9E" w:rsidP="00CB41C4">
      <w:pPr>
        <w:tabs>
          <w:tab w:val="left" w:leader="underscore" w:pos="9639"/>
        </w:tabs>
        <w:spacing w:after="0" w:line="240" w:lineRule="auto"/>
        <w:jc w:val="both"/>
        <w:rPr>
          <w:rFonts w:ascii="Arial" w:hAnsi="Arial" w:cs="Arial"/>
          <w:sz w:val="20"/>
          <w:szCs w:val="20"/>
        </w:rPr>
      </w:pPr>
    </w:p>
    <w:p w14:paraId="6EA8CBF7" w14:textId="77777777" w:rsidR="008B439C" w:rsidRPr="008A1738" w:rsidRDefault="008B439C" w:rsidP="008B439C">
      <w:pPr>
        <w:numPr>
          <w:ilvl w:val="0"/>
          <w:numId w:val="9"/>
        </w:numPr>
        <w:spacing w:after="0" w:line="240" w:lineRule="auto"/>
        <w:ind w:left="0" w:firstLine="0"/>
        <w:rPr>
          <w:rFonts w:ascii="Arial" w:hAnsi="Arial" w:cs="Arial"/>
          <w:color w:val="000000"/>
          <w:sz w:val="20"/>
          <w:szCs w:val="20"/>
        </w:rPr>
      </w:pPr>
      <w:r w:rsidRPr="008A1738">
        <w:rPr>
          <w:rFonts w:ascii="Arial" w:hAnsi="Arial" w:cs="Arial"/>
          <w:b/>
          <w:bCs/>
          <w:sz w:val="20"/>
          <w:szCs w:val="20"/>
        </w:rPr>
        <w:t>Introducción, antecedentes y estructura básica del ente</w:t>
      </w:r>
    </w:p>
    <w:p w14:paraId="5CA5C1A8" w14:textId="77777777" w:rsidR="008B439C" w:rsidRPr="008A1738" w:rsidRDefault="008B439C" w:rsidP="008B439C">
      <w:pPr>
        <w:spacing w:line="240" w:lineRule="exact"/>
        <w:jc w:val="both"/>
        <w:rPr>
          <w:rFonts w:ascii="Arial" w:hAnsi="Arial" w:cs="Arial"/>
          <w:sz w:val="20"/>
          <w:szCs w:val="20"/>
        </w:rPr>
      </w:pPr>
      <w:r w:rsidRPr="008A1738">
        <w:rPr>
          <w:rFonts w:ascii="Arial" w:hAnsi="Arial" w:cs="Arial"/>
          <w:b/>
          <w:i/>
          <w:sz w:val="20"/>
          <w:szCs w:val="20"/>
        </w:rPr>
        <w:t>Creación, objeto social, régimen jurídico, principal actividad y entorno financiero</w:t>
      </w:r>
      <w:r w:rsidRPr="008A1738">
        <w:rPr>
          <w:rFonts w:ascii="Arial" w:hAnsi="Arial" w:cs="Arial"/>
          <w:sz w:val="20"/>
          <w:szCs w:val="20"/>
        </w:rPr>
        <w:t xml:space="preserve"> – Fondo para el Financiamiento de las Empresas de Solidaridad del Estado de Guanajuato  (el “Fondo”) fue constituido el día 4 de abril de 1992 a través del contrato de fideicomiso celebrado por una parte por el Gobierno del Estado de Guanajuato, en su carácter de fideicomitente y por otra parte en su carácter de fiduciaria, Nacional Financiera, S.N.C., dicho contrato fue celebrado en comparecencia del Gobierno Federal por conducto de la Secretaria de Hacienda y Crédito Público, a través del órgano desconcentrado denominado Coordinación General del Programa Nacional de Apoyo para las Empresas de Solidaridad. Esta última realizó una aportación inicial de manera solidaria por $2,000,000.00 por la cual renuncia a la recuperación de la inversión antes mencionada.</w:t>
      </w:r>
    </w:p>
    <w:p w14:paraId="5E033ED8" w14:textId="77777777" w:rsidR="008B439C" w:rsidRPr="008A1738" w:rsidRDefault="008B439C" w:rsidP="008B439C">
      <w:pPr>
        <w:spacing w:line="240" w:lineRule="exact"/>
        <w:jc w:val="both"/>
        <w:rPr>
          <w:rFonts w:ascii="Arial" w:hAnsi="Arial" w:cs="Arial"/>
          <w:sz w:val="20"/>
          <w:szCs w:val="20"/>
        </w:rPr>
      </w:pPr>
      <w:r w:rsidRPr="008A1738">
        <w:rPr>
          <w:rFonts w:ascii="Arial" w:hAnsi="Arial" w:cs="Arial"/>
          <w:sz w:val="20"/>
          <w:szCs w:val="20"/>
        </w:rPr>
        <w:t>De igual manera el contrato de fideicomiso establece que Gobierno del Estado de Guanajuato en su figura de fideicomitente, en los términos del artículo 80 de la Ley de Instituciones de Crédito, constituyó un Comité Técnico, entre cuyas facultades se encuentran establecer las reglas de operación del fideicomiso para desarrollo de su objeto.</w:t>
      </w:r>
    </w:p>
    <w:p w14:paraId="3D8EC520" w14:textId="77777777" w:rsidR="008B439C" w:rsidRPr="008A1738" w:rsidRDefault="008B439C" w:rsidP="008B439C">
      <w:pPr>
        <w:pStyle w:val="INCISO"/>
        <w:spacing w:line="226" w:lineRule="exact"/>
        <w:rPr>
          <w:sz w:val="20"/>
          <w:szCs w:val="20"/>
        </w:rPr>
      </w:pPr>
    </w:p>
    <w:p w14:paraId="292D429B" w14:textId="77777777" w:rsidR="008B439C" w:rsidRPr="008A1738" w:rsidRDefault="002565EE"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8A1738">
        <w:rPr>
          <w:rFonts w:ascii="Arial" w:hAnsi="Arial" w:cs="Arial"/>
          <w:color w:val="000000"/>
          <w:sz w:val="20"/>
          <w:szCs w:val="20"/>
          <w:lang w:val="es-MX"/>
        </w:rPr>
        <w:t>El Contrato</w:t>
      </w:r>
      <w:r w:rsidR="008B439C" w:rsidRPr="008A1738">
        <w:rPr>
          <w:rFonts w:ascii="Arial" w:hAnsi="Arial" w:cs="Arial"/>
          <w:color w:val="000000"/>
          <w:sz w:val="20"/>
          <w:szCs w:val="20"/>
          <w:lang w:val="es-MX"/>
        </w:rPr>
        <w:t xml:space="preserve"> de FIDEICOMISO el cual tiene asignado el número 80082 en los registros de la FIDUCIARIA.</w:t>
      </w:r>
    </w:p>
    <w:p w14:paraId="4860EFF4" w14:textId="77777777" w:rsidR="008B439C" w:rsidRPr="008A1738" w:rsidRDefault="008B439C" w:rsidP="008B439C">
      <w:pPr>
        <w:tabs>
          <w:tab w:val="num" w:pos="480"/>
        </w:tabs>
        <w:ind w:left="480" w:hanging="480"/>
        <w:jc w:val="both"/>
        <w:rPr>
          <w:rFonts w:ascii="Arial" w:hAnsi="Arial" w:cs="Arial"/>
          <w:color w:val="000000"/>
          <w:sz w:val="20"/>
          <w:szCs w:val="20"/>
        </w:rPr>
      </w:pPr>
    </w:p>
    <w:p w14:paraId="49E22D98" w14:textId="77777777" w:rsidR="008B439C" w:rsidRPr="008A1738" w:rsidRDefault="008B439C" w:rsidP="0019454A">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8A1738">
        <w:rPr>
          <w:rFonts w:ascii="Arial" w:hAnsi="Arial" w:cs="Arial"/>
          <w:color w:val="000000"/>
          <w:sz w:val="20"/>
          <w:szCs w:val="20"/>
          <w:lang w:val="es-MX"/>
        </w:rPr>
        <w:t>Asimismo, al constituirse el FIDEICOMISO la Coordinación General del Programa Nacional de Apoyo para las Empresas de Solidaridad (FONAES), realizó una aportación por la cantidad de $2’000,000.00 (Dos millones de pesos, 00/100 Moneda Nacional) con el fin de impulsar la productividad, fortaleciendo el fondo revolvente formado por el Fideicomitente. Dicha aportación se integró al patrimonio fideicomitido para financiamiento, capacitación y asistencia técnica. Asimismo, con fecha 7 de julio de 1993 el Fideicomiso restituyó a FONAES la cantidad de $500,000.00 (Quinientos mil pesos, 00/100 Moneda Nacional), subsistiendo una aportación total de FONAES por $1’500,000.00 (Un millón quinientos mil pesos, 00/100 Moneda Nacional).</w:t>
      </w:r>
    </w:p>
    <w:p w14:paraId="04FC04C7" w14:textId="77777777" w:rsidR="008B439C" w:rsidRPr="008A1738" w:rsidRDefault="008B439C" w:rsidP="0019454A">
      <w:pPr>
        <w:pStyle w:val="Prrafodelista"/>
        <w:ind w:left="567"/>
        <w:jc w:val="both"/>
        <w:rPr>
          <w:rFonts w:ascii="Arial" w:eastAsia="Times New Roman" w:hAnsi="Arial" w:cs="Arial"/>
          <w:color w:val="000000"/>
          <w:sz w:val="20"/>
          <w:szCs w:val="20"/>
        </w:rPr>
      </w:pPr>
    </w:p>
    <w:p w14:paraId="534FF0A0" w14:textId="77777777" w:rsidR="008B439C" w:rsidRPr="008A1738" w:rsidRDefault="008B439C" w:rsidP="0019454A">
      <w:pPr>
        <w:pStyle w:val="Prrafodelista"/>
        <w:ind w:left="567"/>
        <w:jc w:val="both"/>
        <w:rPr>
          <w:rFonts w:ascii="Arial" w:eastAsia="Times New Roman" w:hAnsi="Arial" w:cs="Arial"/>
          <w:color w:val="000000"/>
          <w:sz w:val="20"/>
          <w:szCs w:val="20"/>
        </w:rPr>
      </w:pPr>
      <w:r w:rsidRPr="008A1738">
        <w:rPr>
          <w:rFonts w:ascii="Arial" w:eastAsia="Times New Roman" w:hAnsi="Arial" w:cs="Arial"/>
          <w:color w:val="000000"/>
          <w:sz w:val="20"/>
          <w:szCs w:val="20"/>
        </w:rPr>
        <w:t>Posteriormente, el 10 de marzo de 1998, FONAES y el Gobierno del Estado de Guanajuato constituyeron el Fondo en cuenta bancaria denominado “Fondo de Inversión y Reinversión” para la creación y apoyo de microempresas en el Estado de Guanajuato (FOIR), aportando cada una de las partes $3’000,000 (tres millones de pesos, 00/100 Moneda Nacional), acordándose que el Fideicomiso sería el administrador de dichos recursos.</w:t>
      </w:r>
    </w:p>
    <w:p w14:paraId="3CCF1C04" w14:textId="77777777" w:rsidR="008B439C" w:rsidRPr="008A1738"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8A1738">
        <w:rPr>
          <w:rFonts w:ascii="Arial" w:hAnsi="Arial" w:cs="Arial"/>
          <w:color w:val="000000"/>
          <w:sz w:val="20"/>
          <w:szCs w:val="20"/>
          <w:lang w:val="es-MX"/>
        </w:rPr>
        <w:t>Con fecha 13 de junio del 2001, el FIDEICOMITENTE y la FIDUCIARIA, mediante la suscripción del convenio respectivo, con la intervención del FONDO PARA LA PARTICIPACIÓN DE RIESGOS, modificaron el FIDEICOMISO, con el objeto de fomentar y fortalecer las actividades productivas de la microempresa en el Estado de Guanajuato, mediante la adición a los fines del FIDEICOMISO de la posibilidad de participar en el riesgo crediticio con el FONDO PARA LA PARTICIPACIÓN DE RIESGOS.</w:t>
      </w:r>
    </w:p>
    <w:p w14:paraId="7072A2E3" w14:textId="77777777" w:rsidR="008B439C" w:rsidRPr="008A1738" w:rsidRDefault="008B439C" w:rsidP="008B439C">
      <w:pPr>
        <w:pStyle w:val="Prrafodelista1"/>
        <w:tabs>
          <w:tab w:val="num" w:pos="567"/>
        </w:tabs>
        <w:spacing w:after="0" w:line="240" w:lineRule="auto"/>
        <w:ind w:left="567" w:hanging="567"/>
        <w:rPr>
          <w:rFonts w:ascii="Arial" w:hAnsi="Arial" w:cs="Arial"/>
          <w:color w:val="000000"/>
          <w:sz w:val="20"/>
          <w:szCs w:val="20"/>
          <w:lang w:val="es-MX"/>
        </w:rPr>
      </w:pPr>
    </w:p>
    <w:p w14:paraId="78DFCBB5" w14:textId="77777777" w:rsidR="008B439C" w:rsidRPr="00977706"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Con fecha 17 de julio de 2003, se celebró un convenio modificatorio al FIDEICOMISO, por medio del cual se estableció con el FONDO PARA LA PARTICIPACIÓN DE RIESGOS un nuevo esquema de garantías.</w:t>
      </w:r>
    </w:p>
    <w:p w14:paraId="3C96D8AA" w14:textId="77777777" w:rsidR="008B439C" w:rsidRPr="00977706" w:rsidRDefault="008B439C" w:rsidP="008B439C">
      <w:pPr>
        <w:pStyle w:val="Prrafodelista1"/>
        <w:tabs>
          <w:tab w:val="num" w:pos="567"/>
        </w:tabs>
        <w:spacing w:after="0" w:line="240" w:lineRule="auto"/>
        <w:ind w:left="567" w:hanging="567"/>
        <w:rPr>
          <w:rFonts w:ascii="Arial" w:hAnsi="Arial" w:cs="Arial"/>
          <w:color w:val="000000"/>
          <w:sz w:val="20"/>
          <w:szCs w:val="20"/>
          <w:lang w:val="es-MX"/>
        </w:rPr>
      </w:pPr>
    </w:p>
    <w:p w14:paraId="0202B99E" w14:textId="77777777" w:rsidR="008B439C" w:rsidRPr="00977706"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Con fecha 4 de noviembre de 2005, se celebró un convenio modificatorio al FIDEICOMISO, por medio del cual se buscó incentivar de mayor manera el apoyo a emprendedores y empresas de micro, pequeñas y medianas empresas del Estado de Guanajuato.</w:t>
      </w:r>
    </w:p>
    <w:p w14:paraId="3D979D4B" w14:textId="77777777" w:rsidR="008B439C" w:rsidRPr="00977706" w:rsidRDefault="008B439C" w:rsidP="008B439C">
      <w:pPr>
        <w:pStyle w:val="Prrafodelista1"/>
        <w:tabs>
          <w:tab w:val="num" w:pos="567"/>
        </w:tabs>
        <w:spacing w:after="0" w:line="240" w:lineRule="auto"/>
        <w:ind w:left="567" w:hanging="567"/>
        <w:rPr>
          <w:rFonts w:ascii="Arial" w:hAnsi="Arial" w:cs="Arial"/>
          <w:color w:val="000000"/>
          <w:sz w:val="20"/>
          <w:szCs w:val="20"/>
          <w:lang w:val="es-MX"/>
        </w:rPr>
      </w:pPr>
    </w:p>
    <w:p w14:paraId="7C7A173E" w14:textId="77777777" w:rsidR="008B439C" w:rsidRPr="00977706" w:rsidRDefault="008B439C" w:rsidP="0019454A">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Con fecha 31 de julio de 2008, se celebró un convenio modificatorio al contrato de FIDEICOMISO, a efecto de habilitarlo como Intermediario Financiero Especializado con el Fideicomiso de Fomento Minero de la Secretaría de Economía del Gobierno Federal (FIFOMI) para el apoyo financiero a las micro, pequeñas y medianas empresas de la cadena productiva de los minerales en el Estado de Guanajuato.</w:t>
      </w:r>
    </w:p>
    <w:p w14:paraId="72DAA3ED" w14:textId="77777777" w:rsidR="008B439C" w:rsidRPr="00AA1066" w:rsidRDefault="008B439C" w:rsidP="0019454A">
      <w:pPr>
        <w:pStyle w:val="Prrafodelista"/>
        <w:ind w:left="567"/>
        <w:jc w:val="both"/>
        <w:rPr>
          <w:rFonts w:ascii="Arial" w:eastAsia="Times New Roman" w:hAnsi="Arial" w:cs="Arial"/>
          <w:color w:val="000000"/>
          <w:sz w:val="20"/>
          <w:szCs w:val="20"/>
        </w:rPr>
      </w:pPr>
    </w:p>
    <w:p w14:paraId="48CFA56C" w14:textId="77777777" w:rsidR="008B439C" w:rsidRDefault="008B439C" w:rsidP="0019454A">
      <w:pPr>
        <w:pStyle w:val="Prrafodelista"/>
        <w:ind w:left="567"/>
        <w:jc w:val="both"/>
        <w:rPr>
          <w:rFonts w:ascii="Arial" w:eastAsia="Times New Roman" w:hAnsi="Arial" w:cs="Arial"/>
          <w:color w:val="000000"/>
          <w:sz w:val="20"/>
          <w:szCs w:val="20"/>
        </w:rPr>
      </w:pPr>
      <w:r w:rsidRPr="00AA1066">
        <w:rPr>
          <w:rFonts w:ascii="Arial" w:eastAsia="Times New Roman" w:hAnsi="Arial" w:cs="Arial"/>
          <w:color w:val="000000"/>
          <w:sz w:val="20"/>
          <w:szCs w:val="20"/>
        </w:rPr>
        <w:t>En el FIDEICOMISO existió la participación directa del organismo público denominado «Sistema Estatal de Financiamiento al Desarrollo (SEFIDE)», el cual, en virtud de sus atribuciones tenía vinculación directa con la operación de tal entidad paraestatal, a través de su presencia en el Comité Técnico de "EL FIDEICOMISO".</w:t>
      </w:r>
    </w:p>
    <w:p w14:paraId="6109F07B" w14:textId="77777777" w:rsidR="0019454A" w:rsidRPr="002320EE" w:rsidRDefault="0019454A" w:rsidP="0019454A">
      <w:pPr>
        <w:pStyle w:val="Prrafodelista"/>
        <w:ind w:left="567"/>
        <w:jc w:val="both"/>
        <w:rPr>
          <w:rFonts w:ascii="Arial" w:hAnsi="Arial" w:cs="Arial"/>
          <w:sz w:val="20"/>
          <w:szCs w:val="20"/>
        </w:rPr>
      </w:pPr>
    </w:p>
    <w:p w14:paraId="555B8D20" w14:textId="77777777" w:rsidR="008B439C" w:rsidRDefault="008B439C" w:rsidP="0019454A">
      <w:pPr>
        <w:pStyle w:val="Prrafodelista"/>
        <w:ind w:left="567"/>
        <w:jc w:val="both"/>
        <w:rPr>
          <w:rFonts w:ascii="Arial" w:eastAsia="Times New Roman" w:hAnsi="Arial" w:cs="Arial"/>
          <w:color w:val="000000"/>
          <w:sz w:val="20"/>
          <w:szCs w:val="20"/>
        </w:rPr>
      </w:pPr>
      <w:r w:rsidRPr="00AA1066">
        <w:rPr>
          <w:rFonts w:ascii="Arial" w:eastAsia="Times New Roman" w:hAnsi="Arial" w:cs="Arial"/>
          <w:color w:val="000000"/>
          <w:sz w:val="20"/>
          <w:szCs w:val="20"/>
        </w:rPr>
        <w:t xml:space="preserve">Con fecha 19 de Noviembre de 2010 fue publicado en el Periódico Oficial del Gobierno del Estado de Guanajuato número 185 segunda parte, el Decreto Gubernativo número 155 mediante el cual se extingue el organismo público descentralizado, denominado </w:t>
      </w:r>
      <w:r w:rsidR="0019454A">
        <w:rPr>
          <w:rFonts w:ascii="Arial" w:eastAsia="Times New Roman" w:hAnsi="Arial" w:cs="Arial"/>
          <w:color w:val="000000"/>
          <w:sz w:val="20"/>
          <w:szCs w:val="20"/>
        </w:rPr>
        <w:t>“</w:t>
      </w:r>
      <w:r w:rsidRPr="00AA1066">
        <w:rPr>
          <w:rFonts w:ascii="Arial" w:eastAsia="Times New Roman" w:hAnsi="Arial" w:cs="Arial"/>
          <w:color w:val="000000"/>
          <w:sz w:val="20"/>
          <w:szCs w:val="20"/>
        </w:rPr>
        <w:t>Sistema Estatal de Financiamiento al Desarrollo del Estado de Guanajuato</w:t>
      </w:r>
      <w:r w:rsidR="0019454A">
        <w:rPr>
          <w:rFonts w:ascii="Arial" w:eastAsia="Times New Roman" w:hAnsi="Arial" w:cs="Arial"/>
          <w:color w:val="000000"/>
          <w:sz w:val="20"/>
          <w:szCs w:val="20"/>
        </w:rPr>
        <w:t>”</w:t>
      </w:r>
      <w:r w:rsidRPr="00AA1066">
        <w:rPr>
          <w:rFonts w:ascii="Arial" w:eastAsia="Times New Roman" w:hAnsi="Arial" w:cs="Arial"/>
          <w:color w:val="000000"/>
          <w:sz w:val="20"/>
          <w:szCs w:val="20"/>
        </w:rPr>
        <w:t xml:space="preserve">, conocido por sus siglas como SEFIDE, la cual ocupaba el cargo de Presidente del Comité Técnico del FIDEICOMISO, y conforme al artículo 5 del mismo decreto, la Secretaría de Desarrollo Económico Sustentable, la sustituye en todos sus derechos y obligaciones y asume los compromisos adquiridos por el </w:t>
      </w:r>
      <w:r w:rsidR="0019454A">
        <w:rPr>
          <w:rFonts w:ascii="Arial" w:eastAsia="Times New Roman" w:hAnsi="Arial" w:cs="Arial"/>
          <w:color w:val="000000"/>
          <w:sz w:val="20"/>
          <w:szCs w:val="20"/>
        </w:rPr>
        <w:t>“</w:t>
      </w:r>
      <w:r w:rsidRPr="00AA1066">
        <w:rPr>
          <w:rFonts w:ascii="Arial" w:eastAsia="Times New Roman" w:hAnsi="Arial" w:cs="Arial"/>
          <w:color w:val="000000"/>
          <w:sz w:val="20"/>
          <w:szCs w:val="20"/>
        </w:rPr>
        <w:t>Sistema Estatal de Financiamiento al Desarrollo del Estado de Guanajuato</w:t>
      </w:r>
      <w:r w:rsidR="0019454A">
        <w:rPr>
          <w:rFonts w:ascii="Arial" w:eastAsia="Times New Roman" w:hAnsi="Arial" w:cs="Arial"/>
          <w:color w:val="000000"/>
          <w:sz w:val="20"/>
          <w:szCs w:val="20"/>
        </w:rPr>
        <w:t>”</w:t>
      </w:r>
      <w:r w:rsidRPr="00AA1066">
        <w:rPr>
          <w:rFonts w:ascii="Arial" w:eastAsia="Times New Roman" w:hAnsi="Arial" w:cs="Arial"/>
          <w:color w:val="000000"/>
          <w:sz w:val="20"/>
          <w:szCs w:val="20"/>
        </w:rPr>
        <w:t>, debiendo cumplir íntegramente con ellos.</w:t>
      </w:r>
    </w:p>
    <w:p w14:paraId="3441FACA" w14:textId="77777777" w:rsidR="0019454A" w:rsidRPr="00AA1066" w:rsidRDefault="0019454A" w:rsidP="0019454A">
      <w:pPr>
        <w:pStyle w:val="Prrafodelista"/>
        <w:ind w:left="567"/>
        <w:jc w:val="both"/>
        <w:rPr>
          <w:rFonts w:ascii="Arial" w:eastAsia="Times New Roman" w:hAnsi="Arial" w:cs="Arial"/>
          <w:color w:val="000000"/>
          <w:sz w:val="20"/>
          <w:szCs w:val="20"/>
        </w:rPr>
      </w:pPr>
    </w:p>
    <w:p w14:paraId="623EDC04" w14:textId="77777777" w:rsidR="008B439C" w:rsidRPr="0019454A" w:rsidRDefault="008B439C" w:rsidP="0019454A">
      <w:pPr>
        <w:pStyle w:val="Prrafodelista"/>
        <w:ind w:left="567"/>
        <w:jc w:val="both"/>
        <w:rPr>
          <w:rFonts w:ascii="Arial" w:eastAsia="Times New Roman" w:hAnsi="Arial" w:cs="Arial"/>
          <w:color w:val="000000"/>
          <w:sz w:val="20"/>
          <w:szCs w:val="20"/>
        </w:rPr>
      </w:pPr>
      <w:r w:rsidRPr="0019454A">
        <w:rPr>
          <w:rFonts w:ascii="Arial" w:eastAsia="Times New Roman" w:hAnsi="Arial" w:cs="Arial"/>
          <w:color w:val="000000"/>
          <w:sz w:val="20"/>
          <w:szCs w:val="20"/>
        </w:rPr>
        <w:t>De igual manera, en el artículo Segundo Transitorio del mismo instrumento administrativo, se establece que la entonces Secretaría de Finanzas y Administración determinaría las reestructuras conducentes y realizaría los ajustes necesarios a los instrumentos jurídicos de los fideicomisos que operaba el SEFIDE, con el fin de garantizar su continuidad y funcionamiento, para lo cual se estableció la debida coordinación con la Secretaría de Desarrollo Económico Sustentable</w:t>
      </w:r>
      <w:r w:rsidR="00BA12FC" w:rsidRPr="0019454A">
        <w:rPr>
          <w:rFonts w:ascii="Arial" w:eastAsia="Times New Roman" w:hAnsi="Arial" w:cs="Arial"/>
          <w:color w:val="000000"/>
          <w:sz w:val="20"/>
          <w:szCs w:val="20"/>
        </w:rPr>
        <w:t>.</w:t>
      </w:r>
    </w:p>
    <w:p w14:paraId="208B6DFB" w14:textId="77777777" w:rsidR="008B439C" w:rsidRPr="00977706"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En cumplimiento a lo anterior, se determinó la procedencia de adecuar el contenido del presente Contrato de Fideicomiso y el marco normativo de "EL FIDEICOMISO", a efecto de reestructurar su órgano de gobierno, sectorizando dicha entidad paraestatal a la Secretaría de Desarrollo Económico Sustentable.</w:t>
      </w:r>
    </w:p>
    <w:p w14:paraId="2006F893" w14:textId="77777777" w:rsidR="008B439C" w:rsidRPr="00977706" w:rsidRDefault="008B439C" w:rsidP="008B439C">
      <w:pPr>
        <w:pStyle w:val="Prrafodelista1"/>
        <w:spacing w:after="0" w:line="240" w:lineRule="auto"/>
        <w:jc w:val="both"/>
        <w:rPr>
          <w:rFonts w:ascii="Arial" w:hAnsi="Arial" w:cs="Arial"/>
          <w:color w:val="000000"/>
          <w:sz w:val="20"/>
          <w:szCs w:val="20"/>
          <w:lang w:val="es-MX"/>
        </w:rPr>
      </w:pPr>
    </w:p>
    <w:p w14:paraId="467AD055" w14:textId="77777777" w:rsidR="008B439C" w:rsidRDefault="008B439C" w:rsidP="008B439C">
      <w:pPr>
        <w:pStyle w:val="Prrafodelista1"/>
        <w:numPr>
          <w:ilvl w:val="0"/>
          <w:numId w:val="10"/>
        </w:numPr>
        <w:tabs>
          <w:tab w:val="clear" w:pos="720"/>
        </w:tabs>
        <w:spacing w:after="0" w:line="240" w:lineRule="auto"/>
        <w:ind w:left="567" w:hanging="567"/>
        <w:jc w:val="both"/>
        <w:rPr>
          <w:rFonts w:ascii="Arial" w:hAnsi="Arial" w:cs="Arial"/>
          <w:color w:val="000000"/>
          <w:sz w:val="20"/>
          <w:szCs w:val="20"/>
          <w:lang w:val="es-MX"/>
        </w:rPr>
      </w:pPr>
      <w:r w:rsidRPr="00977706">
        <w:rPr>
          <w:rFonts w:ascii="Arial" w:hAnsi="Arial" w:cs="Arial"/>
          <w:color w:val="000000"/>
          <w:sz w:val="20"/>
          <w:szCs w:val="20"/>
          <w:lang w:val="es-MX"/>
        </w:rPr>
        <w:t>Aunado a lo anterior, el Gobierno del Estado ha determinado un redimensionamiento en cuanto a la operación del FIDEICOMISO, para eficientar la administración de los programas de apoyo y el uso de sus recursos, se decidió modificar la estructura del patrimonio sin detrimento de la integración del mismo, mismo que al 25 de Octubre de 2013 ascendió a $104,636,232.50 (Ciento cuatro millones seiscientos treinta y seis mil, doscientos treinta y dos pesos 50/100 Moneda Nacional), así como un cambio en su denominación de “Fondo para el Financiamiento de las Empresas de Solidaridad del Estado de Guanajuato” a la de “Fondos Guanajuato de Financiamiento”, entre otros aspectos.</w:t>
      </w:r>
    </w:p>
    <w:p w14:paraId="709717CE" w14:textId="77777777" w:rsidR="00BA12FC" w:rsidRPr="00977706" w:rsidRDefault="00BA12FC" w:rsidP="00BA12FC">
      <w:pPr>
        <w:pStyle w:val="Prrafodelista1"/>
        <w:spacing w:after="0" w:line="240" w:lineRule="auto"/>
        <w:ind w:left="0"/>
        <w:jc w:val="both"/>
        <w:rPr>
          <w:rFonts w:ascii="Arial" w:hAnsi="Arial" w:cs="Arial"/>
          <w:color w:val="000000"/>
          <w:sz w:val="20"/>
          <w:szCs w:val="20"/>
          <w:lang w:val="es-MX"/>
        </w:rPr>
      </w:pPr>
    </w:p>
    <w:p w14:paraId="6F792C40" w14:textId="77777777" w:rsidR="007D1E76" w:rsidRPr="008A1738" w:rsidRDefault="008B439C" w:rsidP="00877DC1">
      <w:pPr>
        <w:pStyle w:val="Prrafodelista"/>
        <w:ind w:left="567"/>
        <w:jc w:val="both"/>
        <w:rPr>
          <w:rFonts w:ascii="Arial" w:hAnsi="Arial" w:cs="Arial"/>
          <w:sz w:val="20"/>
          <w:szCs w:val="20"/>
        </w:rPr>
      </w:pPr>
      <w:r w:rsidRPr="00877DC1">
        <w:rPr>
          <w:rFonts w:ascii="Arial" w:eastAsia="Times New Roman" w:hAnsi="Arial" w:cs="Arial"/>
          <w:color w:val="000000"/>
          <w:sz w:val="20"/>
          <w:szCs w:val="20"/>
        </w:rPr>
        <w:t xml:space="preserve">Por lo anterior, con fecha 15 de </w:t>
      </w:r>
      <w:r w:rsidR="002565EE" w:rsidRPr="00877DC1">
        <w:rPr>
          <w:rFonts w:ascii="Arial" w:eastAsia="Times New Roman" w:hAnsi="Arial" w:cs="Arial"/>
          <w:color w:val="000000"/>
          <w:sz w:val="20"/>
          <w:szCs w:val="20"/>
        </w:rPr>
        <w:t>octubre</w:t>
      </w:r>
      <w:r w:rsidRPr="00877DC1">
        <w:rPr>
          <w:rFonts w:ascii="Arial" w:eastAsia="Times New Roman" w:hAnsi="Arial" w:cs="Arial"/>
          <w:color w:val="000000"/>
          <w:sz w:val="20"/>
          <w:szCs w:val="20"/>
        </w:rPr>
        <w:t xml:space="preserve"> de 2013, mediante el Acuerdo 2013-10-15-02, el Comité Técnico del FIDEICOMISO acordó se realicen las modificaciones al FIDEICOMISO que se contienen en el presente convenio.</w:t>
      </w:r>
    </w:p>
    <w:p w14:paraId="16A37B2E" w14:textId="77777777" w:rsidR="00BA12FC" w:rsidRPr="008A1738" w:rsidRDefault="00BA12FC" w:rsidP="008B439C">
      <w:pPr>
        <w:tabs>
          <w:tab w:val="left" w:leader="underscore" w:pos="9639"/>
        </w:tabs>
        <w:spacing w:after="0" w:line="240" w:lineRule="auto"/>
        <w:jc w:val="both"/>
        <w:rPr>
          <w:rFonts w:ascii="Arial" w:hAnsi="Arial" w:cs="Arial"/>
          <w:sz w:val="20"/>
          <w:szCs w:val="20"/>
        </w:rPr>
      </w:pPr>
    </w:p>
    <w:p w14:paraId="18B944CB" w14:textId="77777777" w:rsidR="007D1E76"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e)</w:t>
      </w:r>
      <w:r w:rsidRPr="008A1738">
        <w:rPr>
          <w:rFonts w:ascii="Arial" w:hAnsi="Arial" w:cs="Arial"/>
          <w:sz w:val="20"/>
          <w:szCs w:val="20"/>
        </w:rPr>
        <w:t xml:space="preserve"> Consideraciones fiscales del ente: </w:t>
      </w:r>
      <w:r w:rsidR="00657009" w:rsidRPr="008A1738">
        <w:rPr>
          <w:rFonts w:ascii="Arial" w:hAnsi="Arial" w:cs="Arial"/>
          <w:sz w:val="20"/>
          <w:szCs w:val="20"/>
        </w:rPr>
        <w:t>R</w:t>
      </w:r>
      <w:r w:rsidRPr="008A1738">
        <w:rPr>
          <w:rFonts w:ascii="Arial" w:hAnsi="Arial" w:cs="Arial"/>
          <w:sz w:val="20"/>
          <w:szCs w:val="20"/>
        </w:rPr>
        <w:t>evelar el tipo de contribuciones que esté obligado a pagar o retener.</w:t>
      </w:r>
    </w:p>
    <w:p w14:paraId="1690D240" w14:textId="77777777" w:rsidR="0019454A" w:rsidRPr="008A1738" w:rsidRDefault="0019454A" w:rsidP="00CB41C4">
      <w:pPr>
        <w:tabs>
          <w:tab w:val="left" w:leader="underscore" w:pos="9639"/>
        </w:tabs>
        <w:spacing w:after="0" w:line="240" w:lineRule="auto"/>
        <w:jc w:val="both"/>
        <w:rPr>
          <w:rFonts w:ascii="Arial" w:hAnsi="Arial" w:cs="Arial"/>
          <w:sz w:val="20"/>
          <w:szCs w:val="20"/>
        </w:rPr>
      </w:pPr>
    </w:p>
    <w:p w14:paraId="4CDEA50F" w14:textId="77777777" w:rsidR="00410785" w:rsidRPr="008A1738" w:rsidRDefault="00410785" w:rsidP="00410785">
      <w:pPr>
        <w:pStyle w:val="Prrafodelista"/>
        <w:spacing w:after="0" w:line="240" w:lineRule="auto"/>
        <w:ind w:left="0"/>
        <w:jc w:val="both"/>
        <w:rPr>
          <w:rFonts w:ascii="Arial" w:eastAsia="Times New Roman" w:hAnsi="Arial" w:cs="Arial"/>
          <w:color w:val="000000"/>
          <w:sz w:val="20"/>
          <w:szCs w:val="20"/>
        </w:rPr>
      </w:pPr>
      <w:r w:rsidRPr="008A1738">
        <w:rPr>
          <w:rFonts w:ascii="Arial" w:eastAsia="Times New Roman" w:hAnsi="Arial" w:cs="Arial"/>
          <w:color w:val="000000"/>
          <w:sz w:val="20"/>
          <w:szCs w:val="20"/>
        </w:rPr>
        <w:t>El régimen fiscal del Fondo se ubica en el marco del Título III de la Ley del Impuesto Sobre la Renta (LISR) como persona moral no contribuyente, sector gobierno.</w:t>
      </w:r>
    </w:p>
    <w:p w14:paraId="146F190D" w14:textId="77777777" w:rsidR="00410785" w:rsidRPr="008A1738" w:rsidRDefault="00410785" w:rsidP="00410785">
      <w:pPr>
        <w:pStyle w:val="Prrafodelista"/>
        <w:spacing w:after="0" w:line="240" w:lineRule="auto"/>
        <w:ind w:left="0"/>
        <w:jc w:val="both"/>
        <w:rPr>
          <w:rFonts w:ascii="Arial" w:eastAsia="Times New Roman" w:hAnsi="Arial" w:cs="Arial"/>
          <w:color w:val="000000"/>
          <w:sz w:val="20"/>
          <w:szCs w:val="20"/>
        </w:rPr>
      </w:pPr>
      <w:r w:rsidRPr="008A1738">
        <w:rPr>
          <w:rFonts w:ascii="Arial" w:eastAsia="Times New Roman" w:hAnsi="Arial" w:cs="Arial"/>
          <w:color w:val="000000"/>
          <w:sz w:val="20"/>
          <w:szCs w:val="20"/>
        </w:rPr>
        <w:t xml:space="preserve">Conforme al cual se considera como remanente sujeto al pago del ISR, el importe de las erogaciones que efectúa y no reúnen los requisitos fiscales para su deducibilidad. </w:t>
      </w:r>
    </w:p>
    <w:p w14:paraId="0520D115" w14:textId="77777777" w:rsidR="008D6298" w:rsidRDefault="008D6298" w:rsidP="006A5AC6">
      <w:pPr>
        <w:pStyle w:val="Prrafodelista"/>
        <w:spacing w:after="0" w:line="240" w:lineRule="auto"/>
        <w:ind w:left="0"/>
        <w:jc w:val="both"/>
        <w:rPr>
          <w:rFonts w:ascii="Arial" w:eastAsia="Times New Roman" w:hAnsi="Arial" w:cs="Arial"/>
          <w:color w:val="000000"/>
          <w:sz w:val="20"/>
          <w:szCs w:val="20"/>
        </w:rPr>
      </w:pPr>
    </w:p>
    <w:p w14:paraId="5701BF6F"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OBLIGACIONES FISCALES:</w:t>
      </w:r>
    </w:p>
    <w:p w14:paraId="7919F6FD" w14:textId="77777777" w:rsidR="008D6298" w:rsidRDefault="008D6298" w:rsidP="006A5AC6">
      <w:pPr>
        <w:pStyle w:val="Prrafodelista"/>
        <w:spacing w:after="0" w:line="240" w:lineRule="auto"/>
        <w:ind w:left="0"/>
        <w:jc w:val="both"/>
        <w:rPr>
          <w:rFonts w:ascii="Arial" w:eastAsia="Times New Roman" w:hAnsi="Arial" w:cs="Arial"/>
          <w:color w:val="000000"/>
          <w:sz w:val="20"/>
          <w:szCs w:val="20"/>
        </w:rPr>
      </w:pPr>
    </w:p>
    <w:p w14:paraId="742536CD"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IMPUESTOS FEDERALES</w:t>
      </w:r>
    </w:p>
    <w:p w14:paraId="52B45015"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de retenciones mensuales de ISR por sueldos y salarios</w:t>
      </w:r>
    </w:p>
    <w:p w14:paraId="6A7107F9"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mensual de retención de ISR por servicios profesionales</w:t>
      </w:r>
    </w:p>
    <w:p w14:paraId="0D4BCD34"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mensual de retenciones de ISR de ingresos por arrendamiento</w:t>
      </w:r>
    </w:p>
    <w:p w14:paraId="300BED07"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 xml:space="preserve">Declaración informativa anual de Ingresos y Erogaciones </w:t>
      </w:r>
    </w:p>
    <w:p w14:paraId="5490F4AB"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Declaración informativa anual de retenciones de ISR por sueldos y salarios e ingresos asimilados a salarios.</w:t>
      </w:r>
    </w:p>
    <w:p w14:paraId="580716C4"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Declaración Informativa anual del subsidio para el empleo</w:t>
      </w:r>
    </w:p>
    <w:p w14:paraId="23014475"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 xml:space="preserve">Declaración informativa anual de pagos y retenciones de servicios profesionales. </w:t>
      </w:r>
    </w:p>
    <w:p w14:paraId="02ABFB86"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Declaración informativa anual de retenciones de ISR por arrendamiento de inmuebles</w:t>
      </w:r>
    </w:p>
    <w:p w14:paraId="1ADCEDF1"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p>
    <w:p w14:paraId="28A0FB1D"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IMPUESTOS ESTATALES</w:t>
      </w:r>
    </w:p>
    <w:p w14:paraId="42CE59BB"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Mensuales:</w:t>
      </w:r>
    </w:p>
    <w:p w14:paraId="01553EBE" w14:textId="77777777" w:rsidR="00410785" w:rsidRPr="00977706" w:rsidRDefault="00410785" w:rsidP="006A5AC6">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 xml:space="preserve">Cedular </w:t>
      </w:r>
      <w:r w:rsidR="009730A7">
        <w:rPr>
          <w:rFonts w:ascii="Arial" w:eastAsia="Times New Roman" w:hAnsi="Arial" w:cs="Arial"/>
          <w:color w:val="000000"/>
          <w:sz w:val="20"/>
          <w:szCs w:val="20"/>
        </w:rPr>
        <w:t>3</w:t>
      </w:r>
      <w:r w:rsidRPr="00977706">
        <w:rPr>
          <w:rFonts w:ascii="Arial" w:eastAsia="Times New Roman" w:hAnsi="Arial" w:cs="Arial"/>
          <w:color w:val="000000"/>
          <w:sz w:val="20"/>
          <w:szCs w:val="20"/>
        </w:rPr>
        <w:t>% sobre nómina</w:t>
      </w:r>
    </w:p>
    <w:p w14:paraId="3E54B067"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de retenciones sobre servicios profesionales</w:t>
      </w:r>
    </w:p>
    <w:p w14:paraId="52002DCB" w14:textId="77777777" w:rsidR="00410785" w:rsidRPr="00977706" w:rsidRDefault="00410785" w:rsidP="00410785">
      <w:pPr>
        <w:pStyle w:val="Prrafodelista"/>
        <w:spacing w:after="0" w:line="240" w:lineRule="auto"/>
        <w:ind w:left="0"/>
        <w:jc w:val="both"/>
        <w:rPr>
          <w:rFonts w:ascii="Arial" w:eastAsia="Times New Roman" w:hAnsi="Arial" w:cs="Arial"/>
          <w:color w:val="000000"/>
          <w:sz w:val="20"/>
          <w:szCs w:val="20"/>
        </w:rPr>
      </w:pPr>
      <w:r w:rsidRPr="00977706">
        <w:rPr>
          <w:rFonts w:ascii="Arial" w:eastAsia="Times New Roman" w:hAnsi="Arial" w:cs="Arial"/>
          <w:color w:val="000000"/>
          <w:sz w:val="20"/>
          <w:szCs w:val="20"/>
        </w:rPr>
        <w:t>Entero de retenciones sobre arrendamiento de bienes inmuebles</w:t>
      </w:r>
    </w:p>
    <w:p w14:paraId="6BE9A9E6" w14:textId="77777777" w:rsidR="009B7F8C" w:rsidRDefault="009B7F8C" w:rsidP="00410785">
      <w:pPr>
        <w:pStyle w:val="Prrafodelista"/>
        <w:spacing w:after="0" w:line="240" w:lineRule="auto"/>
        <w:ind w:hanging="720"/>
        <w:jc w:val="both"/>
        <w:rPr>
          <w:rFonts w:ascii="Arial" w:eastAsia="Times New Roman" w:hAnsi="Arial" w:cs="Arial"/>
          <w:color w:val="000000"/>
          <w:sz w:val="20"/>
          <w:szCs w:val="20"/>
        </w:rPr>
      </w:pPr>
    </w:p>
    <w:p w14:paraId="7E27BEA2" w14:textId="77777777" w:rsidR="00410785" w:rsidRPr="00977706" w:rsidRDefault="00410785" w:rsidP="00410785">
      <w:pPr>
        <w:pStyle w:val="Prrafodelista"/>
        <w:spacing w:after="0" w:line="240" w:lineRule="auto"/>
        <w:ind w:hanging="720"/>
        <w:jc w:val="both"/>
        <w:rPr>
          <w:rFonts w:ascii="Arial" w:eastAsia="Times New Roman" w:hAnsi="Arial" w:cs="Arial"/>
          <w:color w:val="000000"/>
          <w:sz w:val="20"/>
          <w:szCs w:val="20"/>
        </w:rPr>
      </w:pPr>
      <w:r w:rsidRPr="00977706">
        <w:rPr>
          <w:rFonts w:ascii="Arial" w:eastAsia="Times New Roman" w:hAnsi="Arial" w:cs="Arial"/>
          <w:color w:val="000000"/>
          <w:sz w:val="20"/>
          <w:szCs w:val="20"/>
        </w:rPr>
        <w:t>Anuales:</w:t>
      </w:r>
    </w:p>
    <w:p w14:paraId="55C94436" w14:textId="77777777" w:rsidR="00410785" w:rsidRPr="00977706" w:rsidRDefault="00410785" w:rsidP="00410785">
      <w:pPr>
        <w:pStyle w:val="Prrafodelista"/>
        <w:spacing w:after="0" w:line="240" w:lineRule="auto"/>
        <w:ind w:hanging="720"/>
        <w:jc w:val="both"/>
        <w:rPr>
          <w:rFonts w:ascii="Arial" w:eastAsia="Times New Roman" w:hAnsi="Arial" w:cs="Arial"/>
          <w:color w:val="000000"/>
          <w:sz w:val="20"/>
          <w:szCs w:val="20"/>
        </w:rPr>
      </w:pPr>
      <w:r w:rsidRPr="00977706">
        <w:rPr>
          <w:rFonts w:ascii="Arial" w:eastAsia="Times New Roman" w:hAnsi="Arial" w:cs="Arial"/>
          <w:color w:val="000000"/>
          <w:sz w:val="20"/>
          <w:szCs w:val="20"/>
        </w:rPr>
        <w:t>Informativa sobre nómina</w:t>
      </w:r>
    </w:p>
    <w:p w14:paraId="254AB318" w14:textId="77777777" w:rsidR="00410785" w:rsidRPr="00977706" w:rsidRDefault="00410785" w:rsidP="00410785">
      <w:pPr>
        <w:pStyle w:val="Prrafodelista"/>
        <w:spacing w:after="0" w:line="240" w:lineRule="auto"/>
        <w:ind w:hanging="720"/>
        <w:jc w:val="both"/>
        <w:rPr>
          <w:rFonts w:ascii="Arial" w:eastAsia="Times New Roman" w:hAnsi="Arial" w:cs="Arial"/>
          <w:color w:val="000000"/>
          <w:sz w:val="20"/>
          <w:szCs w:val="20"/>
        </w:rPr>
      </w:pPr>
      <w:r w:rsidRPr="00977706">
        <w:rPr>
          <w:rFonts w:ascii="Arial" w:eastAsia="Times New Roman" w:hAnsi="Arial" w:cs="Arial"/>
          <w:color w:val="000000"/>
          <w:sz w:val="20"/>
          <w:szCs w:val="20"/>
        </w:rPr>
        <w:t>Informativa sobre pagos efectuados por concepto de servicios profesionales</w:t>
      </w:r>
    </w:p>
    <w:p w14:paraId="3DC573A4" w14:textId="77777777" w:rsidR="00410785" w:rsidRPr="00977706" w:rsidRDefault="00410785" w:rsidP="00410785">
      <w:pPr>
        <w:pStyle w:val="Prrafodelista"/>
        <w:spacing w:after="0" w:line="240" w:lineRule="auto"/>
        <w:ind w:hanging="720"/>
        <w:jc w:val="both"/>
        <w:rPr>
          <w:rFonts w:ascii="Arial" w:eastAsia="Times New Roman" w:hAnsi="Arial" w:cs="Arial"/>
          <w:color w:val="000000"/>
          <w:sz w:val="20"/>
          <w:szCs w:val="20"/>
        </w:rPr>
      </w:pPr>
      <w:r w:rsidRPr="00977706">
        <w:rPr>
          <w:rFonts w:ascii="Arial" w:eastAsia="Times New Roman" w:hAnsi="Arial" w:cs="Arial"/>
          <w:color w:val="000000"/>
          <w:sz w:val="20"/>
          <w:szCs w:val="20"/>
        </w:rPr>
        <w:t>Informativa sobre pagos efectuados por concepto de arrendamiento de bienes inmuebles</w:t>
      </w:r>
    </w:p>
    <w:p w14:paraId="5AF21ED6" w14:textId="77777777" w:rsidR="00410785" w:rsidRPr="00BA12FC" w:rsidRDefault="00410785" w:rsidP="00410785">
      <w:pPr>
        <w:spacing w:after="0" w:line="240" w:lineRule="auto"/>
        <w:jc w:val="both"/>
        <w:rPr>
          <w:rFonts w:ascii="Arial" w:hAnsi="Arial" w:cs="Arial"/>
          <w:sz w:val="20"/>
          <w:szCs w:val="20"/>
        </w:rPr>
      </w:pPr>
    </w:p>
    <w:p w14:paraId="1595E3CB" w14:textId="77777777" w:rsidR="00410785" w:rsidRPr="00BA12FC" w:rsidRDefault="00410785" w:rsidP="00410785">
      <w:pPr>
        <w:spacing w:after="0" w:line="240" w:lineRule="auto"/>
        <w:jc w:val="both"/>
        <w:rPr>
          <w:rFonts w:ascii="Arial" w:hAnsi="Arial" w:cs="Arial"/>
          <w:sz w:val="20"/>
          <w:szCs w:val="20"/>
        </w:rPr>
      </w:pPr>
      <w:r w:rsidRPr="00BA12FC">
        <w:rPr>
          <w:rFonts w:ascii="Arial" w:hAnsi="Arial" w:cs="Arial"/>
          <w:sz w:val="20"/>
          <w:szCs w:val="20"/>
        </w:rPr>
        <w:t xml:space="preserve">Con fecha 02 de </w:t>
      </w:r>
      <w:r w:rsidR="002565EE" w:rsidRPr="00BA12FC">
        <w:rPr>
          <w:rFonts w:ascii="Arial" w:hAnsi="Arial" w:cs="Arial"/>
          <w:sz w:val="20"/>
          <w:szCs w:val="20"/>
        </w:rPr>
        <w:t>junio</w:t>
      </w:r>
      <w:r w:rsidRPr="00BA12FC">
        <w:rPr>
          <w:rFonts w:ascii="Arial" w:hAnsi="Arial" w:cs="Arial"/>
          <w:sz w:val="20"/>
          <w:szCs w:val="20"/>
        </w:rPr>
        <w:t xml:space="preserve"> de 2015 confirma el Servicio de Administración Tributaria, mediante acuse de movimientos de actualización de situación fiscal, el cambio de Denominación/Razón social de NACIONAL FINANCIERA FONDO PARA EL FINANCIAMIENTO DE LAS EMP DE SOL DEL EDO GTO, por FONDOS GUANAJUATO DE FINANCIAMIENTO.</w:t>
      </w:r>
    </w:p>
    <w:p w14:paraId="32509360" w14:textId="77777777" w:rsidR="00C82F63" w:rsidRPr="00BA12FC" w:rsidRDefault="00C82F63" w:rsidP="006A5AC6">
      <w:pPr>
        <w:spacing w:after="0" w:line="240" w:lineRule="auto"/>
        <w:jc w:val="both"/>
        <w:rPr>
          <w:rFonts w:ascii="Arial" w:hAnsi="Arial" w:cs="Arial"/>
          <w:sz w:val="20"/>
          <w:szCs w:val="20"/>
        </w:rPr>
      </w:pPr>
    </w:p>
    <w:p w14:paraId="58329F4B" w14:textId="77777777" w:rsidR="00410785" w:rsidRPr="00BF5B9D" w:rsidRDefault="00AF34B0" w:rsidP="006A5AC6">
      <w:pPr>
        <w:pStyle w:val="Prrafodelista"/>
        <w:spacing w:after="0" w:line="240" w:lineRule="auto"/>
        <w:ind w:left="0"/>
        <w:jc w:val="both"/>
        <w:rPr>
          <w:rFonts w:ascii="Arial" w:eastAsia="Times New Roman" w:hAnsi="Arial" w:cs="Arial"/>
          <w:color w:val="000000"/>
          <w:sz w:val="20"/>
          <w:szCs w:val="20"/>
        </w:rPr>
      </w:pPr>
      <w:r>
        <w:rPr>
          <w:rFonts w:ascii="Arial" w:eastAsia="Times New Roman" w:hAnsi="Arial" w:cs="Arial"/>
          <w:color w:val="000000"/>
          <w:sz w:val="20"/>
          <w:szCs w:val="20"/>
        </w:rPr>
        <w:t>Régimen C</w:t>
      </w:r>
      <w:r w:rsidR="00410785" w:rsidRPr="00BF5B9D">
        <w:rPr>
          <w:rFonts w:ascii="Arial" w:eastAsia="Times New Roman" w:hAnsi="Arial" w:cs="Arial"/>
          <w:color w:val="000000"/>
          <w:sz w:val="20"/>
          <w:szCs w:val="20"/>
        </w:rPr>
        <w:t>apital: Sin tipo de sociedad.</w:t>
      </w:r>
    </w:p>
    <w:p w14:paraId="2915DCC9" w14:textId="77777777" w:rsidR="00410785" w:rsidRPr="00BF5B9D" w:rsidRDefault="00410785" w:rsidP="006A5AC6">
      <w:pPr>
        <w:pStyle w:val="Prrafodelista"/>
        <w:spacing w:after="0" w:line="240" w:lineRule="auto"/>
        <w:ind w:left="0"/>
        <w:jc w:val="both"/>
        <w:rPr>
          <w:rFonts w:ascii="Arial" w:eastAsia="Times New Roman" w:hAnsi="Arial" w:cs="Arial"/>
          <w:color w:val="000000"/>
          <w:sz w:val="20"/>
          <w:szCs w:val="20"/>
        </w:rPr>
      </w:pPr>
      <w:r w:rsidRPr="00BF5B9D">
        <w:rPr>
          <w:rFonts w:ascii="Arial" w:eastAsia="Times New Roman" w:hAnsi="Arial" w:cs="Arial"/>
          <w:color w:val="000000"/>
          <w:sz w:val="20"/>
          <w:szCs w:val="20"/>
        </w:rPr>
        <w:t>Actividad económica: Fondos y fideicomisos financieros para el desarrollo.</w:t>
      </w:r>
    </w:p>
    <w:p w14:paraId="46C3CB02" w14:textId="77777777" w:rsidR="00410785" w:rsidRPr="00BF5B9D" w:rsidRDefault="00410785" w:rsidP="006A5AC6">
      <w:pPr>
        <w:pStyle w:val="Prrafodelista"/>
        <w:spacing w:after="0" w:line="240" w:lineRule="auto"/>
        <w:ind w:left="0"/>
        <w:jc w:val="both"/>
        <w:rPr>
          <w:rFonts w:ascii="Arial" w:eastAsia="Times New Roman" w:hAnsi="Arial" w:cs="Arial"/>
          <w:color w:val="000000"/>
          <w:sz w:val="20"/>
          <w:szCs w:val="20"/>
        </w:rPr>
      </w:pPr>
      <w:r w:rsidRPr="00BF5B9D">
        <w:rPr>
          <w:rFonts w:ascii="Arial" w:eastAsia="Times New Roman" w:hAnsi="Arial" w:cs="Arial"/>
          <w:color w:val="000000"/>
          <w:sz w:val="20"/>
          <w:szCs w:val="20"/>
        </w:rPr>
        <w:t>Régimen: Persona</w:t>
      </w:r>
      <w:r w:rsidR="001D7711" w:rsidRPr="00BF5B9D">
        <w:rPr>
          <w:rFonts w:ascii="Arial" w:eastAsia="Times New Roman" w:hAnsi="Arial" w:cs="Arial"/>
          <w:color w:val="000000"/>
          <w:sz w:val="20"/>
          <w:szCs w:val="20"/>
        </w:rPr>
        <w:t>s</w:t>
      </w:r>
      <w:r w:rsidRPr="00BF5B9D">
        <w:rPr>
          <w:rFonts w:ascii="Arial" w:eastAsia="Times New Roman" w:hAnsi="Arial" w:cs="Arial"/>
          <w:color w:val="000000"/>
          <w:sz w:val="20"/>
          <w:szCs w:val="20"/>
        </w:rPr>
        <w:t xml:space="preserve"> Morales con fines No lucrativos.</w:t>
      </w:r>
    </w:p>
    <w:p w14:paraId="604FEA36" w14:textId="77777777" w:rsidR="00410785" w:rsidRPr="00BF5B9D" w:rsidRDefault="00410785" w:rsidP="006A5AC6">
      <w:pPr>
        <w:pStyle w:val="Prrafodelista"/>
        <w:spacing w:after="0" w:line="240" w:lineRule="auto"/>
        <w:ind w:left="0" w:hanging="720"/>
        <w:jc w:val="both"/>
        <w:rPr>
          <w:rFonts w:ascii="Arial" w:eastAsia="Times New Roman" w:hAnsi="Arial" w:cs="Arial"/>
          <w:color w:val="000000"/>
          <w:sz w:val="20"/>
          <w:szCs w:val="20"/>
        </w:rPr>
      </w:pPr>
      <w:r w:rsidRPr="00BF5B9D">
        <w:rPr>
          <w:rFonts w:ascii="Arial" w:eastAsia="Times New Roman" w:hAnsi="Arial" w:cs="Arial"/>
          <w:color w:val="000000"/>
          <w:sz w:val="20"/>
          <w:szCs w:val="20"/>
        </w:rPr>
        <w:t xml:space="preserve">              </w:t>
      </w:r>
    </w:p>
    <w:p w14:paraId="74D8F554" w14:textId="77777777" w:rsidR="00410785" w:rsidRPr="00BF5B9D" w:rsidRDefault="00410785" w:rsidP="006A5AC6">
      <w:pPr>
        <w:pStyle w:val="Prrafodelista"/>
        <w:spacing w:after="0" w:line="240" w:lineRule="auto"/>
        <w:ind w:left="0"/>
        <w:jc w:val="both"/>
        <w:rPr>
          <w:rFonts w:ascii="Arial" w:eastAsia="Times New Roman" w:hAnsi="Arial" w:cs="Arial"/>
          <w:color w:val="000000"/>
          <w:sz w:val="20"/>
          <w:szCs w:val="20"/>
        </w:rPr>
      </w:pPr>
      <w:r w:rsidRPr="00BF5B9D">
        <w:rPr>
          <w:rFonts w:ascii="Arial" w:eastAsia="Times New Roman" w:hAnsi="Arial" w:cs="Arial"/>
          <w:color w:val="000000"/>
          <w:sz w:val="20"/>
          <w:szCs w:val="20"/>
        </w:rPr>
        <w:t xml:space="preserve">Con fecha 12 de </w:t>
      </w:r>
      <w:r w:rsidR="002565EE" w:rsidRPr="00BF5B9D">
        <w:rPr>
          <w:rFonts w:ascii="Arial" w:eastAsia="Times New Roman" w:hAnsi="Arial" w:cs="Arial"/>
          <w:color w:val="000000"/>
          <w:sz w:val="20"/>
          <w:szCs w:val="20"/>
        </w:rPr>
        <w:t>junio</w:t>
      </w:r>
      <w:r w:rsidRPr="00BF5B9D">
        <w:rPr>
          <w:rFonts w:ascii="Arial" w:eastAsia="Times New Roman" w:hAnsi="Arial" w:cs="Arial"/>
          <w:color w:val="000000"/>
          <w:sz w:val="20"/>
          <w:szCs w:val="20"/>
        </w:rPr>
        <w:t xml:space="preserve"> de 2015, se presenta ante el Registro Estatal de Contribuyentes el Aviso de Cambio de Situación Fiscal originado por el cambio en la Denominación o Razón Social.</w:t>
      </w:r>
    </w:p>
    <w:p w14:paraId="42487DF1" w14:textId="77777777" w:rsidR="007D1E76" w:rsidRDefault="007D1E76" w:rsidP="006A5AC6">
      <w:pPr>
        <w:tabs>
          <w:tab w:val="left" w:leader="underscore" w:pos="9639"/>
        </w:tabs>
        <w:spacing w:after="0" w:line="240" w:lineRule="auto"/>
        <w:jc w:val="both"/>
        <w:rPr>
          <w:rFonts w:ascii="Arial" w:hAnsi="Arial" w:cs="Arial"/>
          <w:sz w:val="20"/>
          <w:szCs w:val="20"/>
        </w:rPr>
      </w:pPr>
    </w:p>
    <w:p w14:paraId="72146C13" w14:textId="77777777" w:rsidR="0019454A" w:rsidRPr="00BF5B9D" w:rsidRDefault="0019454A" w:rsidP="006A5AC6">
      <w:pPr>
        <w:tabs>
          <w:tab w:val="left" w:leader="underscore" w:pos="9639"/>
        </w:tabs>
        <w:spacing w:after="0" w:line="240" w:lineRule="auto"/>
        <w:jc w:val="both"/>
        <w:rPr>
          <w:rFonts w:ascii="Arial" w:hAnsi="Arial" w:cs="Arial"/>
          <w:sz w:val="20"/>
          <w:szCs w:val="20"/>
        </w:rPr>
      </w:pPr>
    </w:p>
    <w:p w14:paraId="148319D4"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f)</w:t>
      </w:r>
      <w:r w:rsidRPr="00BF5B9D">
        <w:rPr>
          <w:rFonts w:ascii="Arial" w:hAnsi="Arial" w:cs="Arial"/>
          <w:sz w:val="20"/>
          <w:szCs w:val="20"/>
        </w:rPr>
        <w:t xml:space="preserve"> Estructura organizacional básica.</w:t>
      </w:r>
    </w:p>
    <w:p w14:paraId="0482967D" w14:textId="77777777" w:rsidR="0019454A" w:rsidRDefault="0019454A" w:rsidP="00410785">
      <w:pPr>
        <w:spacing w:after="0" w:line="240" w:lineRule="auto"/>
        <w:jc w:val="both"/>
        <w:rPr>
          <w:rFonts w:ascii="Arial" w:hAnsi="Arial" w:cs="Arial"/>
          <w:sz w:val="20"/>
          <w:szCs w:val="20"/>
        </w:rPr>
      </w:pPr>
    </w:p>
    <w:p w14:paraId="20D3DCEE"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xml:space="preserve">A fin de dar cumplimiento a </w:t>
      </w:r>
      <w:r w:rsidR="00BF5B9D">
        <w:rPr>
          <w:rFonts w:ascii="Arial" w:hAnsi="Arial" w:cs="Arial"/>
          <w:sz w:val="20"/>
          <w:szCs w:val="20"/>
        </w:rPr>
        <w:t>l</w:t>
      </w:r>
      <w:r w:rsidRPr="00BF5B9D">
        <w:rPr>
          <w:rFonts w:ascii="Arial" w:hAnsi="Arial" w:cs="Arial"/>
          <w:sz w:val="20"/>
          <w:szCs w:val="20"/>
        </w:rPr>
        <w:t>as funciones y alcanzar los objetivos, FONDOS GUANAJUATO DE FINANCIAMIENTO cuenta con tres órganos de gobierno rectores:</w:t>
      </w:r>
    </w:p>
    <w:p w14:paraId="7ACF4DAE" w14:textId="77777777" w:rsidR="00410785" w:rsidRPr="00BF5B9D" w:rsidRDefault="00410785" w:rsidP="00410785">
      <w:pPr>
        <w:spacing w:after="0" w:line="240" w:lineRule="auto"/>
        <w:jc w:val="both"/>
        <w:rPr>
          <w:rFonts w:ascii="Arial" w:hAnsi="Arial" w:cs="Arial"/>
          <w:sz w:val="20"/>
          <w:szCs w:val="20"/>
        </w:rPr>
      </w:pPr>
    </w:p>
    <w:p w14:paraId="7DE40764"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El Comité Técnico.</w:t>
      </w:r>
    </w:p>
    <w:p w14:paraId="2FFC78D9"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xml:space="preserve">• El </w:t>
      </w:r>
      <w:proofErr w:type="gramStart"/>
      <w:r w:rsidRPr="00BF5B9D">
        <w:rPr>
          <w:rFonts w:ascii="Arial" w:hAnsi="Arial" w:cs="Arial"/>
          <w:sz w:val="20"/>
          <w:szCs w:val="20"/>
        </w:rPr>
        <w:t>Director General</w:t>
      </w:r>
      <w:proofErr w:type="gramEnd"/>
      <w:r w:rsidRPr="00BF5B9D">
        <w:rPr>
          <w:rFonts w:ascii="Arial" w:hAnsi="Arial" w:cs="Arial"/>
          <w:sz w:val="20"/>
          <w:szCs w:val="20"/>
        </w:rPr>
        <w:t>.</w:t>
      </w:r>
    </w:p>
    <w:p w14:paraId="03B4D781"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El Sub-</w:t>
      </w:r>
      <w:proofErr w:type="gramStart"/>
      <w:r w:rsidRPr="00BF5B9D">
        <w:rPr>
          <w:rFonts w:ascii="Arial" w:hAnsi="Arial" w:cs="Arial"/>
          <w:sz w:val="20"/>
          <w:szCs w:val="20"/>
        </w:rPr>
        <w:t>Director General</w:t>
      </w:r>
      <w:proofErr w:type="gramEnd"/>
    </w:p>
    <w:p w14:paraId="4BBC2BF5" w14:textId="77777777" w:rsidR="00410785" w:rsidRPr="00BF5B9D" w:rsidRDefault="00410785" w:rsidP="00410785">
      <w:pPr>
        <w:spacing w:after="0" w:line="240" w:lineRule="auto"/>
        <w:jc w:val="both"/>
        <w:rPr>
          <w:rFonts w:ascii="Arial" w:hAnsi="Arial" w:cs="Arial"/>
          <w:sz w:val="20"/>
          <w:szCs w:val="20"/>
        </w:rPr>
      </w:pPr>
    </w:p>
    <w:p w14:paraId="0CEF2369"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Comité Técnico:</w:t>
      </w:r>
    </w:p>
    <w:p w14:paraId="4D2E189C"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 xml:space="preserve">Es el órgano de la Entidad que tiene las atribuciones de aprobar planes y programas del mismo; dictar los acuerdos necesarios para el debido otorgamiento de los préstamos y/o financiamientos; dictar cualquier acuerdo en los términos </w:t>
      </w:r>
      <w:r w:rsidR="0019454A">
        <w:rPr>
          <w:rFonts w:ascii="Arial" w:hAnsi="Arial" w:cs="Arial"/>
          <w:sz w:val="20"/>
          <w:szCs w:val="20"/>
        </w:rPr>
        <w:t xml:space="preserve">de </w:t>
      </w:r>
      <w:r w:rsidRPr="00BF5B9D">
        <w:rPr>
          <w:rFonts w:ascii="Arial" w:hAnsi="Arial" w:cs="Arial"/>
          <w:sz w:val="20"/>
          <w:szCs w:val="20"/>
        </w:rPr>
        <w:t>los préstamos y/o financiamientos, para conceder, negar, suspender, modificar y revocar los préstamos y/o financiamientos que la misma establece; y aprobar las aplicaciones y/o correcciones de las reservas de patrimonio de la Entidad, a propuesta del Director General. Así mismo el Comité Técnico tiene las atribuciones de vigilar que los recursos de la Entidad se apliquen y coloquen de acuerdo con las reglas de operación de la Entidad, así como lo establecido en los fines del Fideicomiso en los convenios modificatorios; comprobar el cumplimiento de las normas y disposiciones relativas a los sistemas de registro y contabilidad.</w:t>
      </w:r>
    </w:p>
    <w:p w14:paraId="7C72EB9D" w14:textId="77777777" w:rsidR="00410785" w:rsidRPr="00BF5B9D" w:rsidRDefault="00410785" w:rsidP="00410785">
      <w:pPr>
        <w:spacing w:after="0" w:line="240" w:lineRule="auto"/>
        <w:jc w:val="both"/>
        <w:rPr>
          <w:rFonts w:ascii="Arial" w:hAnsi="Arial" w:cs="Arial"/>
          <w:sz w:val="20"/>
          <w:szCs w:val="20"/>
        </w:rPr>
      </w:pPr>
    </w:p>
    <w:p w14:paraId="5FC5E928"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Dirección General:</w:t>
      </w:r>
    </w:p>
    <w:p w14:paraId="468E9EF0"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Es el máximo órgano de la Administración de la Entidad, encargado de asegurar el cumplimiento de todas las decisiones del Comité Técnico como lo son asegurar el cumplimiento de metas estratégicas, proponer nuevos esquemas al Comité Técnico, resolver cualquier situación con respecto a las reglas de operación que se presenten en el desarrollo de las actividades, entre otras. Para lograr lo anterior, la Entidad cuenta con los siguientes niveles en su organigrama que son:</w:t>
      </w:r>
      <w:r w:rsidR="001749B8">
        <w:rPr>
          <w:rFonts w:ascii="Arial" w:hAnsi="Arial" w:cs="Arial"/>
          <w:sz w:val="20"/>
          <w:szCs w:val="20"/>
        </w:rPr>
        <w:t xml:space="preserve"> </w:t>
      </w:r>
      <w:r w:rsidRPr="00BF5B9D">
        <w:rPr>
          <w:rFonts w:ascii="Arial" w:hAnsi="Arial" w:cs="Arial"/>
          <w:sz w:val="20"/>
          <w:szCs w:val="20"/>
        </w:rPr>
        <w:t xml:space="preserve">Subdirección General, Subdirección de Crédito, Gerencia de Finanzas, </w:t>
      </w:r>
      <w:r w:rsidR="005E062F">
        <w:rPr>
          <w:rFonts w:ascii="Arial" w:hAnsi="Arial" w:cs="Arial"/>
          <w:sz w:val="20"/>
          <w:szCs w:val="20"/>
        </w:rPr>
        <w:t xml:space="preserve">Gerencia de Contabilidad, </w:t>
      </w:r>
      <w:r w:rsidRPr="00BF5B9D">
        <w:rPr>
          <w:rFonts w:ascii="Arial" w:hAnsi="Arial" w:cs="Arial"/>
          <w:sz w:val="20"/>
          <w:szCs w:val="20"/>
        </w:rPr>
        <w:t>Gerencia de Jurídico y la Gerencia de Control y Cumplimiento. Cabe señalar que es importante la gestión de promoción y venta que complementan la estructura del Fideicomiso, como la Coordinación de Programas Especiales, Gerencia de Coordinador de Sucursales y Coordinación de Comunicación Social.</w:t>
      </w:r>
    </w:p>
    <w:p w14:paraId="68743D3E" w14:textId="77777777" w:rsidR="00410785" w:rsidRPr="00BF5B9D" w:rsidRDefault="00410785" w:rsidP="00410785">
      <w:pPr>
        <w:spacing w:after="0" w:line="240" w:lineRule="auto"/>
        <w:jc w:val="both"/>
        <w:rPr>
          <w:rFonts w:ascii="Arial" w:hAnsi="Arial" w:cs="Arial"/>
          <w:sz w:val="20"/>
          <w:szCs w:val="20"/>
        </w:rPr>
      </w:pPr>
    </w:p>
    <w:p w14:paraId="4E5E6E7B" w14:textId="77777777" w:rsidR="00410785" w:rsidRPr="00BF5B9D" w:rsidRDefault="00410785" w:rsidP="00410785">
      <w:pPr>
        <w:spacing w:after="0" w:line="240" w:lineRule="auto"/>
        <w:jc w:val="both"/>
        <w:rPr>
          <w:rFonts w:ascii="Arial" w:hAnsi="Arial" w:cs="Arial"/>
          <w:sz w:val="20"/>
          <w:szCs w:val="20"/>
        </w:rPr>
      </w:pPr>
      <w:r w:rsidRPr="00BF5B9D">
        <w:rPr>
          <w:rFonts w:ascii="Arial" w:hAnsi="Arial" w:cs="Arial"/>
          <w:sz w:val="20"/>
          <w:szCs w:val="20"/>
        </w:rPr>
        <w:t>Sub-Dirección General:</w:t>
      </w:r>
    </w:p>
    <w:p w14:paraId="17C1414C" w14:textId="77777777" w:rsidR="00410785" w:rsidRPr="00BF5B9D" w:rsidRDefault="00410785" w:rsidP="00410785">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Tiene a su cargo el Control de los procesos operativos para asegurar que las operaciones se realicen dentro del marco de le</w:t>
      </w:r>
      <w:r w:rsidR="001749B8">
        <w:rPr>
          <w:rFonts w:ascii="Arial" w:hAnsi="Arial" w:cs="Arial"/>
          <w:sz w:val="20"/>
          <w:szCs w:val="20"/>
        </w:rPr>
        <w:t>galidad existente, establecer</w:t>
      </w:r>
      <w:r w:rsidRPr="00BF5B9D">
        <w:rPr>
          <w:rFonts w:ascii="Arial" w:hAnsi="Arial" w:cs="Arial"/>
          <w:sz w:val="20"/>
          <w:szCs w:val="20"/>
        </w:rPr>
        <w:t xml:space="preserve"> programas de auditoría interna e implementa</w:t>
      </w:r>
      <w:r w:rsidR="001749B8">
        <w:rPr>
          <w:rFonts w:ascii="Arial" w:hAnsi="Arial" w:cs="Arial"/>
          <w:sz w:val="20"/>
          <w:szCs w:val="20"/>
        </w:rPr>
        <w:t>r</w:t>
      </w:r>
      <w:r w:rsidRPr="00BF5B9D">
        <w:rPr>
          <w:rFonts w:ascii="Arial" w:hAnsi="Arial" w:cs="Arial"/>
          <w:sz w:val="20"/>
          <w:szCs w:val="20"/>
        </w:rPr>
        <w:t xml:space="preserve"> los procedimientos adecuados para la operación y conservación de documentos en el lugar adecuado, desarrolla</w:t>
      </w:r>
      <w:r w:rsidR="001749B8">
        <w:rPr>
          <w:rFonts w:ascii="Arial" w:hAnsi="Arial" w:cs="Arial"/>
          <w:sz w:val="20"/>
          <w:szCs w:val="20"/>
        </w:rPr>
        <w:t>r</w:t>
      </w:r>
      <w:r w:rsidRPr="00BF5B9D">
        <w:rPr>
          <w:rFonts w:ascii="Arial" w:hAnsi="Arial" w:cs="Arial"/>
          <w:sz w:val="20"/>
          <w:szCs w:val="20"/>
        </w:rPr>
        <w:t xml:space="preserve"> e implementa</w:t>
      </w:r>
      <w:r w:rsidR="001749B8">
        <w:rPr>
          <w:rFonts w:ascii="Arial" w:hAnsi="Arial" w:cs="Arial"/>
          <w:sz w:val="20"/>
          <w:szCs w:val="20"/>
        </w:rPr>
        <w:t>r</w:t>
      </w:r>
      <w:r w:rsidRPr="00BF5B9D">
        <w:rPr>
          <w:rFonts w:ascii="Arial" w:hAnsi="Arial" w:cs="Arial"/>
          <w:sz w:val="20"/>
          <w:szCs w:val="20"/>
        </w:rPr>
        <w:t xml:space="preserve"> procesos de mejora continua. Analiza</w:t>
      </w:r>
      <w:r w:rsidR="001749B8">
        <w:rPr>
          <w:rFonts w:ascii="Arial" w:hAnsi="Arial" w:cs="Arial"/>
          <w:sz w:val="20"/>
          <w:szCs w:val="20"/>
        </w:rPr>
        <w:t>r</w:t>
      </w:r>
      <w:r w:rsidRPr="00BF5B9D">
        <w:rPr>
          <w:rFonts w:ascii="Arial" w:hAnsi="Arial" w:cs="Arial"/>
          <w:sz w:val="20"/>
          <w:szCs w:val="20"/>
        </w:rPr>
        <w:t xml:space="preserve"> la información contenida en los Estados Financieros </w:t>
      </w:r>
      <w:r w:rsidR="001749B8">
        <w:rPr>
          <w:rFonts w:ascii="Arial" w:hAnsi="Arial" w:cs="Arial"/>
          <w:sz w:val="20"/>
          <w:szCs w:val="20"/>
        </w:rPr>
        <w:t xml:space="preserve">y </w:t>
      </w:r>
      <w:r w:rsidRPr="00BF5B9D">
        <w:rPr>
          <w:rFonts w:ascii="Arial" w:hAnsi="Arial" w:cs="Arial"/>
          <w:sz w:val="20"/>
          <w:szCs w:val="20"/>
        </w:rPr>
        <w:t>supervisa</w:t>
      </w:r>
      <w:r w:rsidR="001749B8">
        <w:rPr>
          <w:rFonts w:ascii="Arial" w:hAnsi="Arial" w:cs="Arial"/>
          <w:sz w:val="20"/>
          <w:szCs w:val="20"/>
        </w:rPr>
        <w:t>r</w:t>
      </w:r>
      <w:r w:rsidRPr="00BF5B9D">
        <w:rPr>
          <w:rFonts w:ascii="Arial" w:hAnsi="Arial" w:cs="Arial"/>
          <w:sz w:val="20"/>
          <w:szCs w:val="20"/>
        </w:rPr>
        <w:t xml:space="preserve"> el apego a </w:t>
      </w:r>
      <w:r w:rsidR="001749B8">
        <w:rPr>
          <w:rFonts w:ascii="Arial" w:hAnsi="Arial" w:cs="Arial"/>
          <w:sz w:val="20"/>
          <w:szCs w:val="20"/>
        </w:rPr>
        <w:t>las Normas de I</w:t>
      </w:r>
      <w:r w:rsidRPr="00BF5B9D">
        <w:rPr>
          <w:rFonts w:ascii="Arial" w:hAnsi="Arial" w:cs="Arial"/>
          <w:sz w:val="20"/>
          <w:szCs w:val="20"/>
        </w:rPr>
        <w:t xml:space="preserve">nformación </w:t>
      </w:r>
      <w:r w:rsidR="001749B8">
        <w:rPr>
          <w:rFonts w:ascii="Arial" w:hAnsi="Arial" w:cs="Arial"/>
          <w:sz w:val="20"/>
          <w:szCs w:val="20"/>
        </w:rPr>
        <w:t>F</w:t>
      </w:r>
      <w:r w:rsidRPr="00BF5B9D">
        <w:rPr>
          <w:rFonts w:ascii="Arial" w:hAnsi="Arial" w:cs="Arial"/>
          <w:sz w:val="20"/>
          <w:szCs w:val="20"/>
        </w:rPr>
        <w:t>inanciera. Da</w:t>
      </w:r>
      <w:r w:rsidR="001749B8">
        <w:rPr>
          <w:rFonts w:ascii="Arial" w:hAnsi="Arial" w:cs="Arial"/>
          <w:sz w:val="20"/>
          <w:szCs w:val="20"/>
        </w:rPr>
        <w:t>r</w:t>
      </w:r>
      <w:r w:rsidRPr="00BF5B9D">
        <w:rPr>
          <w:rFonts w:ascii="Arial" w:hAnsi="Arial" w:cs="Arial"/>
          <w:sz w:val="20"/>
          <w:szCs w:val="20"/>
        </w:rPr>
        <w:t xml:space="preserve"> seguimiento a las decisiones, autorizaciones y acuerdos que se den dentro del Comité Técnico, Subcomité de Crédito y Subcomité de inversiones. Establece</w:t>
      </w:r>
      <w:r w:rsidR="001749B8">
        <w:rPr>
          <w:rFonts w:ascii="Arial" w:hAnsi="Arial" w:cs="Arial"/>
          <w:sz w:val="20"/>
          <w:szCs w:val="20"/>
        </w:rPr>
        <w:t>r</w:t>
      </w:r>
      <w:r w:rsidRPr="00BF5B9D">
        <w:rPr>
          <w:rFonts w:ascii="Arial" w:hAnsi="Arial" w:cs="Arial"/>
          <w:sz w:val="20"/>
          <w:szCs w:val="20"/>
        </w:rPr>
        <w:t xml:space="preserve"> y ejecuta</w:t>
      </w:r>
      <w:r w:rsidR="001749B8">
        <w:rPr>
          <w:rFonts w:ascii="Arial" w:hAnsi="Arial" w:cs="Arial"/>
          <w:sz w:val="20"/>
          <w:szCs w:val="20"/>
        </w:rPr>
        <w:t>r</w:t>
      </w:r>
      <w:r w:rsidRPr="00BF5B9D">
        <w:rPr>
          <w:rFonts w:ascii="Arial" w:hAnsi="Arial" w:cs="Arial"/>
          <w:sz w:val="20"/>
          <w:szCs w:val="20"/>
        </w:rPr>
        <w:t xml:space="preserve"> las acciones necesarias para la elaboración del presupuesto de inversión, gasto operativo e ingreso. Apoya</w:t>
      </w:r>
      <w:r w:rsidR="001749B8">
        <w:rPr>
          <w:rFonts w:ascii="Arial" w:hAnsi="Arial" w:cs="Arial"/>
          <w:sz w:val="20"/>
          <w:szCs w:val="20"/>
        </w:rPr>
        <w:t>r</w:t>
      </w:r>
      <w:r w:rsidRPr="00BF5B9D">
        <w:rPr>
          <w:rFonts w:ascii="Arial" w:hAnsi="Arial" w:cs="Arial"/>
          <w:sz w:val="20"/>
          <w:szCs w:val="20"/>
        </w:rPr>
        <w:t xml:space="preserve"> al </w:t>
      </w:r>
      <w:proofErr w:type="gramStart"/>
      <w:r w:rsidRPr="00BF5B9D">
        <w:rPr>
          <w:rFonts w:ascii="Arial" w:hAnsi="Arial" w:cs="Arial"/>
          <w:sz w:val="20"/>
          <w:szCs w:val="20"/>
        </w:rPr>
        <w:t>Director General</w:t>
      </w:r>
      <w:proofErr w:type="gramEnd"/>
      <w:r w:rsidRPr="00BF5B9D">
        <w:rPr>
          <w:rFonts w:ascii="Arial" w:hAnsi="Arial" w:cs="Arial"/>
          <w:sz w:val="20"/>
          <w:szCs w:val="20"/>
        </w:rPr>
        <w:t xml:space="preserve"> en la elaboración y seguimiento de estrategias, programas, políticas públicas, modelos y proyectos de apoyo y servicios financieros, así como la vinculación con los diversos organismos e instituciones </w:t>
      </w:r>
      <w:r w:rsidRPr="00BF5B9D">
        <w:rPr>
          <w:rFonts w:ascii="Arial" w:hAnsi="Arial" w:cs="Arial"/>
          <w:sz w:val="20"/>
          <w:szCs w:val="20"/>
        </w:rPr>
        <w:lastRenderedPageBreak/>
        <w:t>financieras. Así mismo, el Sub-</w:t>
      </w:r>
      <w:proofErr w:type="gramStart"/>
      <w:r w:rsidRPr="00BF5B9D">
        <w:rPr>
          <w:rFonts w:ascii="Arial" w:hAnsi="Arial" w:cs="Arial"/>
          <w:sz w:val="20"/>
          <w:szCs w:val="20"/>
        </w:rPr>
        <w:t>Director General</w:t>
      </w:r>
      <w:proofErr w:type="gramEnd"/>
      <w:r w:rsidRPr="00BF5B9D">
        <w:rPr>
          <w:rFonts w:ascii="Arial" w:hAnsi="Arial" w:cs="Arial"/>
          <w:sz w:val="20"/>
          <w:szCs w:val="20"/>
        </w:rPr>
        <w:t xml:space="preserve"> tiene a su cargo la Subdirección de Crédito, Gerencia de Finanzas, </w:t>
      </w:r>
      <w:r w:rsidR="001749B8">
        <w:rPr>
          <w:rFonts w:ascii="Arial" w:hAnsi="Arial" w:cs="Arial"/>
          <w:sz w:val="20"/>
          <w:szCs w:val="20"/>
        </w:rPr>
        <w:t xml:space="preserve">Gerencia de Contabilidad, </w:t>
      </w:r>
      <w:r w:rsidRPr="00BF5B9D">
        <w:rPr>
          <w:rFonts w:ascii="Arial" w:hAnsi="Arial" w:cs="Arial"/>
          <w:sz w:val="20"/>
          <w:szCs w:val="20"/>
        </w:rPr>
        <w:t>Gerencia de Cobranza Jurídico y la Gerencia de Control y Cumplimiento. Esta última es de gran ayuda para asegurarse de muchas de las actividades de monitoreo, la Gerencia de Control y Cumplimiento, se encarga de desarrollar y mantener un programa de aseguramiento preventivo de administración de riesgos, de calidad y mejora que cubra todos los aspectos de la actividad de auditoría interna y revise continuamente su eficacia, apegándose a los Lineamientos Generales de Control Interno y sus normas de aplicación para la Administración Pública Estatal. El programa de administración de riesgos está diseñado para ayudar a la actividad de auditoría interna a añadir valor y a mejorar las operaciones de la organización y a proporcionar aseguramiento de que la actividad de auditoría interna cumple con las normas y el Código de Ética institucional. Así mismo esta área tiene a su cargo la actividad de Control de Gestión en cuanto a elaboración, seguimiento y control de metas institucionales y proyectos de inversión.</w:t>
      </w:r>
    </w:p>
    <w:p w14:paraId="6BF2C790" w14:textId="77777777" w:rsidR="00757C1A" w:rsidRDefault="00757C1A" w:rsidP="00CB41C4">
      <w:pPr>
        <w:tabs>
          <w:tab w:val="left" w:leader="underscore" w:pos="9639"/>
        </w:tabs>
        <w:spacing w:after="0" w:line="240" w:lineRule="auto"/>
        <w:jc w:val="both"/>
        <w:rPr>
          <w:rFonts w:ascii="Arial" w:hAnsi="Arial" w:cs="Arial"/>
          <w:b/>
          <w:sz w:val="20"/>
          <w:szCs w:val="20"/>
        </w:rPr>
      </w:pPr>
    </w:p>
    <w:p w14:paraId="5BDEE00A" w14:textId="77777777" w:rsidR="001749B8" w:rsidRPr="00BF5B9D" w:rsidRDefault="001749B8" w:rsidP="00CB41C4">
      <w:pPr>
        <w:tabs>
          <w:tab w:val="left" w:leader="underscore" w:pos="9639"/>
        </w:tabs>
        <w:spacing w:after="0" w:line="240" w:lineRule="auto"/>
        <w:jc w:val="both"/>
        <w:rPr>
          <w:rFonts w:ascii="Arial" w:hAnsi="Arial" w:cs="Arial"/>
          <w:b/>
          <w:sz w:val="20"/>
          <w:szCs w:val="20"/>
        </w:rPr>
      </w:pPr>
    </w:p>
    <w:p w14:paraId="1045BBDF"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g)</w:t>
      </w:r>
      <w:r w:rsidRPr="00BF5B9D">
        <w:rPr>
          <w:rFonts w:ascii="Arial" w:hAnsi="Arial" w:cs="Arial"/>
          <w:sz w:val="20"/>
          <w:szCs w:val="20"/>
        </w:rPr>
        <w:t xml:space="preserve"> Fideicomisos, mandatos y análogos de los cuales es fideicomitente o </w:t>
      </w:r>
      <w:r w:rsidR="00657009" w:rsidRPr="00BF5B9D">
        <w:rPr>
          <w:rFonts w:ascii="Arial" w:hAnsi="Arial" w:cs="Arial"/>
          <w:sz w:val="20"/>
          <w:szCs w:val="20"/>
        </w:rPr>
        <w:t>fideicomisario</w:t>
      </w:r>
      <w:r w:rsidRPr="00BF5B9D">
        <w:rPr>
          <w:rFonts w:ascii="Arial" w:hAnsi="Arial" w:cs="Arial"/>
          <w:sz w:val="20"/>
          <w:szCs w:val="20"/>
        </w:rPr>
        <w:t>.</w:t>
      </w:r>
    </w:p>
    <w:p w14:paraId="5E45247D" w14:textId="77777777" w:rsidR="001749B8" w:rsidRDefault="001749B8" w:rsidP="00CB41C4">
      <w:pPr>
        <w:tabs>
          <w:tab w:val="left" w:leader="underscore" w:pos="9639"/>
        </w:tabs>
        <w:spacing w:after="0" w:line="240" w:lineRule="auto"/>
        <w:jc w:val="both"/>
        <w:rPr>
          <w:rFonts w:ascii="Arial" w:hAnsi="Arial" w:cs="Arial"/>
          <w:sz w:val="20"/>
          <w:szCs w:val="20"/>
        </w:rPr>
      </w:pPr>
    </w:p>
    <w:p w14:paraId="1D95BE62" w14:textId="77777777" w:rsidR="007D1E76" w:rsidRPr="00BF5B9D" w:rsidRDefault="001749B8"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rPr>
        <w:t>Fondos Guanajuato de Financiamiento n</w:t>
      </w:r>
      <w:r w:rsidR="00400196" w:rsidRPr="00BF5B9D">
        <w:rPr>
          <w:rFonts w:ascii="Arial" w:hAnsi="Arial" w:cs="Arial"/>
          <w:sz w:val="20"/>
          <w:szCs w:val="20"/>
        </w:rPr>
        <w:t xml:space="preserve">o </w:t>
      </w:r>
      <w:r>
        <w:rPr>
          <w:rFonts w:ascii="Arial" w:hAnsi="Arial" w:cs="Arial"/>
          <w:sz w:val="20"/>
          <w:szCs w:val="20"/>
        </w:rPr>
        <w:t xml:space="preserve">tiene participación en </w:t>
      </w:r>
      <w:r w:rsidR="00400196" w:rsidRPr="00BF5B9D">
        <w:rPr>
          <w:rFonts w:ascii="Arial" w:hAnsi="Arial" w:cs="Arial"/>
          <w:sz w:val="20"/>
          <w:szCs w:val="20"/>
        </w:rPr>
        <w:t>fideicomisos, mandatos y análogos de los cuales la entidad sea fideicomitente o fiduciario.</w:t>
      </w:r>
    </w:p>
    <w:p w14:paraId="14B56974" w14:textId="77777777" w:rsidR="00CB41C4" w:rsidRPr="00BF5B9D" w:rsidRDefault="00CB41C4" w:rsidP="006A5AC6">
      <w:pPr>
        <w:tabs>
          <w:tab w:val="left" w:leader="underscore" w:pos="9639"/>
        </w:tabs>
        <w:spacing w:after="0" w:line="240" w:lineRule="auto"/>
        <w:jc w:val="both"/>
        <w:rPr>
          <w:rFonts w:ascii="Arial" w:hAnsi="Arial" w:cs="Arial"/>
          <w:sz w:val="20"/>
          <w:szCs w:val="20"/>
        </w:rPr>
      </w:pPr>
    </w:p>
    <w:p w14:paraId="0E9B554B" w14:textId="77777777" w:rsidR="007D1E76" w:rsidRPr="00BF5B9D" w:rsidRDefault="00983283" w:rsidP="006A5AC6">
      <w:pPr>
        <w:pStyle w:val="Ttulo2"/>
        <w:jc w:val="both"/>
        <w:rPr>
          <w:rFonts w:ascii="Arial" w:hAnsi="Arial" w:cs="Arial"/>
          <w:b/>
          <w:color w:val="auto"/>
          <w:sz w:val="20"/>
          <w:szCs w:val="20"/>
        </w:rPr>
      </w:pPr>
      <w:bookmarkStart w:id="3" w:name="_Toc136350933"/>
      <w:r>
        <w:rPr>
          <w:rFonts w:ascii="Arial" w:hAnsi="Arial" w:cs="Arial"/>
          <w:b/>
          <w:color w:val="auto"/>
          <w:sz w:val="20"/>
          <w:szCs w:val="20"/>
        </w:rPr>
        <w:t>4</w:t>
      </w:r>
      <w:r w:rsidR="007D1E76" w:rsidRPr="00BF5B9D">
        <w:rPr>
          <w:rFonts w:ascii="Arial" w:hAnsi="Arial" w:cs="Arial"/>
          <w:b/>
          <w:color w:val="auto"/>
          <w:sz w:val="20"/>
          <w:szCs w:val="20"/>
        </w:rPr>
        <w:t>. Bases de Preparació</w:t>
      </w:r>
      <w:r w:rsidR="00E00323" w:rsidRPr="00BF5B9D">
        <w:rPr>
          <w:rFonts w:ascii="Arial" w:hAnsi="Arial" w:cs="Arial"/>
          <w:b/>
          <w:color w:val="auto"/>
          <w:sz w:val="20"/>
          <w:szCs w:val="20"/>
        </w:rPr>
        <w:t>n de los Estados Financieros:</w:t>
      </w:r>
      <w:bookmarkEnd w:id="3"/>
    </w:p>
    <w:p w14:paraId="7823E307" w14:textId="77777777" w:rsidR="007D1E76" w:rsidRPr="00BF5B9D" w:rsidRDefault="007D1E76" w:rsidP="006A5AC6">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Se informará sobre:</w:t>
      </w:r>
    </w:p>
    <w:p w14:paraId="13C97A02" w14:textId="77777777" w:rsidR="007D1E76" w:rsidRPr="00BF5B9D" w:rsidRDefault="007D1E76" w:rsidP="006A5AC6">
      <w:pPr>
        <w:tabs>
          <w:tab w:val="left" w:leader="underscore" w:pos="9639"/>
        </w:tabs>
        <w:spacing w:after="0" w:line="240" w:lineRule="auto"/>
        <w:jc w:val="both"/>
        <w:rPr>
          <w:rFonts w:ascii="Arial" w:hAnsi="Arial" w:cs="Arial"/>
          <w:sz w:val="20"/>
          <w:szCs w:val="20"/>
        </w:rPr>
      </w:pPr>
    </w:p>
    <w:p w14:paraId="335A58F2"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a)</w:t>
      </w:r>
      <w:r w:rsidRPr="00BF5B9D">
        <w:rPr>
          <w:rFonts w:ascii="Arial" w:hAnsi="Arial" w:cs="Arial"/>
          <w:sz w:val="20"/>
          <w:szCs w:val="20"/>
        </w:rPr>
        <w:t xml:space="preserve"> Si se ha observado la normatividad emitida por el CONAC y las disposiciones legales aplicables.</w:t>
      </w:r>
    </w:p>
    <w:p w14:paraId="2C131AED" w14:textId="77777777" w:rsidR="006C3F9A" w:rsidRPr="00BF5B9D" w:rsidRDefault="00BF5B9D" w:rsidP="006C3F9A">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Los E</w:t>
      </w:r>
      <w:r w:rsidR="006C3F9A" w:rsidRPr="00BF5B9D">
        <w:rPr>
          <w:rFonts w:ascii="Arial" w:hAnsi="Arial" w:cs="Arial"/>
          <w:sz w:val="20"/>
          <w:szCs w:val="20"/>
          <w:lang w:eastAsia="es-MX"/>
        </w:rPr>
        <w:t xml:space="preserve">stados </w:t>
      </w:r>
      <w:r>
        <w:rPr>
          <w:rFonts w:ascii="Arial" w:hAnsi="Arial" w:cs="Arial"/>
          <w:sz w:val="20"/>
          <w:szCs w:val="20"/>
          <w:lang w:eastAsia="es-MX"/>
        </w:rPr>
        <w:t xml:space="preserve">Financieros </w:t>
      </w:r>
      <w:r w:rsidR="006C3F9A" w:rsidRPr="00BF5B9D">
        <w:rPr>
          <w:rFonts w:ascii="Arial" w:hAnsi="Arial" w:cs="Arial"/>
          <w:sz w:val="20"/>
          <w:szCs w:val="20"/>
          <w:lang w:eastAsia="es-MX"/>
        </w:rPr>
        <w:t xml:space="preserve">se </w:t>
      </w:r>
      <w:r>
        <w:rPr>
          <w:rFonts w:ascii="Arial" w:hAnsi="Arial" w:cs="Arial"/>
          <w:sz w:val="20"/>
          <w:szCs w:val="20"/>
          <w:lang w:eastAsia="es-MX"/>
        </w:rPr>
        <w:t>elabo</w:t>
      </w:r>
      <w:r w:rsidR="002565EE" w:rsidRPr="00BF5B9D">
        <w:rPr>
          <w:rFonts w:ascii="Arial" w:hAnsi="Arial" w:cs="Arial"/>
          <w:sz w:val="20"/>
          <w:szCs w:val="20"/>
          <w:lang w:eastAsia="es-MX"/>
        </w:rPr>
        <w:t>ran</w:t>
      </w:r>
      <w:r w:rsidR="006C3F9A" w:rsidRPr="00BF5B9D">
        <w:rPr>
          <w:rFonts w:ascii="Arial" w:hAnsi="Arial" w:cs="Arial"/>
          <w:sz w:val="20"/>
          <w:szCs w:val="20"/>
          <w:lang w:eastAsia="es-MX"/>
        </w:rPr>
        <w:t xml:space="preserve"> de conformidad con las siguientes disposiciones normativas que le son aplicables en su carácter de administración descentralizada:</w:t>
      </w:r>
    </w:p>
    <w:p w14:paraId="73FCB5DC" w14:textId="77777777" w:rsidR="006C3F9A" w:rsidRPr="00BF5B9D" w:rsidRDefault="006C3F9A" w:rsidP="006C3F9A">
      <w:pPr>
        <w:spacing w:after="0" w:line="240" w:lineRule="auto"/>
        <w:ind w:right="51"/>
        <w:jc w:val="both"/>
        <w:rPr>
          <w:rFonts w:ascii="Arial" w:hAnsi="Arial" w:cs="Arial"/>
          <w:sz w:val="20"/>
          <w:szCs w:val="20"/>
          <w:lang w:eastAsia="es-MX"/>
        </w:rPr>
      </w:pPr>
    </w:p>
    <w:p w14:paraId="40D9A8DD" w14:textId="77777777" w:rsidR="006C3F9A" w:rsidRPr="00BF5B9D" w:rsidRDefault="006C3F9A" w:rsidP="006C3F9A">
      <w:pPr>
        <w:tabs>
          <w:tab w:val="num" w:pos="1560"/>
        </w:tabs>
        <w:spacing w:after="0" w:line="240" w:lineRule="auto"/>
        <w:ind w:right="51"/>
        <w:jc w:val="both"/>
        <w:rPr>
          <w:rFonts w:ascii="Arial" w:hAnsi="Arial" w:cs="Arial"/>
          <w:sz w:val="20"/>
          <w:szCs w:val="20"/>
          <w:lang w:eastAsia="es-MX"/>
        </w:rPr>
      </w:pPr>
      <w:r w:rsidRPr="00BF5B9D">
        <w:rPr>
          <w:rFonts w:ascii="Arial" w:hAnsi="Arial" w:cs="Arial"/>
          <w:sz w:val="20"/>
          <w:szCs w:val="20"/>
          <w:lang w:eastAsia="es-MX"/>
        </w:rPr>
        <w:t>Las disposiciones vigentes de la Ley General de Contabilidad Gubernamental (LGCG) y normas reglamentarias emitidas a través de acuerdos del Consejo Nacional de Armonización Contable (CONAC).</w:t>
      </w:r>
    </w:p>
    <w:p w14:paraId="79300E82" w14:textId="77777777" w:rsidR="006C3F9A" w:rsidRDefault="006C3F9A" w:rsidP="006C3F9A">
      <w:pPr>
        <w:tabs>
          <w:tab w:val="left" w:leader="underscore" w:pos="9639"/>
        </w:tabs>
        <w:spacing w:after="0" w:line="240" w:lineRule="auto"/>
        <w:jc w:val="both"/>
        <w:rPr>
          <w:rFonts w:ascii="Arial" w:hAnsi="Arial" w:cs="Arial"/>
          <w:sz w:val="20"/>
          <w:szCs w:val="20"/>
          <w:lang w:eastAsia="es-MX"/>
        </w:rPr>
      </w:pPr>
    </w:p>
    <w:p w14:paraId="43A98477" w14:textId="77777777" w:rsidR="007D1E76" w:rsidRPr="00BF5B9D" w:rsidRDefault="006C3F9A" w:rsidP="006C3F9A">
      <w:pPr>
        <w:tabs>
          <w:tab w:val="left" w:leader="underscore" w:pos="9639"/>
        </w:tabs>
        <w:spacing w:after="0" w:line="240" w:lineRule="auto"/>
        <w:jc w:val="both"/>
        <w:rPr>
          <w:rFonts w:ascii="Arial" w:hAnsi="Arial" w:cs="Arial"/>
          <w:sz w:val="20"/>
          <w:szCs w:val="20"/>
        </w:rPr>
      </w:pPr>
      <w:r w:rsidRPr="00977706">
        <w:rPr>
          <w:rFonts w:ascii="Arial" w:hAnsi="Arial" w:cs="Arial"/>
          <w:sz w:val="20"/>
          <w:szCs w:val="20"/>
          <w:lang w:eastAsia="es-MX"/>
        </w:rPr>
        <w:t xml:space="preserve">Es importante mencionar que este fideicomiso se encuentra en proceso de incorporarse al Sistema Integral de SAP </w:t>
      </w:r>
      <w:r w:rsidR="00AF4ED3">
        <w:rPr>
          <w:rFonts w:ascii="Arial" w:hAnsi="Arial" w:cs="Arial"/>
          <w:sz w:val="20"/>
          <w:szCs w:val="20"/>
          <w:lang w:eastAsia="es-MX"/>
        </w:rPr>
        <w:t>4 Hanna</w:t>
      </w:r>
      <w:r w:rsidRPr="00977706">
        <w:rPr>
          <w:rFonts w:ascii="Arial" w:hAnsi="Arial" w:cs="Arial"/>
          <w:sz w:val="20"/>
          <w:szCs w:val="20"/>
          <w:lang w:eastAsia="es-MX"/>
        </w:rPr>
        <w:t>, con el apoyo de las áreas técnicas de la Secretaría de Finanzas Inversión y Administración.</w:t>
      </w:r>
    </w:p>
    <w:p w14:paraId="594BB128"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47D822E6"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b)</w:t>
      </w:r>
      <w:r w:rsidRPr="00BF5B9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BF5B9D">
        <w:rPr>
          <w:rFonts w:ascii="Arial" w:hAnsi="Arial" w:cs="Arial"/>
          <w:sz w:val="20"/>
          <w:szCs w:val="20"/>
        </w:rPr>
        <w:t>los mismos</w:t>
      </w:r>
      <w:proofErr w:type="gramEnd"/>
      <w:r w:rsidRPr="00BF5B9D">
        <w:rPr>
          <w:rFonts w:ascii="Arial" w:hAnsi="Arial" w:cs="Arial"/>
          <w:sz w:val="20"/>
          <w:szCs w:val="20"/>
        </w:rPr>
        <w:t>.</w:t>
      </w:r>
    </w:p>
    <w:p w14:paraId="49BFA373" w14:textId="77777777" w:rsidR="00104B24" w:rsidRDefault="00104B24" w:rsidP="006C3F9A">
      <w:pPr>
        <w:tabs>
          <w:tab w:val="num" w:pos="1560"/>
        </w:tabs>
        <w:ind w:right="51"/>
        <w:jc w:val="both"/>
        <w:rPr>
          <w:rFonts w:ascii="Arial" w:hAnsi="Arial" w:cs="Arial"/>
          <w:sz w:val="20"/>
          <w:szCs w:val="20"/>
          <w:lang w:eastAsia="es-MX"/>
        </w:rPr>
      </w:pPr>
    </w:p>
    <w:p w14:paraId="57EE6112" w14:textId="77777777" w:rsidR="006C3F9A" w:rsidRPr="00BF5B9D" w:rsidRDefault="006C3F9A" w:rsidP="006C3F9A">
      <w:pPr>
        <w:tabs>
          <w:tab w:val="num" w:pos="1560"/>
        </w:tabs>
        <w:ind w:right="51"/>
        <w:jc w:val="both"/>
        <w:rPr>
          <w:rFonts w:ascii="Arial" w:hAnsi="Arial" w:cs="Arial"/>
          <w:sz w:val="20"/>
          <w:szCs w:val="20"/>
          <w:lang w:eastAsia="es-MX"/>
        </w:rPr>
      </w:pPr>
      <w:r w:rsidRPr="00BF5B9D">
        <w:rPr>
          <w:rFonts w:ascii="Arial" w:hAnsi="Arial" w:cs="Arial"/>
          <w:sz w:val="20"/>
          <w:szCs w:val="20"/>
          <w:lang w:eastAsia="es-MX"/>
        </w:rPr>
        <w:t>De conformidad con el Marco Conceptual Gubernamental se pueden aplicar supletoriamente y en el orden a continuación señalado las siguientes normas:</w:t>
      </w:r>
    </w:p>
    <w:p w14:paraId="6F0ED7C3" w14:textId="77777777" w:rsidR="006C3F9A" w:rsidRPr="00BF5B9D" w:rsidRDefault="006C3F9A" w:rsidP="006C3F9A">
      <w:pPr>
        <w:numPr>
          <w:ilvl w:val="0"/>
          <w:numId w:val="2"/>
        </w:numPr>
        <w:tabs>
          <w:tab w:val="clear" w:pos="2165"/>
        </w:tabs>
        <w:spacing w:after="0" w:line="240" w:lineRule="auto"/>
        <w:ind w:left="0" w:right="51" w:firstLine="0"/>
        <w:jc w:val="both"/>
        <w:rPr>
          <w:rFonts w:ascii="Arial" w:hAnsi="Arial" w:cs="Arial"/>
          <w:sz w:val="20"/>
          <w:szCs w:val="20"/>
          <w:lang w:eastAsia="es-MX"/>
        </w:rPr>
      </w:pPr>
      <w:r w:rsidRPr="00BF5B9D">
        <w:rPr>
          <w:rFonts w:ascii="Arial" w:hAnsi="Arial" w:cs="Arial"/>
          <w:sz w:val="20"/>
          <w:szCs w:val="20"/>
          <w:lang w:eastAsia="es-MX"/>
        </w:rPr>
        <w:t>La Normatividad emitida por las unidades administrativas o instancias competentes en materia de Contabilidad Gubernamental.</w:t>
      </w:r>
    </w:p>
    <w:p w14:paraId="27784715" w14:textId="77777777" w:rsidR="006C3F9A" w:rsidRPr="00BF5B9D" w:rsidRDefault="006C3F9A" w:rsidP="006C3F9A">
      <w:pPr>
        <w:numPr>
          <w:ilvl w:val="0"/>
          <w:numId w:val="2"/>
        </w:numPr>
        <w:tabs>
          <w:tab w:val="clear" w:pos="2165"/>
        </w:tabs>
        <w:spacing w:after="0" w:line="240" w:lineRule="auto"/>
        <w:ind w:left="0" w:right="51" w:firstLine="0"/>
        <w:jc w:val="both"/>
        <w:rPr>
          <w:rFonts w:ascii="Arial" w:hAnsi="Arial" w:cs="Arial"/>
          <w:sz w:val="20"/>
          <w:szCs w:val="20"/>
          <w:lang w:eastAsia="es-MX"/>
        </w:rPr>
      </w:pPr>
      <w:r w:rsidRPr="00BF5B9D">
        <w:rPr>
          <w:rFonts w:ascii="Arial" w:hAnsi="Arial" w:cs="Arial"/>
          <w:sz w:val="20"/>
          <w:szCs w:val="20"/>
          <w:lang w:eastAsia="es-MX"/>
        </w:rPr>
        <w:t>Normas Internacionales de Contabilidad para el Sector Público (NICSP).</w:t>
      </w:r>
    </w:p>
    <w:p w14:paraId="4C4BB231" w14:textId="77777777" w:rsidR="007D1E76" w:rsidRPr="00BF5B9D" w:rsidRDefault="006C3F9A" w:rsidP="00BF5B9D">
      <w:pPr>
        <w:numPr>
          <w:ilvl w:val="0"/>
          <w:numId w:val="2"/>
        </w:numPr>
        <w:tabs>
          <w:tab w:val="clear" w:pos="2165"/>
        </w:tabs>
        <w:spacing w:after="0" w:line="240" w:lineRule="auto"/>
        <w:ind w:left="0" w:right="51" w:firstLine="0"/>
        <w:jc w:val="both"/>
        <w:rPr>
          <w:rFonts w:ascii="Arial" w:hAnsi="Arial" w:cs="Arial"/>
          <w:sz w:val="20"/>
          <w:szCs w:val="20"/>
        </w:rPr>
      </w:pPr>
      <w:r w:rsidRPr="00BF5B9D">
        <w:rPr>
          <w:rFonts w:ascii="Arial" w:hAnsi="Arial" w:cs="Arial"/>
          <w:sz w:val="20"/>
          <w:szCs w:val="20"/>
          <w:lang w:eastAsia="es-MX"/>
        </w:rPr>
        <w:t>Las Normas de Información Financiera (NIF) emitidas por el Consejo Mexicano de Normas de Información Financiera, A. C.</w:t>
      </w:r>
    </w:p>
    <w:p w14:paraId="0EFFD92C"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083B1885"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c)</w:t>
      </w:r>
      <w:r w:rsidRPr="00BF5B9D">
        <w:rPr>
          <w:rFonts w:ascii="Arial" w:hAnsi="Arial" w:cs="Arial"/>
          <w:sz w:val="20"/>
          <w:szCs w:val="20"/>
        </w:rPr>
        <w:t xml:space="preserve"> Postulados básicos.</w:t>
      </w:r>
    </w:p>
    <w:p w14:paraId="5E286E3F" w14:textId="77777777" w:rsidR="00C82F63" w:rsidRPr="00BF5B9D" w:rsidRDefault="00C82F63" w:rsidP="006745FE">
      <w:pPr>
        <w:spacing w:after="0" w:line="240" w:lineRule="auto"/>
        <w:jc w:val="both"/>
        <w:rPr>
          <w:rFonts w:ascii="Arial" w:hAnsi="Arial" w:cs="Arial"/>
          <w:sz w:val="20"/>
          <w:szCs w:val="20"/>
        </w:rPr>
      </w:pPr>
    </w:p>
    <w:p w14:paraId="501A4F1C"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xml:space="preserve">A </w:t>
      </w:r>
      <w:r w:rsidR="002565EE" w:rsidRPr="00BF5B9D">
        <w:rPr>
          <w:rFonts w:ascii="Arial" w:hAnsi="Arial" w:cs="Arial"/>
          <w:sz w:val="20"/>
          <w:szCs w:val="20"/>
        </w:rPr>
        <w:t>continuación,</w:t>
      </w:r>
      <w:r w:rsidRPr="00BF5B9D">
        <w:rPr>
          <w:rFonts w:ascii="Arial" w:hAnsi="Arial" w:cs="Arial"/>
          <w:sz w:val="20"/>
          <w:szCs w:val="20"/>
        </w:rPr>
        <w:t xml:space="preserve"> se presentan los Postulados Básicos de Contabilidad Gubernamental (PBCG) aplicados por la Entidad:</w:t>
      </w:r>
    </w:p>
    <w:p w14:paraId="1C59D86A" w14:textId="77777777" w:rsidR="00C82F63" w:rsidRPr="00BF5B9D" w:rsidRDefault="00C82F63" w:rsidP="006745FE">
      <w:pPr>
        <w:spacing w:after="0" w:line="240" w:lineRule="auto"/>
        <w:jc w:val="both"/>
        <w:rPr>
          <w:rFonts w:ascii="Arial" w:hAnsi="Arial" w:cs="Arial"/>
          <w:sz w:val="20"/>
          <w:szCs w:val="20"/>
        </w:rPr>
      </w:pPr>
    </w:p>
    <w:p w14:paraId="3DD01BEC"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Sustancia económica.</w:t>
      </w:r>
    </w:p>
    <w:p w14:paraId="73CBF629"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Entes públicos.</w:t>
      </w:r>
    </w:p>
    <w:p w14:paraId="72AF8365"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Existencia permanente.</w:t>
      </w:r>
    </w:p>
    <w:p w14:paraId="5250A750"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Revelación suficiente.</w:t>
      </w:r>
    </w:p>
    <w:p w14:paraId="7B2F7802"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lastRenderedPageBreak/>
        <w:t> Importancia relativa.</w:t>
      </w:r>
    </w:p>
    <w:p w14:paraId="671BDDA9"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Registro e integración presupuestaria.</w:t>
      </w:r>
    </w:p>
    <w:p w14:paraId="33137CD4"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Consolidación de la información financiera.</w:t>
      </w:r>
    </w:p>
    <w:p w14:paraId="0DA8A217"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Devengo contable.</w:t>
      </w:r>
    </w:p>
    <w:p w14:paraId="195F145D"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Valuación.</w:t>
      </w:r>
    </w:p>
    <w:p w14:paraId="6F9CFC9D" w14:textId="77777777" w:rsidR="006745FE" w:rsidRPr="00BF5B9D" w:rsidRDefault="006745FE" w:rsidP="006745FE">
      <w:pPr>
        <w:spacing w:after="0" w:line="240" w:lineRule="auto"/>
        <w:jc w:val="both"/>
        <w:rPr>
          <w:rFonts w:ascii="Arial" w:hAnsi="Arial" w:cs="Arial"/>
          <w:sz w:val="20"/>
          <w:szCs w:val="20"/>
        </w:rPr>
      </w:pPr>
      <w:r w:rsidRPr="00BF5B9D">
        <w:rPr>
          <w:rFonts w:ascii="Arial" w:hAnsi="Arial" w:cs="Arial"/>
          <w:sz w:val="20"/>
          <w:szCs w:val="20"/>
        </w:rPr>
        <w:t> Dualidad económica.</w:t>
      </w:r>
    </w:p>
    <w:p w14:paraId="74940227" w14:textId="77777777" w:rsidR="007D1E76" w:rsidRPr="00BF5B9D" w:rsidRDefault="006745FE" w:rsidP="006745FE">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w:t>
      </w:r>
      <w:r w:rsidR="00BF5B9D">
        <w:rPr>
          <w:rFonts w:ascii="Arial" w:hAnsi="Arial" w:cs="Arial"/>
          <w:sz w:val="20"/>
          <w:szCs w:val="20"/>
        </w:rPr>
        <w:t xml:space="preserve"> </w:t>
      </w:r>
      <w:r w:rsidRPr="00BF5B9D">
        <w:rPr>
          <w:rFonts w:ascii="Arial" w:hAnsi="Arial" w:cs="Arial"/>
          <w:sz w:val="20"/>
          <w:szCs w:val="20"/>
        </w:rPr>
        <w:t>Consistencia.</w:t>
      </w:r>
    </w:p>
    <w:p w14:paraId="6D237A64"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051B41A6" w14:textId="77777777" w:rsidR="007D1E76"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d)</w:t>
      </w:r>
      <w:r w:rsidRPr="00BF5B9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1B21F67" w14:textId="77777777" w:rsidR="006425BD" w:rsidRPr="00BF5B9D" w:rsidRDefault="006425BD" w:rsidP="00CB41C4">
      <w:pPr>
        <w:tabs>
          <w:tab w:val="left" w:leader="underscore" w:pos="9639"/>
        </w:tabs>
        <w:spacing w:after="0" w:line="240" w:lineRule="auto"/>
        <w:jc w:val="both"/>
        <w:rPr>
          <w:rFonts w:ascii="Arial" w:hAnsi="Arial" w:cs="Arial"/>
          <w:sz w:val="20"/>
          <w:szCs w:val="20"/>
        </w:rPr>
      </w:pPr>
    </w:p>
    <w:p w14:paraId="296B5855" w14:textId="77777777" w:rsidR="00877DC1" w:rsidRDefault="004B101D" w:rsidP="00CB41C4">
      <w:pPr>
        <w:tabs>
          <w:tab w:val="left" w:leader="underscore" w:pos="9639"/>
        </w:tabs>
        <w:spacing w:after="0" w:line="240" w:lineRule="auto"/>
        <w:jc w:val="both"/>
        <w:rPr>
          <w:rFonts w:ascii="Arial" w:hAnsi="Arial" w:cs="Arial"/>
          <w:sz w:val="20"/>
          <w:szCs w:val="20"/>
          <w:lang w:eastAsia="es-MX"/>
        </w:rPr>
      </w:pPr>
      <w:r w:rsidRPr="00BF5B9D">
        <w:rPr>
          <w:rFonts w:ascii="Arial" w:hAnsi="Arial" w:cs="Arial"/>
          <w:sz w:val="20"/>
          <w:szCs w:val="20"/>
        </w:rPr>
        <w:t xml:space="preserve">Normas </w:t>
      </w:r>
      <w:r w:rsidR="00877DC1" w:rsidRPr="00BF5B9D">
        <w:rPr>
          <w:rFonts w:ascii="Arial" w:hAnsi="Arial" w:cs="Arial"/>
          <w:sz w:val="20"/>
          <w:szCs w:val="20"/>
          <w:lang w:eastAsia="es-MX"/>
        </w:rPr>
        <w:t>Internacionales de Contabilidad para el Sector Público (NICSP)</w:t>
      </w:r>
      <w:r w:rsidR="00877DC1">
        <w:rPr>
          <w:rFonts w:ascii="Arial" w:hAnsi="Arial" w:cs="Arial"/>
          <w:sz w:val="20"/>
          <w:szCs w:val="20"/>
          <w:lang w:eastAsia="es-MX"/>
        </w:rPr>
        <w:t xml:space="preserve"> y,</w:t>
      </w:r>
    </w:p>
    <w:p w14:paraId="16288B47" w14:textId="77777777" w:rsidR="007D1E76" w:rsidRPr="00BF5B9D" w:rsidRDefault="00877DC1" w:rsidP="00CB41C4">
      <w:pPr>
        <w:tabs>
          <w:tab w:val="left" w:leader="underscore" w:pos="9639"/>
        </w:tabs>
        <w:spacing w:after="0" w:line="240" w:lineRule="auto"/>
        <w:jc w:val="both"/>
        <w:rPr>
          <w:rFonts w:ascii="Arial" w:hAnsi="Arial" w:cs="Arial"/>
          <w:sz w:val="20"/>
          <w:szCs w:val="20"/>
        </w:rPr>
      </w:pPr>
      <w:r>
        <w:rPr>
          <w:rFonts w:ascii="Arial" w:hAnsi="Arial" w:cs="Arial"/>
          <w:sz w:val="20"/>
          <w:szCs w:val="20"/>
          <w:lang w:eastAsia="es-MX"/>
        </w:rPr>
        <w:t xml:space="preserve">Normas </w:t>
      </w:r>
      <w:r w:rsidR="004B101D" w:rsidRPr="00BF5B9D">
        <w:rPr>
          <w:rFonts w:ascii="Arial" w:hAnsi="Arial" w:cs="Arial"/>
          <w:sz w:val="20"/>
          <w:szCs w:val="20"/>
        </w:rPr>
        <w:t>de Información Financiera (NIF), emitidas por el Consejo Mexicano de Normas de Información Financiera (CINIF).</w:t>
      </w:r>
    </w:p>
    <w:p w14:paraId="2C73D778"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731DE4AB"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b/>
          <w:sz w:val="20"/>
          <w:szCs w:val="20"/>
        </w:rPr>
        <w:t>e)</w:t>
      </w:r>
      <w:r w:rsidRPr="00BF5B9D">
        <w:rPr>
          <w:rFonts w:ascii="Arial" w:hAnsi="Arial" w:cs="Arial"/>
          <w:sz w:val="20"/>
          <w:szCs w:val="20"/>
        </w:rPr>
        <w:t xml:space="preserve"> Para las entidades que por primera vez estén implementando </w:t>
      </w:r>
      <w:r w:rsidR="002565EE" w:rsidRPr="00BF5B9D">
        <w:rPr>
          <w:rFonts w:ascii="Arial" w:hAnsi="Arial" w:cs="Arial"/>
          <w:sz w:val="20"/>
          <w:szCs w:val="20"/>
        </w:rPr>
        <w:t>la base devengada</w:t>
      </w:r>
      <w:r w:rsidRPr="00BF5B9D">
        <w:rPr>
          <w:rFonts w:ascii="Arial" w:hAnsi="Arial" w:cs="Arial"/>
          <w:sz w:val="20"/>
          <w:szCs w:val="20"/>
        </w:rPr>
        <w:t xml:space="preserve"> </w:t>
      </w:r>
      <w:proofErr w:type="gramStart"/>
      <w:r w:rsidRPr="00BF5B9D">
        <w:rPr>
          <w:rFonts w:ascii="Arial" w:hAnsi="Arial" w:cs="Arial"/>
          <w:sz w:val="20"/>
          <w:szCs w:val="20"/>
        </w:rPr>
        <w:t>de acuerdo a</w:t>
      </w:r>
      <w:proofErr w:type="gramEnd"/>
      <w:r w:rsidRPr="00BF5B9D">
        <w:rPr>
          <w:rFonts w:ascii="Arial" w:hAnsi="Arial" w:cs="Arial"/>
          <w:sz w:val="20"/>
          <w:szCs w:val="20"/>
        </w:rPr>
        <w:t xml:space="preserve"> la Ley de Contabilidad, deberán:</w:t>
      </w:r>
    </w:p>
    <w:p w14:paraId="5CDA584C"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p>
    <w:p w14:paraId="3F7A5644"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*Revelar las nuevas políticas de reconocimiento:</w:t>
      </w:r>
    </w:p>
    <w:p w14:paraId="534C55CE" w14:textId="77777777" w:rsidR="007D1E76" w:rsidRPr="00BF5B9D" w:rsidRDefault="004B101D" w:rsidP="00CB41C4">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No Aplica</w:t>
      </w:r>
      <w:r w:rsidR="007B11FB" w:rsidRPr="00BF5B9D">
        <w:rPr>
          <w:rFonts w:ascii="Arial" w:hAnsi="Arial" w:cs="Arial"/>
          <w:sz w:val="20"/>
          <w:szCs w:val="20"/>
        </w:rPr>
        <w:t>.</w:t>
      </w:r>
    </w:p>
    <w:p w14:paraId="32849747" w14:textId="77777777" w:rsidR="008D6298" w:rsidRPr="00BF5B9D" w:rsidRDefault="008D6298" w:rsidP="00CB41C4">
      <w:pPr>
        <w:tabs>
          <w:tab w:val="left" w:leader="underscore" w:pos="9639"/>
        </w:tabs>
        <w:spacing w:after="0" w:line="240" w:lineRule="auto"/>
        <w:jc w:val="both"/>
        <w:rPr>
          <w:rFonts w:ascii="Arial" w:hAnsi="Arial" w:cs="Arial"/>
          <w:sz w:val="20"/>
          <w:szCs w:val="20"/>
        </w:rPr>
      </w:pPr>
    </w:p>
    <w:p w14:paraId="23AC57A9" w14:textId="77777777" w:rsidR="007D1E76" w:rsidRPr="00BF5B9D" w:rsidRDefault="007D1E76" w:rsidP="00CB41C4">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*Plan de implementación:</w:t>
      </w:r>
    </w:p>
    <w:p w14:paraId="25ABB235" w14:textId="77777777" w:rsidR="007D1E76" w:rsidRPr="006A7328" w:rsidRDefault="004B101D" w:rsidP="00CB41C4">
      <w:pPr>
        <w:tabs>
          <w:tab w:val="left" w:leader="underscore" w:pos="9639"/>
        </w:tabs>
        <w:spacing w:after="0" w:line="240" w:lineRule="auto"/>
        <w:jc w:val="both"/>
        <w:rPr>
          <w:rFonts w:ascii="Arial" w:hAnsi="Arial" w:cs="Arial"/>
          <w:sz w:val="20"/>
          <w:szCs w:val="20"/>
        </w:rPr>
      </w:pPr>
      <w:r w:rsidRPr="00BF5B9D">
        <w:rPr>
          <w:rFonts w:ascii="Arial" w:hAnsi="Arial" w:cs="Arial"/>
          <w:sz w:val="20"/>
          <w:szCs w:val="20"/>
        </w:rPr>
        <w:t>No Aplica</w:t>
      </w:r>
      <w:r w:rsidR="007B11FB" w:rsidRPr="00BF5B9D">
        <w:rPr>
          <w:rFonts w:ascii="Arial" w:hAnsi="Arial" w:cs="Arial"/>
          <w:sz w:val="20"/>
          <w:szCs w:val="20"/>
        </w:rPr>
        <w:t>.</w:t>
      </w:r>
    </w:p>
    <w:p w14:paraId="46E05D7E" w14:textId="77777777" w:rsidR="007D1E76" w:rsidRPr="006A7328" w:rsidRDefault="007D1E76" w:rsidP="00CB41C4">
      <w:pPr>
        <w:tabs>
          <w:tab w:val="left" w:leader="underscore" w:pos="9639"/>
        </w:tabs>
        <w:spacing w:after="0" w:line="240" w:lineRule="auto"/>
        <w:jc w:val="both"/>
        <w:rPr>
          <w:rFonts w:ascii="Arial" w:hAnsi="Arial" w:cs="Arial"/>
          <w:sz w:val="20"/>
          <w:szCs w:val="20"/>
        </w:rPr>
      </w:pPr>
    </w:p>
    <w:p w14:paraId="286F7421" w14:textId="77777777" w:rsidR="007D1E76" w:rsidRPr="006A7328" w:rsidRDefault="007D1E76" w:rsidP="00CB41C4">
      <w:pPr>
        <w:tabs>
          <w:tab w:val="left" w:leader="underscore" w:pos="9639"/>
        </w:tabs>
        <w:spacing w:after="0" w:line="240" w:lineRule="auto"/>
        <w:jc w:val="both"/>
        <w:rPr>
          <w:rFonts w:ascii="Arial" w:hAnsi="Arial" w:cs="Arial"/>
          <w:sz w:val="20"/>
          <w:szCs w:val="20"/>
        </w:rPr>
      </w:pPr>
      <w:r w:rsidRPr="006A7328">
        <w:rPr>
          <w:rFonts w:ascii="Arial" w:hAnsi="Arial" w:cs="Arial"/>
          <w:sz w:val="20"/>
          <w:szCs w:val="20"/>
        </w:rPr>
        <w:t xml:space="preserve">*Revelar los cambios en las políticas, la clasificación y medición de </w:t>
      </w:r>
      <w:proofErr w:type="gramStart"/>
      <w:r w:rsidRPr="006A7328">
        <w:rPr>
          <w:rFonts w:ascii="Arial" w:hAnsi="Arial" w:cs="Arial"/>
          <w:sz w:val="20"/>
          <w:szCs w:val="20"/>
        </w:rPr>
        <w:t>las mismas</w:t>
      </w:r>
      <w:proofErr w:type="gramEnd"/>
      <w:r w:rsidRPr="006A7328">
        <w:rPr>
          <w:rFonts w:ascii="Arial" w:hAnsi="Arial" w:cs="Arial"/>
          <w:sz w:val="20"/>
          <w:szCs w:val="20"/>
        </w:rPr>
        <w:t>, así como su impacto en la información financiera:</w:t>
      </w:r>
    </w:p>
    <w:p w14:paraId="56C6E928" w14:textId="77777777" w:rsidR="007D1E76" w:rsidRPr="006A7328" w:rsidRDefault="004B101D" w:rsidP="006A5AC6">
      <w:pPr>
        <w:tabs>
          <w:tab w:val="left" w:leader="underscore" w:pos="9639"/>
        </w:tabs>
        <w:spacing w:after="0" w:line="240" w:lineRule="auto"/>
        <w:jc w:val="both"/>
        <w:rPr>
          <w:rFonts w:ascii="Arial" w:hAnsi="Arial" w:cs="Arial"/>
          <w:sz w:val="20"/>
          <w:szCs w:val="20"/>
        </w:rPr>
      </w:pPr>
      <w:r w:rsidRPr="006A7328">
        <w:rPr>
          <w:rFonts w:ascii="Arial" w:hAnsi="Arial" w:cs="Arial"/>
          <w:sz w:val="20"/>
          <w:szCs w:val="20"/>
        </w:rPr>
        <w:t>No Aplica</w:t>
      </w:r>
      <w:r w:rsidR="007B11FB" w:rsidRPr="006A7328">
        <w:rPr>
          <w:rFonts w:ascii="Arial" w:hAnsi="Arial" w:cs="Arial"/>
          <w:sz w:val="20"/>
          <w:szCs w:val="20"/>
        </w:rPr>
        <w:t>.</w:t>
      </w:r>
    </w:p>
    <w:p w14:paraId="27EB9533" w14:textId="77777777" w:rsidR="007D1E76" w:rsidRPr="006A7328" w:rsidRDefault="007D1E76" w:rsidP="006A5AC6">
      <w:pPr>
        <w:tabs>
          <w:tab w:val="left" w:leader="underscore" w:pos="9639"/>
        </w:tabs>
        <w:spacing w:after="0" w:line="240" w:lineRule="auto"/>
        <w:jc w:val="both"/>
        <w:rPr>
          <w:rFonts w:ascii="Arial" w:hAnsi="Arial" w:cs="Arial"/>
          <w:sz w:val="20"/>
          <w:szCs w:val="20"/>
        </w:rPr>
      </w:pPr>
    </w:p>
    <w:p w14:paraId="13C78E10" w14:textId="77777777" w:rsidR="007D1E76" w:rsidRPr="006A7328" w:rsidRDefault="00983283" w:rsidP="006A5AC6">
      <w:pPr>
        <w:pStyle w:val="Ttulo2"/>
        <w:jc w:val="both"/>
        <w:rPr>
          <w:rFonts w:ascii="Arial" w:hAnsi="Arial" w:cs="Arial"/>
          <w:b/>
          <w:sz w:val="20"/>
          <w:szCs w:val="20"/>
        </w:rPr>
      </w:pPr>
      <w:bookmarkStart w:id="4" w:name="_Toc136350934"/>
      <w:r>
        <w:rPr>
          <w:rFonts w:ascii="Arial" w:hAnsi="Arial" w:cs="Arial"/>
          <w:b/>
          <w:color w:val="auto"/>
          <w:sz w:val="20"/>
          <w:szCs w:val="20"/>
        </w:rPr>
        <w:t>5</w:t>
      </w:r>
      <w:r w:rsidR="007D1E76" w:rsidRPr="006A7328">
        <w:rPr>
          <w:rFonts w:ascii="Arial" w:hAnsi="Arial" w:cs="Arial"/>
          <w:b/>
          <w:color w:val="auto"/>
          <w:sz w:val="20"/>
          <w:szCs w:val="20"/>
        </w:rPr>
        <w:t>. Políticas de</w:t>
      </w:r>
      <w:r w:rsidR="00E00323" w:rsidRPr="006A7328">
        <w:rPr>
          <w:rFonts w:ascii="Arial" w:hAnsi="Arial" w:cs="Arial"/>
          <w:b/>
          <w:color w:val="auto"/>
          <w:sz w:val="20"/>
          <w:szCs w:val="20"/>
        </w:rPr>
        <w:t xml:space="preserve"> Contabilidad Significativas:</w:t>
      </w:r>
      <w:bookmarkEnd w:id="4"/>
    </w:p>
    <w:p w14:paraId="69A1A8B1" w14:textId="77777777" w:rsidR="007D1E76" w:rsidRPr="006A7328" w:rsidRDefault="007D1E76" w:rsidP="006A5AC6">
      <w:pPr>
        <w:tabs>
          <w:tab w:val="left" w:leader="underscore" w:pos="9639"/>
        </w:tabs>
        <w:spacing w:after="0" w:line="240" w:lineRule="auto"/>
        <w:jc w:val="both"/>
        <w:rPr>
          <w:rFonts w:ascii="Arial" w:hAnsi="Arial" w:cs="Arial"/>
          <w:sz w:val="20"/>
          <w:szCs w:val="20"/>
        </w:rPr>
      </w:pPr>
    </w:p>
    <w:p w14:paraId="79D186EF" w14:textId="77777777" w:rsidR="007D1E76" w:rsidRPr="006A7328" w:rsidRDefault="007D1E76" w:rsidP="006A5AC6">
      <w:pPr>
        <w:tabs>
          <w:tab w:val="left" w:leader="underscore" w:pos="9639"/>
        </w:tabs>
        <w:spacing w:after="0" w:line="240" w:lineRule="auto"/>
        <w:jc w:val="both"/>
        <w:rPr>
          <w:rFonts w:ascii="Arial" w:hAnsi="Arial" w:cs="Arial"/>
          <w:sz w:val="20"/>
          <w:szCs w:val="20"/>
        </w:rPr>
      </w:pPr>
      <w:r w:rsidRPr="006A7328">
        <w:rPr>
          <w:rFonts w:ascii="Arial" w:hAnsi="Arial" w:cs="Arial"/>
          <w:sz w:val="20"/>
          <w:szCs w:val="20"/>
        </w:rPr>
        <w:t>Se informará sobre:</w:t>
      </w:r>
    </w:p>
    <w:p w14:paraId="76326998" w14:textId="77777777" w:rsidR="007D1E76" w:rsidRPr="006A7328" w:rsidRDefault="007D1E76" w:rsidP="006A5AC6">
      <w:pPr>
        <w:tabs>
          <w:tab w:val="left" w:leader="underscore" w:pos="9639"/>
        </w:tabs>
        <w:spacing w:after="0" w:line="240" w:lineRule="auto"/>
        <w:jc w:val="both"/>
        <w:rPr>
          <w:rFonts w:ascii="Arial" w:hAnsi="Arial" w:cs="Arial"/>
          <w:sz w:val="20"/>
          <w:szCs w:val="20"/>
        </w:rPr>
      </w:pPr>
    </w:p>
    <w:p w14:paraId="0709E648" w14:textId="77777777" w:rsidR="007D1E76" w:rsidRPr="006A7328" w:rsidRDefault="007D1E76" w:rsidP="00CB41C4">
      <w:pPr>
        <w:tabs>
          <w:tab w:val="left" w:leader="underscore" w:pos="9639"/>
        </w:tabs>
        <w:spacing w:after="0" w:line="240" w:lineRule="auto"/>
        <w:jc w:val="both"/>
        <w:rPr>
          <w:rFonts w:ascii="Arial" w:hAnsi="Arial" w:cs="Arial"/>
          <w:sz w:val="20"/>
          <w:szCs w:val="20"/>
        </w:rPr>
      </w:pPr>
      <w:r w:rsidRPr="006A7328">
        <w:rPr>
          <w:rFonts w:ascii="Arial" w:hAnsi="Arial" w:cs="Arial"/>
          <w:b/>
          <w:sz w:val="20"/>
          <w:szCs w:val="20"/>
        </w:rPr>
        <w:t>a)</w:t>
      </w:r>
      <w:r w:rsidRPr="006A7328">
        <w:rPr>
          <w:rFonts w:ascii="Arial" w:hAnsi="Arial" w:cs="Arial"/>
          <w:sz w:val="20"/>
          <w:szCs w:val="20"/>
        </w:rPr>
        <w:t xml:space="preserve"> Actualización: se informará del método utilizado para la actualización del valor de los activos, pasivos y Hacienda Pública/</w:t>
      </w:r>
      <w:r w:rsidR="00657009" w:rsidRPr="006A7328">
        <w:rPr>
          <w:rFonts w:ascii="Arial" w:hAnsi="Arial" w:cs="Arial"/>
          <w:sz w:val="20"/>
          <w:szCs w:val="20"/>
        </w:rPr>
        <w:t>P</w:t>
      </w:r>
      <w:r w:rsidRPr="006A7328">
        <w:rPr>
          <w:rFonts w:ascii="Arial" w:hAnsi="Arial" w:cs="Arial"/>
          <w:sz w:val="20"/>
          <w:szCs w:val="20"/>
        </w:rPr>
        <w:t>atrimonio y las razones de dicha elección. Así como informar de la desconexión o reconexión inflacionaria:</w:t>
      </w:r>
    </w:p>
    <w:p w14:paraId="21D40797" w14:textId="77777777" w:rsidR="00AD46C7" w:rsidRPr="006A7328" w:rsidRDefault="00AD46C7" w:rsidP="00CB41C4">
      <w:pPr>
        <w:tabs>
          <w:tab w:val="left" w:leader="underscore" w:pos="9639"/>
        </w:tabs>
        <w:spacing w:after="0" w:line="240" w:lineRule="auto"/>
        <w:jc w:val="both"/>
        <w:rPr>
          <w:rFonts w:ascii="Arial" w:hAnsi="Arial" w:cs="Arial"/>
          <w:sz w:val="20"/>
          <w:szCs w:val="20"/>
        </w:rPr>
      </w:pPr>
    </w:p>
    <w:p w14:paraId="5E33DE81"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A </w:t>
      </w:r>
      <w:r w:rsidR="002565EE" w:rsidRPr="006A7328">
        <w:rPr>
          <w:rFonts w:ascii="Arial" w:hAnsi="Arial" w:cs="Arial"/>
          <w:sz w:val="20"/>
          <w:szCs w:val="20"/>
        </w:rPr>
        <w:t>continuación,</w:t>
      </w:r>
      <w:r w:rsidRPr="006A7328">
        <w:rPr>
          <w:rFonts w:ascii="Arial" w:hAnsi="Arial" w:cs="Arial"/>
          <w:sz w:val="20"/>
          <w:szCs w:val="20"/>
        </w:rPr>
        <w:t xml:space="preserve"> se describen las políticas y prácticas contables seguidas de manera consistente por la </w:t>
      </w:r>
      <w:r w:rsidR="006A7328">
        <w:rPr>
          <w:rFonts w:ascii="Arial" w:hAnsi="Arial" w:cs="Arial"/>
          <w:sz w:val="20"/>
          <w:szCs w:val="20"/>
        </w:rPr>
        <w:t>e</w:t>
      </w:r>
      <w:r w:rsidRPr="006A7328">
        <w:rPr>
          <w:rFonts w:ascii="Arial" w:hAnsi="Arial" w:cs="Arial"/>
          <w:sz w:val="20"/>
          <w:szCs w:val="20"/>
        </w:rPr>
        <w:t>ntidad en los años que se presentan, a menos que se especifique lo contrario.</w:t>
      </w:r>
    </w:p>
    <w:p w14:paraId="06EBF2FA"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El Marco Conceptual de Contabilidad Gubernamental requiere el uso de ciertas estimaciones contables en la preparación de estados financieros. Asimismo, se requiere el ejercicio de un juicio de parte de la Administración en el proceso de definición de las políticas de contabilidad de la Entidad.</w:t>
      </w:r>
    </w:p>
    <w:p w14:paraId="24D51AD1"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p>
    <w:p w14:paraId="1E728E08"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a. Efectivo y equivalentes de efectivo:</w:t>
      </w:r>
    </w:p>
    <w:p w14:paraId="2BBF9509"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6FC542B9"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Las inversiones financieras que tienen un plazo de vencimiento de hasta 91 días, son clasificadas como inversiones temporales; aquellas inversiones con plazo de vencimiento de 92 días hasta un </w:t>
      </w:r>
      <w:proofErr w:type="gramStart"/>
      <w:r w:rsidRPr="006A7328">
        <w:rPr>
          <w:rFonts w:ascii="Arial" w:hAnsi="Arial" w:cs="Arial"/>
          <w:sz w:val="20"/>
          <w:szCs w:val="20"/>
        </w:rPr>
        <w:t>año,</w:t>
      </w:r>
      <w:proofErr w:type="gramEnd"/>
      <w:r w:rsidRPr="006A7328">
        <w:rPr>
          <w:rFonts w:ascii="Arial" w:hAnsi="Arial" w:cs="Arial"/>
          <w:sz w:val="20"/>
          <w:szCs w:val="20"/>
        </w:rPr>
        <w:t xml:space="preserve"> son clasificadas como inversiones de corto plazo. Tanto las inversiones temporales como las de corto plazo se presentan en el activo circulante. Las inversiones con plazo de vencimiento mayor a un año se presentan dentro del activo no circulante.</w:t>
      </w:r>
    </w:p>
    <w:p w14:paraId="7D9DA5D8" w14:textId="77777777" w:rsidR="00556EB8" w:rsidRPr="006A7328" w:rsidRDefault="00556EB8" w:rsidP="007B11FB">
      <w:pPr>
        <w:autoSpaceDE w:val="0"/>
        <w:autoSpaceDN w:val="0"/>
        <w:adjustRightInd w:val="0"/>
        <w:spacing w:after="0" w:line="240" w:lineRule="auto"/>
        <w:jc w:val="both"/>
        <w:rPr>
          <w:rFonts w:ascii="Arial" w:hAnsi="Arial" w:cs="Arial"/>
          <w:sz w:val="20"/>
          <w:szCs w:val="20"/>
        </w:rPr>
      </w:pPr>
    </w:p>
    <w:p w14:paraId="23F04C60" w14:textId="77777777" w:rsidR="003A0EDB" w:rsidRDefault="003A0EDB" w:rsidP="007B11FB">
      <w:pPr>
        <w:autoSpaceDE w:val="0"/>
        <w:autoSpaceDN w:val="0"/>
        <w:adjustRightInd w:val="0"/>
        <w:spacing w:after="0" w:line="240" w:lineRule="auto"/>
        <w:jc w:val="both"/>
        <w:rPr>
          <w:rFonts w:ascii="Arial" w:hAnsi="Arial" w:cs="Arial"/>
          <w:sz w:val="20"/>
          <w:szCs w:val="20"/>
        </w:rPr>
      </w:pPr>
    </w:p>
    <w:p w14:paraId="54AED0EC" w14:textId="77777777" w:rsidR="003A0EDB" w:rsidRDefault="003A0EDB" w:rsidP="007B11FB">
      <w:pPr>
        <w:autoSpaceDE w:val="0"/>
        <w:autoSpaceDN w:val="0"/>
        <w:adjustRightInd w:val="0"/>
        <w:spacing w:after="0" w:line="240" w:lineRule="auto"/>
        <w:jc w:val="both"/>
        <w:rPr>
          <w:rFonts w:ascii="Arial" w:hAnsi="Arial" w:cs="Arial"/>
          <w:sz w:val="20"/>
          <w:szCs w:val="20"/>
        </w:rPr>
      </w:pPr>
    </w:p>
    <w:p w14:paraId="5191C39A" w14:textId="77777777" w:rsidR="003A0EDB" w:rsidRDefault="003A0EDB" w:rsidP="007B11FB">
      <w:pPr>
        <w:autoSpaceDE w:val="0"/>
        <w:autoSpaceDN w:val="0"/>
        <w:adjustRightInd w:val="0"/>
        <w:spacing w:after="0" w:line="240" w:lineRule="auto"/>
        <w:jc w:val="both"/>
        <w:rPr>
          <w:rFonts w:ascii="Arial" w:hAnsi="Arial" w:cs="Arial"/>
          <w:sz w:val="20"/>
          <w:szCs w:val="20"/>
        </w:rPr>
      </w:pPr>
    </w:p>
    <w:p w14:paraId="6009CAED"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lastRenderedPageBreak/>
        <w:t>b. Cuentas por cobrar:</w:t>
      </w:r>
    </w:p>
    <w:p w14:paraId="72BADA15"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054D5EBB"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Las cuentas por cobrar representan importes adeudados por clientes y son originadas por intereses sobre préstamos colocados, en el curso normal de las operaciones de la Entidad. Cuando se espera cobrarlas en un período de un año o menos desde la fecha de cierre (o en el ciclo normal de sus operaciones en el caso que este ciclo exceda este periodo), se presentan como activo circulante. En caso de no cumplir con lo anteriormente mencionado se presentan como activos no circulantes. Las otras cuentas por cobrar representan importes originados por otros ingresos diferentes a los intereses sobre préstamos colocados, en el curso normal de las operaciones de la Entidad; las cuales se espera cobrar en un periodo de un año o menos desde la fecha de cierre (o en el ciclo normal de operaciones de la Entidad en el caso que este ciclo exceda este periodo), se presentan como activo circulante. En caso de no cumplir con lo anteriormente mencionado se presentan como activos no circulantes. Las cuentas por cobrar se reconocen inicialmente a su valor razonable menos la reserva por incobrabilidad, en caso de corresponder.</w:t>
      </w:r>
    </w:p>
    <w:p w14:paraId="0437CC3B" w14:textId="77777777" w:rsidR="006425BD" w:rsidRPr="006A7328" w:rsidRDefault="006425BD" w:rsidP="007B11FB">
      <w:pPr>
        <w:autoSpaceDE w:val="0"/>
        <w:autoSpaceDN w:val="0"/>
        <w:adjustRightInd w:val="0"/>
        <w:spacing w:after="0" w:line="240" w:lineRule="auto"/>
        <w:jc w:val="both"/>
        <w:rPr>
          <w:rFonts w:ascii="Arial" w:hAnsi="Arial" w:cs="Arial"/>
          <w:sz w:val="20"/>
          <w:szCs w:val="20"/>
        </w:rPr>
      </w:pPr>
    </w:p>
    <w:p w14:paraId="6BA2B1EC"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c. Préstamos otorgados:</w:t>
      </w:r>
    </w:p>
    <w:p w14:paraId="5B90974E"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55096CD1"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Dichos préstamos se registran en el momento en que se otorgan. Los intereses por devengar de los préstamos otorgados se reconocen en los resultados conforme se devengan. Los préstamos, se presentan </w:t>
      </w:r>
      <w:proofErr w:type="gramStart"/>
      <w:r w:rsidRPr="006A7328">
        <w:rPr>
          <w:rFonts w:ascii="Arial" w:hAnsi="Arial" w:cs="Arial"/>
          <w:sz w:val="20"/>
          <w:szCs w:val="20"/>
        </w:rPr>
        <w:t>de acuerdo a</w:t>
      </w:r>
      <w:proofErr w:type="gramEnd"/>
      <w:r w:rsidRPr="006A7328">
        <w:rPr>
          <w:rFonts w:ascii="Arial" w:hAnsi="Arial" w:cs="Arial"/>
          <w:sz w:val="20"/>
          <w:szCs w:val="20"/>
        </w:rPr>
        <w:t xml:space="preserve"> su plazo de recuperación, dentro del activo circulante se muestran aquellos cuyo vencimiento está dentro de los 12 meses posteriores al cierre del ejercicio, en tanto que en el activo no circulante se presentan aquellos préstamos que exceden del plazo antes mencionado.</w:t>
      </w:r>
    </w:p>
    <w:p w14:paraId="65A073D4"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5788670D"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d. Pagos anticipados:</w:t>
      </w:r>
    </w:p>
    <w:p w14:paraId="26E6522A"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6CEAD312"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Los pagos anticipados representan aquellas erogaciones efectuadas por la Entidad en donde no han sido transferidos los beneficios y riesgos inherentes a los bienes que está por adquirir o a los servicios que está por recibir. Los pagos anticipados se registran a su costo y se presentan en el estado de situación financiera como activos circulantes o no circulantes, dependiendo del rubro de la partida de destino. Una vez recibidos los bienes y/o servicios, relativos a los pagos anticipados, estos deben reconocerse como un activo o como un gasto en el estado de actividades del periodo, respectivamente.</w:t>
      </w:r>
    </w:p>
    <w:p w14:paraId="07B05420"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12980966"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e. Bienes muebles:</w:t>
      </w:r>
    </w:p>
    <w:p w14:paraId="6DAD4340"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2AF9ED1B"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Los bienes muebles, se expresan a su costo de adquisición (histórico). La depreciación se calcula por el método de línea recta con base en las vidas útiles de los activos y porcentajes de </w:t>
      </w:r>
      <w:r w:rsidR="002565EE" w:rsidRPr="006A7328">
        <w:rPr>
          <w:rFonts w:ascii="Arial" w:hAnsi="Arial" w:cs="Arial"/>
          <w:sz w:val="20"/>
          <w:szCs w:val="20"/>
        </w:rPr>
        <w:t>depreciación, aplicadas</w:t>
      </w:r>
      <w:r w:rsidRPr="006A7328">
        <w:rPr>
          <w:rFonts w:ascii="Arial" w:hAnsi="Arial" w:cs="Arial"/>
          <w:sz w:val="20"/>
          <w:szCs w:val="20"/>
        </w:rPr>
        <w:t xml:space="preserve"> a los valores de los bienes muebles.</w:t>
      </w:r>
    </w:p>
    <w:p w14:paraId="5109EC37"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04B7D7CB"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f. Bienes adjudicados:</w:t>
      </w:r>
    </w:p>
    <w:p w14:paraId="1BDE4A1C"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39CDD2F6"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Los bienes adjudicados que se conforman de bienes </w:t>
      </w:r>
      <w:proofErr w:type="gramStart"/>
      <w:r w:rsidRPr="006A7328">
        <w:rPr>
          <w:rFonts w:ascii="Arial" w:hAnsi="Arial" w:cs="Arial"/>
          <w:sz w:val="20"/>
          <w:szCs w:val="20"/>
        </w:rPr>
        <w:t>inmuebles,</w:t>
      </w:r>
      <w:proofErr w:type="gramEnd"/>
      <w:r w:rsidRPr="006A7328">
        <w:rPr>
          <w:rFonts w:ascii="Arial" w:hAnsi="Arial" w:cs="Arial"/>
          <w:sz w:val="20"/>
          <w:szCs w:val="20"/>
        </w:rPr>
        <w:t xml:space="preserve"> se expresan a su costo de mercado, el cual es determinado mediante avalúo, al momento de su adjudicación.</w:t>
      </w:r>
    </w:p>
    <w:p w14:paraId="28230973"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Los bienes inmuebles, deben ser sometidos a pruebas anuales de deterioro únicamente, cuando se identifican indicios de deterioro. </w:t>
      </w:r>
    </w:p>
    <w:p w14:paraId="632E51B3"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03012077"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g. Provisiones:</w:t>
      </w:r>
    </w:p>
    <w:p w14:paraId="5D471FF0"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0CA12890"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Las provisiones de pasivo representan obligaciones presentes por eventos pasados en las que es probable (hay más posibilidad de que ocurra a que no ocurra) la salida de recursos económicos en el futuro. En el caso de provisiones a largo plazo, estas son descontadas a su valor presente y las modificaciones a las mismas por cambios en las tasas de descuento utilizadas, se reconocen en el estado de a actividades en el rubro de otros gastos y pérdidas extraordinarias. Estas provisiones se han registrado bajo la mejor estimación realizada por la Administración.</w:t>
      </w:r>
    </w:p>
    <w:p w14:paraId="1D9DD5C9" w14:textId="77777777" w:rsidR="00B869D6" w:rsidRPr="006A7328" w:rsidRDefault="00B869D6" w:rsidP="007B11FB">
      <w:pPr>
        <w:autoSpaceDE w:val="0"/>
        <w:autoSpaceDN w:val="0"/>
        <w:adjustRightInd w:val="0"/>
        <w:spacing w:after="0" w:line="240" w:lineRule="auto"/>
        <w:jc w:val="both"/>
        <w:rPr>
          <w:rFonts w:ascii="Arial" w:hAnsi="Arial" w:cs="Arial"/>
          <w:sz w:val="20"/>
          <w:szCs w:val="20"/>
        </w:rPr>
      </w:pPr>
    </w:p>
    <w:p w14:paraId="4B1F3FB5" w14:textId="77777777" w:rsidR="00D63E65" w:rsidRDefault="00D63E65" w:rsidP="007B11FB">
      <w:pPr>
        <w:autoSpaceDE w:val="0"/>
        <w:autoSpaceDN w:val="0"/>
        <w:adjustRightInd w:val="0"/>
        <w:spacing w:after="0" w:line="240" w:lineRule="auto"/>
        <w:jc w:val="both"/>
        <w:rPr>
          <w:rFonts w:ascii="Arial" w:hAnsi="Arial" w:cs="Arial"/>
          <w:sz w:val="20"/>
          <w:szCs w:val="20"/>
        </w:rPr>
      </w:pPr>
    </w:p>
    <w:p w14:paraId="08DBEBBB" w14:textId="77777777" w:rsidR="00BE7E31" w:rsidRDefault="00BE7E31" w:rsidP="007B11FB">
      <w:pPr>
        <w:autoSpaceDE w:val="0"/>
        <w:autoSpaceDN w:val="0"/>
        <w:adjustRightInd w:val="0"/>
        <w:spacing w:after="0" w:line="240" w:lineRule="auto"/>
        <w:jc w:val="both"/>
        <w:rPr>
          <w:rFonts w:ascii="Arial" w:hAnsi="Arial" w:cs="Arial"/>
          <w:sz w:val="20"/>
          <w:szCs w:val="20"/>
        </w:rPr>
      </w:pPr>
    </w:p>
    <w:p w14:paraId="77EF2AC4" w14:textId="77777777" w:rsidR="00BE7E31" w:rsidRDefault="00BE7E31" w:rsidP="007B11FB">
      <w:pPr>
        <w:autoSpaceDE w:val="0"/>
        <w:autoSpaceDN w:val="0"/>
        <w:adjustRightInd w:val="0"/>
        <w:spacing w:after="0" w:line="240" w:lineRule="auto"/>
        <w:jc w:val="both"/>
        <w:rPr>
          <w:rFonts w:ascii="Arial" w:hAnsi="Arial" w:cs="Arial"/>
          <w:sz w:val="20"/>
          <w:szCs w:val="20"/>
        </w:rPr>
      </w:pPr>
    </w:p>
    <w:p w14:paraId="2D488622" w14:textId="77777777" w:rsidR="00BE7E31" w:rsidRDefault="00BE7E31" w:rsidP="007B11FB">
      <w:pPr>
        <w:autoSpaceDE w:val="0"/>
        <w:autoSpaceDN w:val="0"/>
        <w:adjustRightInd w:val="0"/>
        <w:spacing w:after="0" w:line="240" w:lineRule="auto"/>
        <w:jc w:val="both"/>
        <w:rPr>
          <w:rFonts w:ascii="Arial" w:hAnsi="Arial" w:cs="Arial"/>
          <w:sz w:val="20"/>
          <w:szCs w:val="20"/>
        </w:rPr>
      </w:pPr>
    </w:p>
    <w:p w14:paraId="524E939A"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h. Beneficios a los empleados:</w:t>
      </w:r>
    </w:p>
    <w:p w14:paraId="2B815F33"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1D2E02B8"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La Entidad no tiene planes de beneficios a los empleados de contribución definida, con excepción de las requeridas por las leyes de seguridad social. Los beneficios directos a corto y largo plazos (sueldos, salarios, aguinaldos, vacaciones y primas sobre las mismas, etc.) se reconocen en los gastos conforme se devengan y sus pasivos se expresan a su valor nominal. En el caso de ausencias retribuidas conforme a las disposiciones legales o contractuales, estas no son acumulativas. Los beneficios por terminación de la relación laboral por causas distintas a la reestructura (indemnizaciones legales por despido, prima de antigüedad por las causas de muerte, invalidez, despido y separación voluntaria antes de la fecha de jubilación o de retiro sustitutivo de jubilación, gratificaciones adicionales, y servicios médicos, etc.), son registrados con base en estudios realizados por el personal de la Entidad.</w:t>
      </w:r>
    </w:p>
    <w:p w14:paraId="092B027F" w14:textId="77777777" w:rsidR="00E62A88" w:rsidRPr="006A7328" w:rsidRDefault="00E62A88" w:rsidP="007B11FB">
      <w:pPr>
        <w:autoSpaceDE w:val="0"/>
        <w:autoSpaceDN w:val="0"/>
        <w:adjustRightInd w:val="0"/>
        <w:spacing w:after="0" w:line="240" w:lineRule="auto"/>
        <w:jc w:val="both"/>
        <w:rPr>
          <w:rFonts w:ascii="Arial" w:hAnsi="Arial" w:cs="Arial"/>
          <w:sz w:val="20"/>
          <w:szCs w:val="20"/>
        </w:rPr>
      </w:pPr>
    </w:p>
    <w:p w14:paraId="520B77B6"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i. Reconocimiento de ingresos:</w:t>
      </w:r>
    </w:p>
    <w:p w14:paraId="1CFC5617" w14:textId="77777777" w:rsidR="00AD46C7" w:rsidRPr="006A7328" w:rsidRDefault="00AD46C7" w:rsidP="007B11FB">
      <w:pPr>
        <w:autoSpaceDE w:val="0"/>
        <w:autoSpaceDN w:val="0"/>
        <w:adjustRightInd w:val="0"/>
        <w:spacing w:after="0" w:line="240" w:lineRule="auto"/>
        <w:jc w:val="both"/>
        <w:rPr>
          <w:rFonts w:ascii="Arial" w:hAnsi="Arial" w:cs="Arial"/>
          <w:sz w:val="20"/>
          <w:szCs w:val="20"/>
        </w:rPr>
      </w:pPr>
    </w:p>
    <w:p w14:paraId="177F6316" w14:textId="77777777" w:rsidR="007B11FB" w:rsidRPr="006A7328" w:rsidRDefault="007B11FB"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 xml:space="preserve">Los ingresos por las actividades del </w:t>
      </w:r>
      <w:r w:rsidR="006425BD">
        <w:rPr>
          <w:rFonts w:ascii="Arial" w:hAnsi="Arial" w:cs="Arial"/>
          <w:sz w:val="20"/>
          <w:szCs w:val="20"/>
        </w:rPr>
        <w:t>Fideicomiso</w:t>
      </w:r>
      <w:r w:rsidRPr="006A7328">
        <w:rPr>
          <w:rFonts w:ascii="Arial" w:hAnsi="Arial" w:cs="Arial"/>
          <w:sz w:val="20"/>
          <w:szCs w:val="20"/>
        </w:rPr>
        <w:t xml:space="preserve"> se reconocen en el resultado del ejercicio cuando se cumple lo siguiente:</w:t>
      </w:r>
    </w:p>
    <w:p w14:paraId="0D08F559"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2BB90D35" w14:textId="77777777" w:rsidR="007B11FB" w:rsidRPr="006A7328" w:rsidRDefault="00B869D6"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I</w:t>
      </w:r>
      <w:r w:rsidR="007B11FB" w:rsidRPr="006A7328">
        <w:rPr>
          <w:rFonts w:ascii="Arial" w:hAnsi="Arial" w:cs="Arial"/>
          <w:sz w:val="20"/>
          <w:szCs w:val="20"/>
        </w:rPr>
        <w:t>) Los ingresos por transferencias y aportaciones se reconocen en el momento en que se reciben y/o se devengan.</w:t>
      </w:r>
    </w:p>
    <w:p w14:paraId="753C74BB"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2B5718E7" w14:textId="77777777" w:rsidR="007B11FB" w:rsidRPr="006A7328" w:rsidRDefault="00B869D6"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II</w:t>
      </w:r>
      <w:r w:rsidR="007B11FB" w:rsidRPr="006A7328">
        <w:rPr>
          <w:rFonts w:ascii="Arial" w:hAnsi="Arial" w:cs="Arial"/>
          <w:sz w:val="20"/>
          <w:szCs w:val="20"/>
        </w:rPr>
        <w:t>) La ganancia en inversiones temporales, se reconocen cuando se devengan.</w:t>
      </w:r>
    </w:p>
    <w:p w14:paraId="47633035"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433D365F" w14:textId="77777777" w:rsidR="007B11FB" w:rsidRPr="00DF3484" w:rsidRDefault="00B869D6" w:rsidP="007B11FB">
      <w:pPr>
        <w:autoSpaceDE w:val="0"/>
        <w:autoSpaceDN w:val="0"/>
        <w:adjustRightInd w:val="0"/>
        <w:spacing w:after="0" w:line="240" w:lineRule="auto"/>
        <w:jc w:val="both"/>
        <w:rPr>
          <w:rFonts w:ascii="Arial" w:hAnsi="Arial" w:cs="Arial"/>
          <w:sz w:val="20"/>
          <w:szCs w:val="20"/>
        </w:rPr>
      </w:pPr>
      <w:r w:rsidRPr="006A7328">
        <w:rPr>
          <w:rFonts w:ascii="Arial" w:hAnsi="Arial" w:cs="Arial"/>
          <w:sz w:val="20"/>
          <w:szCs w:val="20"/>
        </w:rPr>
        <w:t>III</w:t>
      </w:r>
      <w:r w:rsidR="007B11FB" w:rsidRPr="006A7328">
        <w:rPr>
          <w:rFonts w:ascii="Arial" w:hAnsi="Arial" w:cs="Arial"/>
          <w:sz w:val="20"/>
          <w:szCs w:val="20"/>
        </w:rPr>
        <w:t xml:space="preserve">) Los ingresos por intereses se reconocen en el momento en que se devengan </w:t>
      </w:r>
      <w:proofErr w:type="gramStart"/>
      <w:r w:rsidR="007B11FB" w:rsidRPr="006A7328">
        <w:rPr>
          <w:rFonts w:ascii="Arial" w:hAnsi="Arial" w:cs="Arial"/>
          <w:sz w:val="20"/>
          <w:szCs w:val="20"/>
        </w:rPr>
        <w:t>de acuerdo a</w:t>
      </w:r>
      <w:proofErr w:type="gramEnd"/>
      <w:r w:rsidR="007B11FB" w:rsidRPr="006A7328">
        <w:rPr>
          <w:rFonts w:ascii="Arial" w:hAnsi="Arial" w:cs="Arial"/>
          <w:sz w:val="20"/>
          <w:szCs w:val="20"/>
        </w:rPr>
        <w:t xml:space="preserve"> los contratos respectivos.</w:t>
      </w:r>
    </w:p>
    <w:p w14:paraId="1E5BC18A" w14:textId="77777777" w:rsidR="00B869D6" w:rsidRPr="00DF3484" w:rsidRDefault="00B869D6" w:rsidP="007B11FB">
      <w:pPr>
        <w:autoSpaceDE w:val="0"/>
        <w:autoSpaceDN w:val="0"/>
        <w:adjustRightInd w:val="0"/>
        <w:spacing w:after="0" w:line="240" w:lineRule="auto"/>
        <w:jc w:val="both"/>
        <w:rPr>
          <w:rFonts w:ascii="Arial" w:hAnsi="Arial" w:cs="Arial"/>
          <w:sz w:val="20"/>
          <w:szCs w:val="20"/>
        </w:rPr>
      </w:pPr>
    </w:p>
    <w:p w14:paraId="411C9B9B"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j. Otras estimaciones para ingresos:</w:t>
      </w:r>
    </w:p>
    <w:p w14:paraId="018A664C" w14:textId="77777777" w:rsidR="00104B24" w:rsidRDefault="00104B24" w:rsidP="007B11FB">
      <w:pPr>
        <w:autoSpaceDE w:val="0"/>
        <w:autoSpaceDN w:val="0"/>
        <w:adjustRightInd w:val="0"/>
        <w:spacing w:after="0" w:line="240" w:lineRule="auto"/>
        <w:jc w:val="both"/>
        <w:rPr>
          <w:rFonts w:ascii="Arial" w:hAnsi="Arial" w:cs="Arial"/>
          <w:sz w:val="20"/>
          <w:szCs w:val="20"/>
        </w:rPr>
      </w:pPr>
    </w:p>
    <w:p w14:paraId="3583350C"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La estimación para castigo de cuentas por cobrar se reconoce con base en estudios realizados por la Administración de la Entidad y se considera suficiente para absorber pérdidas. Las aplicaciones a dicha estimación se reconocen conforme al grado de avance en la gestión de su recuperación.</w:t>
      </w:r>
    </w:p>
    <w:p w14:paraId="0596D31F" w14:textId="77777777" w:rsidR="00B869D6" w:rsidRPr="00DF3484" w:rsidRDefault="00B869D6" w:rsidP="007B11FB">
      <w:pPr>
        <w:autoSpaceDE w:val="0"/>
        <w:autoSpaceDN w:val="0"/>
        <w:adjustRightInd w:val="0"/>
        <w:spacing w:after="0" w:line="240" w:lineRule="auto"/>
        <w:jc w:val="both"/>
        <w:rPr>
          <w:rFonts w:ascii="Arial" w:hAnsi="Arial" w:cs="Arial"/>
          <w:sz w:val="20"/>
          <w:szCs w:val="20"/>
        </w:rPr>
      </w:pPr>
    </w:p>
    <w:p w14:paraId="062E0F54"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k. Cuentas de orden:</w:t>
      </w:r>
    </w:p>
    <w:p w14:paraId="300EAC6F" w14:textId="77777777" w:rsidR="00104B24" w:rsidRDefault="00104B24" w:rsidP="007B11FB">
      <w:pPr>
        <w:tabs>
          <w:tab w:val="left" w:leader="underscore" w:pos="9639"/>
        </w:tabs>
        <w:spacing w:after="0" w:line="240" w:lineRule="auto"/>
        <w:jc w:val="both"/>
        <w:rPr>
          <w:rFonts w:ascii="Arial" w:hAnsi="Arial" w:cs="Arial"/>
          <w:sz w:val="20"/>
          <w:szCs w:val="20"/>
        </w:rPr>
      </w:pPr>
    </w:p>
    <w:p w14:paraId="3DF9EA87" w14:textId="77777777" w:rsidR="007D1E76" w:rsidRPr="00DF3484" w:rsidRDefault="007B11FB" w:rsidP="007B11FB">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 xml:space="preserve">La Entidad lleva el control de las cuentas de orden </w:t>
      </w:r>
      <w:proofErr w:type="gramStart"/>
      <w:r w:rsidRPr="00DF3484">
        <w:rPr>
          <w:rFonts w:ascii="Arial" w:hAnsi="Arial" w:cs="Arial"/>
          <w:sz w:val="20"/>
          <w:szCs w:val="20"/>
        </w:rPr>
        <w:t>de acuerdo a</w:t>
      </w:r>
      <w:proofErr w:type="gramEnd"/>
      <w:r w:rsidRPr="00DF3484">
        <w:rPr>
          <w:rFonts w:ascii="Arial" w:hAnsi="Arial" w:cs="Arial"/>
          <w:sz w:val="20"/>
          <w:szCs w:val="20"/>
        </w:rPr>
        <w:t xml:space="preserve"> conceptos particulares de su operación.</w:t>
      </w:r>
    </w:p>
    <w:p w14:paraId="37A70C78"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1E961FC1"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b)</w:t>
      </w:r>
      <w:r w:rsidRPr="00DF3484">
        <w:rPr>
          <w:rFonts w:ascii="Arial" w:hAnsi="Arial" w:cs="Arial"/>
          <w:sz w:val="20"/>
          <w:szCs w:val="20"/>
        </w:rPr>
        <w:t xml:space="preserve"> Informar sobre la realización de operaciones en el extranjero y de sus efectos en la información financiera gubernamental:</w:t>
      </w:r>
    </w:p>
    <w:p w14:paraId="004CDF85" w14:textId="77777777" w:rsidR="007D1E76" w:rsidRPr="00DF3484" w:rsidRDefault="007B11FB"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2027B1D5"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2DDDFAEB"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c)</w:t>
      </w:r>
      <w:r w:rsidRPr="00DF3484">
        <w:rPr>
          <w:rFonts w:ascii="Arial" w:hAnsi="Arial" w:cs="Arial"/>
          <w:sz w:val="20"/>
          <w:szCs w:val="20"/>
        </w:rPr>
        <w:t xml:space="preserve"> Método de valuación de la inversión en acciones de Compañías subsidiarias no consolidadas y asociadas:</w:t>
      </w:r>
    </w:p>
    <w:p w14:paraId="37EFD69F" w14:textId="77777777" w:rsidR="007D1E76" w:rsidRPr="00DF3484" w:rsidRDefault="007B11FB"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07097605" w14:textId="77777777" w:rsidR="00B869D6" w:rsidRPr="00DF3484" w:rsidRDefault="00B869D6" w:rsidP="00CB41C4">
      <w:pPr>
        <w:tabs>
          <w:tab w:val="left" w:leader="underscore" w:pos="9639"/>
        </w:tabs>
        <w:spacing w:after="0" w:line="240" w:lineRule="auto"/>
        <w:jc w:val="both"/>
        <w:rPr>
          <w:rFonts w:ascii="Arial" w:hAnsi="Arial" w:cs="Arial"/>
          <w:sz w:val="20"/>
          <w:szCs w:val="20"/>
        </w:rPr>
      </w:pPr>
    </w:p>
    <w:p w14:paraId="110152A5"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d)</w:t>
      </w:r>
      <w:r w:rsidRPr="00DF3484">
        <w:rPr>
          <w:rFonts w:ascii="Arial" w:hAnsi="Arial" w:cs="Arial"/>
          <w:sz w:val="20"/>
          <w:szCs w:val="20"/>
        </w:rPr>
        <w:t xml:space="preserve"> Sistema y método de valuación de inventarios y costo de lo vendido:</w:t>
      </w:r>
    </w:p>
    <w:p w14:paraId="7ACC3996" w14:textId="77777777" w:rsidR="007D1E76" w:rsidRPr="00DF3484" w:rsidRDefault="007B11FB"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07CA31CC"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72E50DC9"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e)</w:t>
      </w:r>
      <w:r w:rsidRPr="00DF3484">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w:t>
      </w:r>
      <w:r w:rsidR="00E0334D">
        <w:rPr>
          <w:rFonts w:ascii="Arial" w:hAnsi="Arial" w:cs="Arial"/>
          <w:sz w:val="20"/>
          <w:szCs w:val="20"/>
        </w:rPr>
        <w:t>ficiarios actuales como futuros:</w:t>
      </w:r>
    </w:p>
    <w:p w14:paraId="584EDE71" w14:textId="77777777" w:rsidR="00C82F63" w:rsidRPr="00DF3484" w:rsidRDefault="00C82F63" w:rsidP="00CB41C4">
      <w:pPr>
        <w:tabs>
          <w:tab w:val="left" w:leader="underscore" w:pos="9639"/>
        </w:tabs>
        <w:spacing w:after="0" w:line="240" w:lineRule="auto"/>
        <w:jc w:val="both"/>
        <w:rPr>
          <w:rFonts w:ascii="Arial" w:hAnsi="Arial" w:cs="Arial"/>
          <w:sz w:val="20"/>
          <w:szCs w:val="20"/>
        </w:rPr>
      </w:pPr>
    </w:p>
    <w:p w14:paraId="64B869CB"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 xml:space="preserve">El valor presente de las obligaciones por pensiones depende de un número de premisas que se determinan sobre bases legales por despido, utilizando varios supuestos. Cualquier cambio a estos supuestos </w:t>
      </w:r>
      <w:r w:rsidR="00104B24">
        <w:rPr>
          <w:rFonts w:ascii="Arial" w:hAnsi="Arial" w:cs="Arial"/>
          <w:sz w:val="20"/>
          <w:szCs w:val="20"/>
        </w:rPr>
        <w:t xml:space="preserve">afectaría el pasivo reconocido. </w:t>
      </w:r>
      <w:r w:rsidRPr="00DF3484">
        <w:rPr>
          <w:rFonts w:ascii="Arial" w:hAnsi="Arial" w:cs="Arial"/>
          <w:sz w:val="20"/>
          <w:szCs w:val="20"/>
        </w:rPr>
        <w:t>Al cierre de cada mes se calcula sobre la base de finiquitar a cada empleado, base en el establecido en la</w:t>
      </w:r>
      <w:r w:rsidR="00104B24">
        <w:rPr>
          <w:rFonts w:ascii="Arial" w:hAnsi="Arial" w:cs="Arial"/>
          <w:sz w:val="20"/>
          <w:szCs w:val="20"/>
        </w:rPr>
        <w:t xml:space="preserve"> </w:t>
      </w:r>
      <w:r w:rsidRPr="00DF3484">
        <w:rPr>
          <w:rFonts w:ascii="Arial" w:hAnsi="Arial" w:cs="Arial"/>
          <w:sz w:val="20"/>
          <w:szCs w:val="20"/>
        </w:rPr>
        <w:t>Ley Federal del Trabajo, determinado sobre la base del sueldo por los días trabajados, lo siguiente:</w:t>
      </w:r>
    </w:p>
    <w:p w14:paraId="11BF7B4C"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lastRenderedPageBreak/>
        <w:t>Aguinaldo 45 días por año</w:t>
      </w:r>
    </w:p>
    <w:p w14:paraId="79E9D152"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Prima de antigüedad 12 días por año</w:t>
      </w:r>
    </w:p>
    <w:p w14:paraId="1A103845"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Indemnización 3 meses</w:t>
      </w:r>
    </w:p>
    <w:p w14:paraId="7B4B5DBE" w14:textId="77777777" w:rsidR="007B11FB" w:rsidRPr="00DF3484" w:rsidRDefault="007B11FB" w:rsidP="007B11FB">
      <w:pPr>
        <w:autoSpaceDE w:val="0"/>
        <w:autoSpaceDN w:val="0"/>
        <w:adjustRightInd w:val="0"/>
        <w:spacing w:after="0" w:line="240" w:lineRule="auto"/>
        <w:jc w:val="both"/>
        <w:rPr>
          <w:rFonts w:ascii="Arial" w:hAnsi="Arial" w:cs="Arial"/>
          <w:sz w:val="20"/>
          <w:szCs w:val="20"/>
        </w:rPr>
      </w:pPr>
      <w:r w:rsidRPr="00DF3484">
        <w:rPr>
          <w:rFonts w:ascii="Arial" w:hAnsi="Arial" w:cs="Arial"/>
          <w:sz w:val="20"/>
          <w:szCs w:val="20"/>
        </w:rPr>
        <w:t>Vacaciones 20 días por año</w:t>
      </w:r>
    </w:p>
    <w:p w14:paraId="15584873" w14:textId="77777777" w:rsidR="007D1E76" w:rsidRPr="00DF3484" w:rsidRDefault="007B11FB" w:rsidP="007B11FB">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Prima Vacacional 25% sobre el total de las percepciones otorgadas.</w:t>
      </w:r>
    </w:p>
    <w:p w14:paraId="76E01228"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0D257315"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f)</w:t>
      </w:r>
      <w:r w:rsidRPr="00DF3484">
        <w:rPr>
          <w:rFonts w:ascii="Arial" w:hAnsi="Arial" w:cs="Arial"/>
          <w:sz w:val="20"/>
          <w:szCs w:val="20"/>
        </w:rPr>
        <w:t xml:space="preserve"> Provisiones: objetiv</w:t>
      </w:r>
      <w:r w:rsidR="00E0334D">
        <w:rPr>
          <w:rFonts w:ascii="Arial" w:hAnsi="Arial" w:cs="Arial"/>
          <w:sz w:val="20"/>
          <w:szCs w:val="20"/>
        </w:rPr>
        <w:t>o de su creación, monto y plazo.</w:t>
      </w:r>
    </w:p>
    <w:p w14:paraId="70BCAB7E" w14:textId="77777777" w:rsidR="00104B24" w:rsidRDefault="00104B24" w:rsidP="00CB41C4">
      <w:pPr>
        <w:tabs>
          <w:tab w:val="left" w:leader="underscore" w:pos="9639"/>
        </w:tabs>
        <w:spacing w:after="0" w:line="240" w:lineRule="auto"/>
        <w:jc w:val="both"/>
        <w:rPr>
          <w:rFonts w:ascii="Arial" w:hAnsi="Arial" w:cs="Arial"/>
          <w:sz w:val="20"/>
          <w:szCs w:val="20"/>
          <w:lang w:eastAsia="es-MX"/>
        </w:rPr>
      </w:pPr>
    </w:p>
    <w:p w14:paraId="110BE9D3" w14:textId="77777777" w:rsidR="007D1E76" w:rsidRPr="00DF3484" w:rsidRDefault="007B11FB"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lang w:eastAsia="es-MX"/>
        </w:rPr>
        <w:t>Las provisiones de pasivo representan obligaciones presentes por eventos pasados en las que es probable (hay más posibilidad de que ocurra a que no ocurra) la salida de recursos económicos en el futuro. En el caso de provisiones a largo plazo, estas son descontadas a su valor presente y las modificaciones a las mismas por cambios en las tasas de descuento utilizadas,</w:t>
      </w:r>
      <w:r w:rsidR="00E0334D">
        <w:rPr>
          <w:rFonts w:ascii="Arial" w:hAnsi="Arial" w:cs="Arial"/>
          <w:sz w:val="20"/>
          <w:szCs w:val="20"/>
          <w:lang w:eastAsia="es-MX"/>
        </w:rPr>
        <w:t xml:space="preserve"> se reconocen en el estado de </w:t>
      </w:r>
      <w:r w:rsidRPr="00DF3484">
        <w:rPr>
          <w:rFonts w:ascii="Arial" w:hAnsi="Arial" w:cs="Arial"/>
          <w:sz w:val="20"/>
          <w:szCs w:val="20"/>
          <w:lang w:eastAsia="es-MX"/>
        </w:rPr>
        <w:t>actividades en el rubro de otros gastos y pérdidas extraordinarias.</w:t>
      </w:r>
    </w:p>
    <w:p w14:paraId="1116109B"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1687D2B1" w14:textId="77777777" w:rsidR="007D1E76"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g)</w:t>
      </w:r>
      <w:r w:rsidRPr="00DF3484">
        <w:rPr>
          <w:rFonts w:ascii="Arial" w:hAnsi="Arial" w:cs="Arial"/>
          <w:sz w:val="20"/>
          <w:szCs w:val="20"/>
        </w:rPr>
        <w:t xml:space="preserve"> Reservas: objetiv</w:t>
      </w:r>
      <w:r w:rsidR="00E0334D">
        <w:rPr>
          <w:rFonts w:ascii="Arial" w:hAnsi="Arial" w:cs="Arial"/>
          <w:sz w:val="20"/>
          <w:szCs w:val="20"/>
        </w:rPr>
        <w:t>o de su creación, monto y plazo.</w:t>
      </w:r>
    </w:p>
    <w:p w14:paraId="73AA959B" w14:textId="77777777" w:rsidR="00E62A88" w:rsidRPr="00DF3484" w:rsidRDefault="00E62A88" w:rsidP="00CB41C4">
      <w:pPr>
        <w:tabs>
          <w:tab w:val="left" w:leader="underscore" w:pos="9639"/>
        </w:tabs>
        <w:spacing w:after="0" w:line="240" w:lineRule="auto"/>
        <w:jc w:val="both"/>
        <w:rPr>
          <w:rFonts w:ascii="Arial" w:hAnsi="Arial" w:cs="Arial"/>
          <w:sz w:val="20"/>
          <w:szCs w:val="20"/>
        </w:rPr>
      </w:pPr>
    </w:p>
    <w:p w14:paraId="723A5C2F" w14:textId="77777777" w:rsidR="007B11FB" w:rsidRPr="00DF3484" w:rsidRDefault="007B11FB" w:rsidP="005C7689">
      <w:pPr>
        <w:jc w:val="both"/>
        <w:rPr>
          <w:rFonts w:ascii="Arial" w:hAnsi="Arial" w:cs="Arial"/>
          <w:sz w:val="20"/>
          <w:szCs w:val="20"/>
        </w:rPr>
      </w:pPr>
      <w:r w:rsidRPr="00DF3484">
        <w:rPr>
          <w:rFonts w:ascii="Arial" w:hAnsi="Arial" w:cs="Arial"/>
          <w:sz w:val="20"/>
          <w:szCs w:val="20"/>
          <w:lang w:eastAsia="es-MX"/>
        </w:rPr>
        <w:t xml:space="preserve">La estimación para castigo de cuentas por cobrar se reconoce con base en estudios realizados por la Administración de la Entidad y se considera suficiente para absorber pérdidas. Las aplicaciones a dicha estimación se reconocen conforme al grado de avance en la gestión de su recuperación. </w:t>
      </w:r>
      <w:r w:rsidRPr="00DF3484">
        <w:rPr>
          <w:rFonts w:ascii="Arial" w:hAnsi="Arial" w:cs="Arial"/>
          <w:sz w:val="20"/>
          <w:szCs w:val="20"/>
        </w:rPr>
        <w:t>La estimación citada, corresponde únicamente a la porción del principal e intereses vencidos, la cual se determina únicamente una vez al año a través de la calificación de la cartera conforme a la metodología autorizada por el Comité Técnico.</w:t>
      </w:r>
      <w:r w:rsidRPr="00DF3484">
        <w:rPr>
          <w:rFonts w:ascii="Arial" w:hAnsi="Arial" w:cs="Arial"/>
          <w:sz w:val="20"/>
          <w:szCs w:val="20"/>
          <w:lang w:eastAsia="es-MX"/>
        </w:rPr>
        <w:t xml:space="preserve"> </w:t>
      </w:r>
      <w:r w:rsidRPr="00DF3484">
        <w:rPr>
          <w:rFonts w:ascii="Arial" w:hAnsi="Arial" w:cs="Arial"/>
          <w:sz w:val="20"/>
          <w:szCs w:val="20"/>
        </w:rPr>
        <w:t>La calificación de cartera crediticia tiene como objetivo el determinar la calidad de los activos de crédito y su grado de recuperación, para a su vez determinar las reservas que deberán constituirse y contra las cuales se deberán aplicar los créditos irrecuperables, o las pérdidas derivadas de la falta de recuperación total de los mismos.</w:t>
      </w:r>
      <w:r w:rsidR="005C7689" w:rsidRPr="00DF3484">
        <w:rPr>
          <w:rFonts w:ascii="Arial" w:hAnsi="Arial" w:cs="Arial"/>
          <w:sz w:val="20"/>
          <w:szCs w:val="20"/>
        </w:rPr>
        <w:t xml:space="preserve"> </w:t>
      </w:r>
      <w:r w:rsidRPr="00DF3484">
        <w:rPr>
          <w:rFonts w:ascii="Arial" w:hAnsi="Arial" w:cs="Arial"/>
          <w:sz w:val="20"/>
          <w:szCs w:val="20"/>
        </w:rPr>
        <w:t>La metodología de calificación de cartera autorizada por el Comité Técnico consiste en las siguientes bases:</w:t>
      </w:r>
    </w:p>
    <w:p w14:paraId="43EF6119" w14:textId="77777777" w:rsidR="007B11FB" w:rsidRPr="00DF3484" w:rsidRDefault="007B11FB" w:rsidP="007B11FB">
      <w:pPr>
        <w:numPr>
          <w:ilvl w:val="0"/>
          <w:numId w:val="4"/>
        </w:numPr>
        <w:spacing w:after="0" w:line="240" w:lineRule="auto"/>
        <w:ind w:left="0" w:right="51" w:firstLine="0"/>
        <w:jc w:val="both"/>
        <w:rPr>
          <w:rFonts w:ascii="Arial" w:hAnsi="Arial" w:cs="Arial"/>
          <w:b/>
          <w:bCs/>
          <w:i/>
          <w:sz w:val="20"/>
          <w:szCs w:val="20"/>
        </w:rPr>
      </w:pPr>
      <w:r w:rsidRPr="00DF3484">
        <w:rPr>
          <w:rFonts w:ascii="Arial" w:hAnsi="Arial" w:cs="Arial"/>
          <w:b/>
          <w:bCs/>
          <w:i/>
          <w:sz w:val="20"/>
          <w:szCs w:val="20"/>
        </w:rPr>
        <w:t>Estratificación de la cartera</w:t>
      </w:r>
      <w:r w:rsidRPr="00DF3484">
        <w:rPr>
          <w:rFonts w:ascii="Arial" w:hAnsi="Arial" w:cs="Arial"/>
          <w:bCs/>
          <w:i/>
          <w:sz w:val="20"/>
          <w:szCs w:val="20"/>
        </w:rPr>
        <w:t xml:space="preserve"> -</w:t>
      </w:r>
      <w:r w:rsidRPr="00DF3484">
        <w:rPr>
          <w:rFonts w:ascii="Arial" w:hAnsi="Arial" w:cs="Arial"/>
          <w:b/>
          <w:bCs/>
          <w:i/>
          <w:sz w:val="20"/>
          <w:szCs w:val="20"/>
        </w:rPr>
        <w:t xml:space="preserve"> </w:t>
      </w:r>
      <w:r w:rsidRPr="00DF3484">
        <w:rPr>
          <w:rFonts w:ascii="Arial" w:hAnsi="Arial" w:cs="Arial"/>
          <w:sz w:val="20"/>
          <w:szCs w:val="20"/>
        </w:rPr>
        <w:t>Se estratificará la totalidad de la cartera en función al número de períodos que reporten incumplimiento de pago total o parcial a la fecha de la calificación, utilizando los datos de por lo menos los doce meses anteriores a dicha fecha y en el caso de cartera nueva, los disponibles en el momento de la calificación clasificándola conforme a lo siguiente:</w:t>
      </w:r>
    </w:p>
    <w:p w14:paraId="516CD6D2" w14:textId="77777777" w:rsidR="007B11FB" w:rsidRPr="00DF3484" w:rsidRDefault="007B11FB" w:rsidP="007B11FB">
      <w:pPr>
        <w:widowControl w:val="0"/>
        <w:tabs>
          <w:tab w:val="left" w:pos="867"/>
          <w:tab w:val="left" w:pos="1276"/>
        </w:tabs>
        <w:jc w:val="both"/>
        <w:rPr>
          <w:rFonts w:ascii="Arial" w:hAnsi="Arial" w:cs="Arial"/>
          <w:sz w:val="20"/>
          <w:szCs w:val="20"/>
        </w:rPr>
      </w:pPr>
    </w:p>
    <w:p w14:paraId="577A0EDA" w14:textId="77777777" w:rsidR="007B11FB" w:rsidRPr="00DF3484" w:rsidRDefault="007B11FB" w:rsidP="007B11FB">
      <w:pPr>
        <w:widowControl w:val="0"/>
        <w:numPr>
          <w:ilvl w:val="0"/>
          <w:numId w:val="6"/>
        </w:numPr>
        <w:tabs>
          <w:tab w:val="left" w:pos="867"/>
          <w:tab w:val="left" w:pos="1276"/>
        </w:tabs>
        <w:spacing w:after="0" w:line="240" w:lineRule="auto"/>
        <w:ind w:left="0" w:firstLine="0"/>
        <w:jc w:val="both"/>
        <w:rPr>
          <w:rFonts w:ascii="Arial" w:hAnsi="Arial" w:cs="Arial"/>
          <w:sz w:val="20"/>
          <w:szCs w:val="20"/>
        </w:rPr>
      </w:pPr>
      <w:r w:rsidRPr="00DF3484">
        <w:rPr>
          <w:rFonts w:ascii="Arial" w:hAnsi="Arial" w:cs="Arial"/>
          <w:b/>
          <w:bCs/>
          <w:sz w:val="20"/>
          <w:szCs w:val="20"/>
        </w:rPr>
        <w:t xml:space="preserve">Cartera sin garantía: </w:t>
      </w:r>
      <w:r w:rsidRPr="00DF3484">
        <w:rPr>
          <w:rFonts w:ascii="Arial" w:hAnsi="Arial" w:cs="Arial"/>
          <w:sz w:val="20"/>
          <w:szCs w:val="20"/>
        </w:rPr>
        <w:t xml:space="preserve">La Cartera Crediticia que no ha sido sujeta de una reestructuración como resultado del emproblemamiento de la misma, se provisionará con base en los porcentajes correspondientes de la columna que se identifica como "Créditos con reestructura", conforme </w:t>
      </w:r>
      <w:r w:rsidR="002565EE" w:rsidRPr="00DF3484">
        <w:rPr>
          <w:rFonts w:ascii="Arial" w:hAnsi="Arial" w:cs="Arial"/>
          <w:sz w:val="20"/>
          <w:szCs w:val="20"/>
        </w:rPr>
        <w:t>a la</w:t>
      </w:r>
      <w:r w:rsidRPr="00DF3484">
        <w:rPr>
          <w:rFonts w:ascii="Arial" w:hAnsi="Arial" w:cs="Arial"/>
          <w:sz w:val="20"/>
          <w:szCs w:val="20"/>
        </w:rPr>
        <w:t xml:space="preserve"> tabla prevista en el numeral II A de la metodología, en caso de no contar con reestructura se provisionará con base en los porcentajes de la columna que se identifica como “Créditos sin reestructura”.</w:t>
      </w:r>
    </w:p>
    <w:p w14:paraId="0098B5DD" w14:textId="77777777" w:rsidR="007B11FB" w:rsidRPr="00DF3484" w:rsidRDefault="007B11FB" w:rsidP="007B11FB">
      <w:pPr>
        <w:widowControl w:val="0"/>
        <w:tabs>
          <w:tab w:val="left" w:pos="867"/>
          <w:tab w:val="left" w:pos="1276"/>
        </w:tabs>
        <w:jc w:val="both"/>
        <w:rPr>
          <w:rFonts w:ascii="Arial" w:hAnsi="Arial" w:cs="Arial"/>
          <w:sz w:val="20"/>
          <w:szCs w:val="20"/>
        </w:rPr>
      </w:pPr>
    </w:p>
    <w:p w14:paraId="7D858BA4" w14:textId="77777777" w:rsidR="007B11FB" w:rsidRPr="00DF3484" w:rsidRDefault="007B11FB" w:rsidP="007B11FB">
      <w:pPr>
        <w:widowControl w:val="0"/>
        <w:numPr>
          <w:ilvl w:val="0"/>
          <w:numId w:val="6"/>
        </w:numPr>
        <w:tabs>
          <w:tab w:val="left" w:pos="867"/>
          <w:tab w:val="left" w:pos="1276"/>
        </w:tabs>
        <w:spacing w:after="0" w:line="240" w:lineRule="auto"/>
        <w:ind w:left="0" w:firstLine="0"/>
        <w:jc w:val="both"/>
        <w:rPr>
          <w:rFonts w:ascii="Arial" w:hAnsi="Arial" w:cs="Arial"/>
          <w:sz w:val="20"/>
          <w:szCs w:val="20"/>
        </w:rPr>
      </w:pPr>
      <w:r w:rsidRPr="00DF3484">
        <w:rPr>
          <w:rFonts w:ascii="Arial" w:hAnsi="Arial" w:cs="Arial"/>
          <w:b/>
          <w:bCs/>
          <w:sz w:val="20"/>
          <w:szCs w:val="20"/>
        </w:rPr>
        <w:t xml:space="preserve">Cartera con garantía: </w:t>
      </w:r>
      <w:r w:rsidRPr="00DF3484">
        <w:rPr>
          <w:rFonts w:ascii="Arial" w:hAnsi="Arial" w:cs="Arial"/>
          <w:sz w:val="20"/>
          <w:szCs w:val="20"/>
        </w:rPr>
        <w:t xml:space="preserve">La Cartera Crediticia que no ha sido sujeta de una reestructuración como resultado del emproblemamiento de la misma, se provisionará con base en los porcentajes correspondientes de la columna que se identifica como "Créditos con reestructura", conforme </w:t>
      </w:r>
      <w:r w:rsidR="002565EE" w:rsidRPr="00DF3484">
        <w:rPr>
          <w:rFonts w:ascii="Arial" w:hAnsi="Arial" w:cs="Arial"/>
          <w:sz w:val="20"/>
          <w:szCs w:val="20"/>
        </w:rPr>
        <w:t>a la</w:t>
      </w:r>
      <w:r w:rsidRPr="00DF3484">
        <w:rPr>
          <w:rFonts w:ascii="Arial" w:hAnsi="Arial" w:cs="Arial"/>
          <w:sz w:val="20"/>
          <w:szCs w:val="20"/>
        </w:rPr>
        <w:t xml:space="preserve"> tabla prevista en el numeral II B de la metodología, en caso de no contar con reestructura se provisionará con base en los porcentajes de la columna que se identifica como “Créditos sin reestructura”.</w:t>
      </w:r>
    </w:p>
    <w:p w14:paraId="074B00CD" w14:textId="77777777" w:rsidR="00C82F63" w:rsidRPr="00DF3484" w:rsidRDefault="00C82F63" w:rsidP="00C82F63">
      <w:pPr>
        <w:widowControl w:val="0"/>
        <w:tabs>
          <w:tab w:val="left" w:pos="867"/>
          <w:tab w:val="left" w:pos="1276"/>
        </w:tabs>
        <w:spacing w:after="0" w:line="240" w:lineRule="auto"/>
        <w:ind w:left="1418"/>
        <w:jc w:val="both"/>
        <w:rPr>
          <w:rFonts w:ascii="Arial" w:hAnsi="Arial" w:cs="Arial"/>
          <w:b/>
          <w:bCs/>
          <w:i/>
          <w:sz w:val="20"/>
          <w:szCs w:val="20"/>
        </w:rPr>
      </w:pPr>
    </w:p>
    <w:p w14:paraId="636A7EFA" w14:textId="77777777" w:rsidR="007B11FB" w:rsidRPr="00DF3484" w:rsidRDefault="007B11FB" w:rsidP="00C82F63">
      <w:pPr>
        <w:widowControl w:val="0"/>
        <w:tabs>
          <w:tab w:val="left" w:pos="867"/>
          <w:tab w:val="left" w:pos="1276"/>
        </w:tabs>
        <w:spacing w:after="0" w:line="240" w:lineRule="auto"/>
        <w:ind w:left="1418"/>
        <w:jc w:val="both"/>
        <w:rPr>
          <w:rFonts w:ascii="Arial" w:hAnsi="Arial" w:cs="Arial"/>
          <w:b/>
          <w:bCs/>
          <w:i/>
          <w:sz w:val="20"/>
          <w:szCs w:val="20"/>
        </w:rPr>
      </w:pPr>
      <w:r w:rsidRPr="00DF3484">
        <w:rPr>
          <w:rFonts w:ascii="Arial" w:hAnsi="Arial" w:cs="Arial"/>
          <w:b/>
          <w:bCs/>
          <w:i/>
          <w:sz w:val="20"/>
          <w:szCs w:val="20"/>
        </w:rPr>
        <w:t xml:space="preserve">Porcentaje de reserva </w:t>
      </w:r>
      <w:r w:rsidRPr="00DF3484">
        <w:rPr>
          <w:rFonts w:ascii="Arial" w:hAnsi="Arial" w:cs="Arial"/>
          <w:bCs/>
          <w:i/>
          <w:sz w:val="20"/>
          <w:szCs w:val="20"/>
        </w:rPr>
        <w:t>-</w:t>
      </w:r>
      <w:r w:rsidRPr="00DF3484">
        <w:rPr>
          <w:rFonts w:ascii="Arial" w:hAnsi="Arial" w:cs="Arial"/>
          <w:b/>
          <w:bCs/>
          <w:i/>
          <w:sz w:val="20"/>
          <w:szCs w:val="20"/>
        </w:rPr>
        <w:t xml:space="preserve"> </w:t>
      </w:r>
      <w:r w:rsidRPr="00DF3484">
        <w:rPr>
          <w:rFonts w:ascii="Arial" w:hAnsi="Arial" w:cs="Arial"/>
          <w:sz w:val="20"/>
          <w:szCs w:val="20"/>
        </w:rPr>
        <w:t xml:space="preserve">Para cada estrato se constituirán las reservas preventivas que resulten de aplicar a la totalidad del saldo de capital e interés vencido del crédito, a la fecha de la evaluación, el porcentaje que se señala, según el tipo de cartera, en </w:t>
      </w:r>
      <w:r w:rsidR="002565EE" w:rsidRPr="00DF3484">
        <w:rPr>
          <w:rFonts w:ascii="Arial" w:hAnsi="Arial" w:cs="Arial"/>
          <w:sz w:val="20"/>
          <w:szCs w:val="20"/>
        </w:rPr>
        <w:t>las tablas siguientes</w:t>
      </w:r>
      <w:r w:rsidRPr="00DF3484">
        <w:rPr>
          <w:rFonts w:ascii="Arial" w:hAnsi="Arial" w:cs="Arial"/>
          <w:sz w:val="20"/>
          <w:szCs w:val="20"/>
        </w:rPr>
        <w:t>:</w:t>
      </w:r>
    </w:p>
    <w:p w14:paraId="07963A1B" w14:textId="77777777" w:rsidR="007B11FB" w:rsidRDefault="007B11FB" w:rsidP="007B11FB">
      <w:pPr>
        <w:widowControl w:val="0"/>
        <w:tabs>
          <w:tab w:val="left" w:pos="867"/>
          <w:tab w:val="left" w:pos="1276"/>
        </w:tabs>
        <w:jc w:val="both"/>
        <w:rPr>
          <w:rFonts w:ascii="Arial" w:hAnsi="Arial" w:cs="Arial"/>
          <w:sz w:val="20"/>
          <w:szCs w:val="20"/>
        </w:rPr>
      </w:pPr>
    </w:p>
    <w:p w14:paraId="293FC5E6" w14:textId="77777777" w:rsidR="00D63E65" w:rsidRDefault="00D63E65" w:rsidP="007B11FB">
      <w:pPr>
        <w:widowControl w:val="0"/>
        <w:tabs>
          <w:tab w:val="left" w:pos="867"/>
          <w:tab w:val="left" w:pos="1276"/>
        </w:tabs>
        <w:jc w:val="both"/>
        <w:rPr>
          <w:rFonts w:ascii="Arial" w:hAnsi="Arial" w:cs="Arial"/>
          <w:sz w:val="20"/>
          <w:szCs w:val="20"/>
        </w:rPr>
      </w:pPr>
    </w:p>
    <w:p w14:paraId="0E97C2DA" w14:textId="77777777" w:rsidR="009B7F8C" w:rsidRPr="00DF3484" w:rsidRDefault="009B7F8C" w:rsidP="007B11FB">
      <w:pPr>
        <w:widowControl w:val="0"/>
        <w:tabs>
          <w:tab w:val="left" w:pos="867"/>
          <w:tab w:val="left" w:pos="1276"/>
        </w:tabs>
        <w:jc w:val="both"/>
        <w:rPr>
          <w:rFonts w:ascii="Arial" w:hAnsi="Arial" w:cs="Arial"/>
          <w:sz w:val="20"/>
          <w:szCs w:val="20"/>
        </w:rPr>
      </w:pPr>
    </w:p>
    <w:tbl>
      <w:tblPr>
        <w:tblW w:w="4164" w:type="dxa"/>
        <w:jc w:val="center"/>
        <w:tblCellMar>
          <w:left w:w="70" w:type="dxa"/>
          <w:right w:w="70" w:type="dxa"/>
        </w:tblCellMar>
        <w:tblLook w:val="04A0" w:firstRow="1" w:lastRow="0" w:firstColumn="1" w:lastColumn="0" w:noHBand="0" w:noVBand="1"/>
      </w:tblPr>
      <w:tblGrid>
        <w:gridCol w:w="1094"/>
        <w:gridCol w:w="1510"/>
        <w:gridCol w:w="1560"/>
      </w:tblGrid>
      <w:tr w:rsidR="007B11FB" w:rsidRPr="00DF3484" w14:paraId="30C2AA36" w14:textId="77777777" w:rsidTr="009663F0">
        <w:trPr>
          <w:trHeight w:val="255"/>
          <w:jc w:val="center"/>
        </w:trPr>
        <w:tc>
          <w:tcPr>
            <w:tcW w:w="4164" w:type="dxa"/>
            <w:gridSpan w:val="3"/>
            <w:shd w:val="clear" w:color="auto" w:fill="auto"/>
            <w:vAlign w:val="center"/>
            <w:hideMark/>
          </w:tcPr>
          <w:p w14:paraId="6F1AE4CF" w14:textId="77777777" w:rsidR="00BE7E31" w:rsidRDefault="00BE7E31" w:rsidP="009663F0">
            <w:pPr>
              <w:jc w:val="both"/>
              <w:rPr>
                <w:rFonts w:ascii="Arial" w:hAnsi="Arial" w:cs="Arial"/>
                <w:b/>
                <w:bCs/>
                <w:iCs/>
                <w:color w:val="000000"/>
                <w:sz w:val="20"/>
                <w:szCs w:val="20"/>
                <w:lang w:eastAsia="es-MX"/>
              </w:rPr>
            </w:pPr>
          </w:p>
          <w:p w14:paraId="75C8BB34"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sin Garantía</w:t>
            </w:r>
          </w:p>
        </w:tc>
      </w:tr>
      <w:tr w:rsidR="007B11FB" w:rsidRPr="00DF3484" w14:paraId="5D47DA44" w14:textId="77777777" w:rsidTr="009663F0">
        <w:trPr>
          <w:trHeight w:val="420"/>
          <w:jc w:val="center"/>
        </w:trPr>
        <w:tc>
          <w:tcPr>
            <w:tcW w:w="1094" w:type="dxa"/>
            <w:shd w:val="clear" w:color="auto" w:fill="auto"/>
            <w:vAlign w:val="center"/>
            <w:hideMark/>
          </w:tcPr>
          <w:p w14:paraId="370897E2"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Meses vencidos</w:t>
            </w:r>
          </w:p>
        </w:tc>
        <w:tc>
          <w:tcPr>
            <w:tcW w:w="1510" w:type="dxa"/>
            <w:shd w:val="clear" w:color="auto" w:fill="auto"/>
            <w:vAlign w:val="center"/>
            <w:hideMark/>
          </w:tcPr>
          <w:p w14:paraId="5FB790C4"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sin reestructurar</w:t>
            </w:r>
          </w:p>
        </w:tc>
        <w:tc>
          <w:tcPr>
            <w:tcW w:w="1560" w:type="dxa"/>
            <w:shd w:val="clear" w:color="auto" w:fill="auto"/>
            <w:vAlign w:val="center"/>
            <w:hideMark/>
          </w:tcPr>
          <w:p w14:paraId="20399CFA"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con reestructura</w:t>
            </w:r>
          </w:p>
        </w:tc>
      </w:tr>
      <w:tr w:rsidR="007B11FB" w:rsidRPr="00DF3484" w14:paraId="1DFF6D4E" w14:textId="77777777" w:rsidTr="009663F0">
        <w:trPr>
          <w:trHeight w:val="255"/>
          <w:jc w:val="center"/>
        </w:trPr>
        <w:tc>
          <w:tcPr>
            <w:tcW w:w="1094" w:type="dxa"/>
            <w:shd w:val="clear" w:color="auto" w:fill="auto"/>
            <w:noWrap/>
            <w:vAlign w:val="bottom"/>
            <w:hideMark/>
          </w:tcPr>
          <w:p w14:paraId="288D4C6E"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0</w:t>
            </w:r>
          </w:p>
        </w:tc>
        <w:tc>
          <w:tcPr>
            <w:tcW w:w="1510" w:type="dxa"/>
            <w:shd w:val="clear" w:color="auto" w:fill="auto"/>
            <w:noWrap/>
            <w:vAlign w:val="bottom"/>
            <w:hideMark/>
          </w:tcPr>
          <w:p w14:paraId="4FB9D6C0"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c>
          <w:tcPr>
            <w:tcW w:w="1560" w:type="dxa"/>
            <w:shd w:val="clear" w:color="auto" w:fill="auto"/>
            <w:noWrap/>
            <w:vAlign w:val="bottom"/>
            <w:hideMark/>
          </w:tcPr>
          <w:p w14:paraId="277065D5"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r>
      <w:tr w:rsidR="007B11FB" w:rsidRPr="00DF3484" w14:paraId="74B5FD3F" w14:textId="77777777" w:rsidTr="009663F0">
        <w:trPr>
          <w:trHeight w:val="255"/>
          <w:jc w:val="center"/>
        </w:trPr>
        <w:tc>
          <w:tcPr>
            <w:tcW w:w="1094" w:type="dxa"/>
            <w:shd w:val="clear" w:color="auto" w:fill="auto"/>
            <w:noWrap/>
            <w:vAlign w:val="bottom"/>
            <w:hideMark/>
          </w:tcPr>
          <w:p w14:paraId="6B110367"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1</w:t>
            </w:r>
          </w:p>
        </w:tc>
        <w:tc>
          <w:tcPr>
            <w:tcW w:w="1510" w:type="dxa"/>
            <w:shd w:val="clear" w:color="auto" w:fill="auto"/>
            <w:noWrap/>
            <w:vAlign w:val="bottom"/>
            <w:hideMark/>
          </w:tcPr>
          <w:p w14:paraId="06BC7DDC"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c>
          <w:tcPr>
            <w:tcW w:w="1560" w:type="dxa"/>
            <w:shd w:val="clear" w:color="auto" w:fill="auto"/>
            <w:noWrap/>
            <w:vAlign w:val="bottom"/>
            <w:hideMark/>
          </w:tcPr>
          <w:p w14:paraId="083502B8"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10%</w:t>
            </w:r>
          </w:p>
        </w:tc>
      </w:tr>
      <w:tr w:rsidR="007B11FB" w:rsidRPr="00DF3484" w14:paraId="64CF7B67" w14:textId="77777777" w:rsidTr="009663F0">
        <w:trPr>
          <w:trHeight w:val="255"/>
          <w:jc w:val="center"/>
        </w:trPr>
        <w:tc>
          <w:tcPr>
            <w:tcW w:w="1094" w:type="dxa"/>
            <w:shd w:val="clear" w:color="auto" w:fill="auto"/>
            <w:noWrap/>
            <w:vAlign w:val="bottom"/>
            <w:hideMark/>
          </w:tcPr>
          <w:p w14:paraId="04C140C4"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2</w:t>
            </w:r>
          </w:p>
        </w:tc>
        <w:tc>
          <w:tcPr>
            <w:tcW w:w="1510" w:type="dxa"/>
            <w:shd w:val="clear" w:color="auto" w:fill="auto"/>
            <w:noWrap/>
            <w:vAlign w:val="bottom"/>
            <w:hideMark/>
          </w:tcPr>
          <w:p w14:paraId="04DE61D1"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5%</w:t>
            </w:r>
          </w:p>
        </w:tc>
        <w:tc>
          <w:tcPr>
            <w:tcW w:w="1560" w:type="dxa"/>
            <w:shd w:val="clear" w:color="auto" w:fill="auto"/>
            <w:noWrap/>
            <w:vAlign w:val="bottom"/>
            <w:hideMark/>
          </w:tcPr>
          <w:p w14:paraId="625B54C2"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15%</w:t>
            </w:r>
          </w:p>
        </w:tc>
      </w:tr>
      <w:tr w:rsidR="007B11FB" w:rsidRPr="00DF3484" w14:paraId="037C1A71" w14:textId="77777777" w:rsidTr="009663F0">
        <w:trPr>
          <w:trHeight w:val="255"/>
          <w:jc w:val="center"/>
        </w:trPr>
        <w:tc>
          <w:tcPr>
            <w:tcW w:w="1094" w:type="dxa"/>
            <w:shd w:val="clear" w:color="auto" w:fill="auto"/>
            <w:noWrap/>
            <w:vAlign w:val="bottom"/>
            <w:hideMark/>
          </w:tcPr>
          <w:p w14:paraId="06BE11F6"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3</w:t>
            </w:r>
          </w:p>
        </w:tc>
        <w:tc>
          <w:tcPr>
            <w:tcW w:w="1510" w:type="dxa"/>
            <w:shd w:val="clear" w:color="auto" w:fill="auto"/>
            <w:noWrap/>
            <w:vAlign w:val="bottom"/>
            <w:hideMark/>
          </w:tcPr>
          <w:p w14:paraId="44C3C14A"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10%</w:t>
            </w:r>
          </w:p>
        </w:tc>
        <w:tc>
          <w:tcPr>
            <w:tcW w:w="1560" w:type="dxa"/>
            <w:shd w:val="clear" w:color="auto" w:fill="auto"/>
            <w:noWrap/>
            <w:vAlign w:val="bottom"/>
            <w:hideMark/>
          </w:tcPr>
          <w:p w14:paraId="24DB1332"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25%</w:t>
            </w:r>
          </w:p>
        </w:tc>
      </w:tr>
      <w:tr w:rsidR="007B11FB" w:rsidRPr="00DF3484" w14:paraId="4C229972" w14:textId="77777777" w:rsidTr="009663F0">
        <w:trPr>
          <w:trHeight w:val="255"/>
          <w:jc w:val="center"/>
        </w:trPr>
        <w:tc>
          <w:tcPr>
            <w:tcW w:w="1094" w:type="dxa"/>
            <w:shd w:val="clear" w:color="auto" w:fill="auto"/>
            <w:noWrap/>
            <w:vAlign w:val="bottom"/>
            <w:hideMark/>
          </w:tcPr>
          <w:p w14:paraId="4B0F1A25"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4</w:t>
            </w:r>
          </w:p>
        </w:tc>
        <w:tc>
          <w:tcPr>
            <w:tcW w:w="1510" w:type="dxa"/>
            <w:shd w:val="clear" w:color="auto" w:fill="auto"/>
            <w:noWrap/>
            <w:vAlign w:val="bottom"/>
            <w:hideMark/>
          </w:tcPr>
          <w:p w14:paraId="1D6AE705"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20%</w:t>
            </w:r>
          </w:p>
        </w:tc>
        <w:tc>
          <w:tcPr>
            <w:tcW w:w="1560" w:type="dxa"/>
            <w:shd w:val="clear" w:color="auto" w:fill="auto"/>
            <w:noWrap/>
            <w:vAlign w:val="bottom"/>
            <w:hideMark/>
          </w:tcPr>
          <w:p w14:paraId="292D5BAC"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35%</w:t>
            </w:r>
          </w:p>
        </w:tc>
      </w:tr>
      <w:tr w:rsidR="007B11FB" w:rsidRPr="00DF3484" w14:paraId="099A2EB7" w14:textId="77777777" w:rsidTr="009663F0">
        <w:trPr>
          <w:trHeight w:val="255"/>
          <w:jc w:val="center"/>
        </w:trPr>
        <w:tc>
          <w:tcPr>
            <w:tcW w:w="1094" w:type="dxa"/>
            <w:shd w:val="clear" w:color="auto" w:fill="auto"/>
            <w:noWrap/>
            <w:vAlign w:val="bottom"/>
            <w:hideMark/>
          </w:tcPr>
          <w:p w14:paraId="66657A96"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5</w:t>
            </w:r>
          </w:p>
        </w:tc>
        <w:tc>
          <w:tcPr>
            <w:tcW w:w="1510" w:type="dxa"/>
            <w:shd w:val="clear" w:color="auto" w:fill="auto"/>
            <w:noWrap/>
            <w:vAlign w:val="bottom"/>
            <w:hideMark/>
          </w:tcPr>
          <w:p w14:paraId="5E1CB3F7"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30%</w:t>
            </w:r>
          </w:p>
        </w:tc>
        <w:tc>
          <w:tcPr>
            <w:tcW w:w="1560" w:type="dxa"/>
            <w:shd w:val="clear" w:color="auto" w:fill="auto"/>
            <w:noWrap/>
            <w:vAlign w:val="bottom"/>
            <w:hideMark/>
          </w:tcPr>
          <w:p w14:paraId="0E310504"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50%</w:t>
            </w:r>
          </w:p>
        </w:tc>
      </w:tr>
      <w:tr w:rsidR="007B11FB" w:rsidRPr="00DF3484" w14:paraId="4AB0D287" w14:textId="77777777" w:rsidTr="009663F0">
        <w:trPr>
          <w:trHeight w:val="255"/>
          <w:jc w:val="center"/>
        </w:trPr>
        <w:tc>
          <w:tcPr>
            <w:tcW w:w="1094" w:type="dxa"/>
            <w:shd w:val="clear" w:color="auto" w:fill="auto"/>
            <w:noWrap/>
            <w:vAlign w:val="bottom"/>
            <w:hideMark/>
          </w:tcPr>
          <w:p w14:paraId="7AFEE829"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6 o más</w:t>
            </w:r>
          </w:p>
        </w:tc>
        <w:tc>
          <w:tcPr>
            <w:tcW w:w="1510" w:type="dxa"/>
            <w:shd w:val="clear" w:color="auto" w:fill="auto"/>
            <w:noWrap/>
            <w:vAlign w:val="bottom"/>
            <w:hideMark/>
          </w:tcPr>
          <w:p w14:paraId="201D6A40"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50%</w:t>
            </w:r>
          </w:p>
        </w:tc>
        <w:tc>
          <w:tcPr>
            <w:tcW w:w="1560" w:type="dxa"/>
            <w:shd w:val="clear" w:color="auto" w:fill="auto"/>
            <w:noWrap/>
            <w:vAlign w:val="bottom"/>
            <w:hideMark/>
          </w:tcPr>
          <w:p w14:paraId="2381EEBF"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80%</w:t>
            </w:r>
          </w:p>
        </w:tc>
      </w:tr>
    </w:tbl>
    <w:p w14:paraId="7C896745" w14:textId="77777777" w:rsidR="007B11FB" w:rsidRPr="00DF3484" w:rsidRDefault="007B11FB" w:rsidP="007B11FB">
      <w:pPr>
        <w:widowControl w:val="0"/>
        <w:tabs>
          <w:tab w:val="left" w:pos="867"/>
          <w:tab w:val="left" w:pos="1276"/>
        </w:tabs>
        <w:jc w:val="both"/>
        <w:rPr>
          <w:rFonts w:ascii="Arial" w:hAnsi="Arial" w:cs="Arial"/>
          <w:b/>
          <w:sz w:val="20"/>
          <w:szCs w:val="20"/>
        </w:rPr>
      </w:pPr>
    </w:p>
    <w:tbl>
      <w:tblPr>
        <w:tblW w:w="3720" w:type="dxa"/>
        <w:jc w:val="center"/>
        <w:tblCellMar>
          <w:left w:w="70" w:type="dxa"/>
          <w:right w:w="70" w:type="dxa"/>
        </w:tblCellMar>
        <w:tblLook w:val="04A0" w:firstRow="1" w:lastRow="0" w:firstColumn="1" w:lastColumn="0" w:noHBand="0" w:noVBand="1"/>
      </w:tblPr>
      <w:tblGrid>
        <w:gridCol w:w="1007"/>
        <w:gridCol w:w="1386"/>
        <w:gridCol w:w="1460"/>
      </w:tblGrid>
      <w:tr w:rsidR="007B11FB" w:rsidRPr="00DF3484" w14:paraId="7C293A38" w14:textId="77777777" w:rsidTr="009663F0">
        <w:trPr>
          <w:trHeight w:val="255"/>
          <w:jc w:val="center"/>
        </w:trPr>
        <w:tc>
          <w:tcPr>
            <w:tcW w:w="3720" w:type="dxa"/>
            <w:gridSpan w:val="3"/>
            <w:shd w:val="clear" w:color="auto" w:fill="auto"/>
            <w:vAlign w:val="center"/>
            <w:hideMark/>
          </w:tcPr>
          <w:p w14:paraId="3E4BC74A"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con Garantía</w:t>
            </w:r>
          </w:p>
        </w:tc>
      </w:tr>
      <w:tr w:rsidR="007B11FB" w:rsidRPr="00DF3484" w14:paraId="18A18023" w14:textId="77777777" w:rsidTr="009663F0">
        <w:trPr>
          <w:trHeight w:val="420"/>
          <w:jc w:val="center"/>
        </w:trPr>
        <w:tc>
          <w:tcPr>
            <w:tcW w:w="960" w:type="dxa"/>
            <w:shd w:val="clear" w:color="auto" w:fill="auto"/>
            <w:vAlign w:val="center"/>
            <w:hideMark/>
          </w:tcPr>
          <w:p w14:paraId="54AB7C77"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Meses vencidos</w:t>
            </w:r>
          </w:p>
        </w:tc>
        <w:tc>
          <w:tcPr>
            <w:tcW w:w="1300" w:type="dxa"/>
            <w:shd w:val="clear" w:color="auto" w:fill="auto"/>
            <w:vAlign w:val="center"/>
            <w:hideMark/>
          </w:tcPr>
          <w:p w14:paraId="51D2C077"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sin reestructurar</w:t>
            </w:r>
          </w:p>
        </w:tc>
        <w:tc>
          <w:tcPr>
            <w:tcW w:w="1460" w:type="dxa"/>
            <w:shd w:val="clear" w:color="auto" w:fill="auto"/>
            <w:vAlign w:val="center"/>
            <w:hideMark/>
          </w:tcPr>
          <w:p w14:paraId="1D2E69E7" w14:textId="77777777" w:rsidR="007B11FB" w:rsidRPr="00DF3484" w:rsidRDefault="007B11FB" w:rsidP="009663F0">
            <w:pPr>
              <w:jc w:val="both"/>
              <w:rPr>
                <w:rFonts w:ascii="Arial" w:hAnsi="Arial" w:cs="Arial"/>
                <w:b/>
                <w:bCs/>
                <w:iCs/>
                <w:color w:val="000000"/>
                <w:sz w:val="20"/>
                <w:szCs w:val="20"/>
                <w:lang w:eastAsia="es-MX"/>
              </w:rPr>
            </w:pPr>
            <w:r w:rsidRPr="00DF3484">
              <w:rPr>
                <w:rFonts w:ascii="Arial" w:hAnsi="Arial" w:cs="Arial"/>
                <w:b/>
                <w:bCs/>
                <w:iCs/>
                <w:color w:val="000000"/>
                <w:sz w:val="20"/>
                <w:szCs w:val="20"/>
                <w:lang w:eastAsia="es-MX"/>
              </w:rPr>
              <w:t>Créditos con reestructura</w:t>
            </w:r>
          </w:p>
        </w:tc>
      </w:tr>
      <w:tr w:rsidR="007B11FB" w:rsidRPr="00DF3484" w14:paraId="0795F821" w14:textId="77777777" w:rsidTr="009663F0">
        <w:trPr>
          <w:trHeight w:val="255"/>
          <w:jc w:val="center"/>
        </w:trPr>
        <w:tc>
          <w:tcPr>
            <w:tcW w:w="960" w:type="dxa"/>
            <w:shd w:val="clear" w:color="auto" w:fill="auto"/>
            <w:noWrap/>
            <w:vAlign w:val="bottom"/>
            <w:hideMark/>
          </w:tcPr>
          <w:p w14:paraId="06BD818E"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0</w:t>
            </w:r>
          </w:p>
        </w:tc>
        <w:tc>
          <w:tcPr>
            <w:tcW w:w="1300" w:type="dxa"/>
            <w:shd w:val="clear" w:color="auto" w:fill="auto"/>
            <w:noWrap/>
            <w:vAlign w:val="bottom"/>
            <w:hideMark/>
          </w:tcPr>
          <w:p w14:paraId="2F1FD8F6"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c>
          <w:tcPr>
            <w:tcW w:w="1460" w:type="dxa"/>
            <w:shd w:val="clear" w:color="auto" w:fill="auto"/>
            <w:noWrap/>
            <w:vAlign w:val="bottom"/>
            <w:hideMark/>
          </w:tcPr>
          <w:p w14:paraId="73D32DEE"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0%</w:t>
            </w:r>
          </w:p>
        </w:tc>
      </w:tr>
      <w:tr w:rsidR="007B11FB" w:rsidRPr="00DF3484" w14:paraId="6E1173DD" w14:textId="77777777" w:rsidTr="009663F0">
        <w:trPr>
          <w:trHeight w:val="255"/>
          <w:jc w:val="center"/>
        </w:trPr>
        <w:tc>
          <w:tcPr>
            <w:tcW w:w="960" w:type="dxa"/>
            <w:shd w:val="clear" w:color="auto" w:fill="auto"/>
            <w:noWrap/>
            <w:vAlign w:val="bottom"/>
            <w:hideMark/>
          </w:tcPr>
          <w:p w14:paraId="1F5CB66C"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1</w:t>
            </w:r>
          </w:p>
        </w:tc>
        <w:tc>
          <w:tcPr>
            <w:tcW w:w="1300" w:type="dxa"/>
            <w:shd w:val="clear" w:color="auto" w:fill="auto"/>
            <w:noWrap/>
            <w:vAlign w:val="bottom"/>
            <w:hideMark/>
          </w:tcPr>
          <w:p w14:paraId="42CF1C0F"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5%</w:t>
            </w:r>
          </w:p>
        </w:tc>
        <w:tc>
          <w:tcPr>
            <w:tcW w:w="1460" w:type="dxa"/>
            <w:shd w:val="clear" w:color="auto" w:fill="auto"/>
            <w:noWrap/>
            <w:vAlign w:val="bottom"/>
            <w:hideMark/>
          </w:tcPr>
          <w:p w14:paraId="1E744896"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10%</w:t>
            </w:r>
          </w:p>
        </w:tc>
      </w:tr>
      <w:tr w:rsidR="007B11FB" w:rsidRPr="00DF3484" w14:paraId="34085C4A" w14:textId="77777777" w:rsidTr="009663F0">
        <w:trPr>
          <w:trHeight w:val="255"/>
          <w:jc w:val="center"/>
        </w:trPr>
        <w:tc>
          <w:tcPr>
            <w:tcW w:w="960" w:type="dxa"/>
            <w:shd w:val="clear" w:color="auto" w:fill="auto"/>
            <w:noWrap/>
            <w:vAlign w:val="bottom"/>
            <w:hideMark/>
          </w:tcPr>
          <w:p w14:paraId="2E96C92A"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2</w:t>
            </w:r>
          </w:p>
        </w:tc>
        <w:tc>
          <w:tcPr>
            <w:tcW w:w="1300" w:type="dxa"/>
            <w:shd w:val="clear" w:color="auto" w:fill="auto"/>
            <w:noWrap/>
            <w:vAlign w:val="bottom"/>
            <w:hideMark/>
          </w:tcPr>
          <w:p w14:paraId="69B02F0A"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10%</w:t>
            </w:r>
          </w:p>
        </w:tc>
        <w:tc>
          <w:tcPr>
            <w:tcW w:w="1460" w:type="dxa"/>
            <w:shd w:val="clear" w:color="auto" w:fill="auto"/>
            <w:noWrap/>
            <w:vAlign w:val="bottom"/>
            <w:hideMark/>
          </w:tcPr>
          <w:p w14:paraId="27098A38"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15%</w:t>
            </w:r>
          </w:p>
        </w:tc>
      </w:tr>
      <w:tr w:rsidR="007B11FB" w:rsidRPr="00DF3484" w14:paraId="2691FEE2" w14:textId="77777777" w:rsidTr="009663F0">
        <w:trPr>
          <w:trHeight w:val="255"/>
          <w:jc w:val="center"/>
        </w:trPr>
        <w:tc>
          <w:tcPr>
            <w:tcW w:w="960" w:type="dxa"/>
            <w:shd w:val="clear" w:color="auto" w:fill="auto"/>
            <w:noWrap/>
            <w:vAlign w:val="bottom"/>
            <w:hideMark/>
          </w:tcPr>
          <w:p w14:paraId="3FC94379"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3</w:t>
            </w:r>
          </w:p>
        </w:tc>
        <w:tc>
          <w:tcPr>
            <w:tcW w:w="1300" w:type="dxa"/>
            <w:shd w:val="clear" w:color="auto" w:fill="auto"/>
            <w:noWrap/>
            <w:vAlign w:val="bottom"/>
            <w:hideMark/>
          </w:tcPr>
          <w:p w14:paraId="272E4277"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15%</w:t>
            </w:r>
          </w:p>
        </w:tc>
        <w:tc>
          <w:tcPr>
            <w:tcW w:w="1460" w:type="dxa"/>
            <w:shd w:val="clear" w:color="auto" w:fill="auto"/>
            <w:noWrap/>
            <w:vAlign w:val="bottom"/>
            <w:hideMark/>
          </w:tcPr>
          <w:p w14:paraId="34B889FA"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20%</w:t>
            </w:r>
          </w:p>
        </w:tc>
      </w:tr>
      <w:tr w:rsidR="007B11FB" w:rsidRPr="00DF3484" w14:paraId="66EF3C7E" w14:textId="77777777" w:rsidTr="009663F0">
        <w:trPr>
          <w:trHeight w:val="255"/>
          <w:jc w:val="center"/>
        </w:trPr>
        <w:tc>
          <w:tcPr>
            <w:tcW w:w="960" w:type="dxa"/>
            <w:shd w:val="clear" w:color="auto" w:fill="auto"/>
            <w:noWrap/>
            <w:vAlign w:val="bottom"/>
            <w:hideMark/>
          </w:tcPr>
          <w:p w14:paraId="49EBED62"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4</w:t>
            </w:r>
          </w:p>
        </w:tc>
        <w:tc>
          <w:tcPr>
            <w:tcW w:w="1300" w:type="dxa"/>
            <w:shd w:val="clear" w:color="auto" w:fill="auto"/>
            <w:noWrap/>
            <w:vAlign w:val="bottom"/>
            <w:hideMark/>
          </w:tcPr>
          <w:p w14:paraId="7AFE94CD"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20%</w:t>
            </w:r>
          </w:p>
        </w:tc>
        <w:tc>
          <w:tcPr>
            <w:tcW w:w="1460" w:type="dxa"/>
            <w:shd w:val="clear" w:color="auto" w:fill="auto"/>
            <w:noWrap/>
            <w:vAlign w:val="bottom"/>
            <w:hideMark/>
          </w:tcPr>
          <w:p w14:paraId="139F7243"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30%</w:t>
            </w:r>
          </w:p>
        </w:tc>
      </w:tr>
      <w:tr w:rsidR="007B11FB" w:rsidRPr="00DF3484" w14:paraId="02A1302D" w14:textId="77777777" w:rsidTr="009663F0">
        <w:trPr>
          <w:trHeight w:val="255"/>
          <w:jc w:val="center"/>
        </w:trPr>
        <w:tc>
          <w:tcPr>
            <w:tcW w:w="960" w:type="dxa"/>
            <w:shd w:val="clear" w:color="auto" w:fill="auto"/>
            <w:noWrap/>
            <w:vAlign w:val="bottom"/>
            <w:hideMark/>
          </w:tcPr>
          <w:p w14:paraId="02F0AAE8"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5</w:t>
            </w:r>
          </w:p>
        </w:tc>
        <w:tc>
          <w:tcPr>
            <w:tcW w:w="1300" w:type="dxa"/>
            <w:shd w:val="clear" w:color="auto" w:fill="auto"/>
            <w:noWrap/>
            <w:vAlign w:val="bottom"/>
            <w:hideMark/>
          </w:tcPr>
          <w:p w14:paraId="65D946CB"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30%</w:t>
            </w:r>
          </w:p>
        </w:tc>
        <w:tc>
          <w:tcPr>
            <w:tcW w:w="1460" w:type="dxa"/>
            <w:shd w:val="clear" w:color="auto" w:fill="auto"/>
            <w:noWrap/>
            <w:vAlign w:val="bottom"/>
            <w:hideMark/>
          </w:tcPr>
          <w:p w14:paraId="5B7DC2A6"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40%</w:t>
            </w:r>
          </w:p>
        </w:tc>
      </w:tr>
      <w:tr w:rsidR="007B11FB" w:rsidRPr="00DF3484" w14:paraId="55338584" w14:textId="77777777" w:rsidTr="009663F0">
        <w:trPr>
          <w:trHeight w:val="255"/>
          <w:jc w:val="center"/>
        </w:trPr>
        <w:tc>
          <w:tcPr>
            <w:tcW w:w="960" w:type="dxa"/>
            <w:shd w:val="clear" w:color="auto" w:fill="auto"/>
            <w:noWrap/>
            <w:vAlign w:val="bottom"/>
            <w:hideMark/>
          </w:tcPr>
          <w:p w14:paraId="7CC1E7F7" w14:textId="77777777" w:rsidR="007B11FB" w:rsidRPr="00DF3484" w:rsidRDefault="007B11FB" w:rsidP="009663F0">
            <w:pPr>
              <w:jc w:val="both"/>
              <w:rPr>
                <w:rFonts w:ascii="Arial" w:hAnsi="Arial" w:cs="Arial"/>
                <w:b/>
                <w:bCs/>
                <w:sz w:val="20"/>
                <w:szCs w:val="20"/>
                <w:lang w:eastAsia="es-MX"/>
              </w:rPr>
            </w:pPr>
            <w:r w:rsidRPr="00DF3484">
              <w:rPr>
                <w:rFonts w:ascii="Arial" w:hAnsi="Arial" w:cs="Arial"/>
                <w:b/>
                <w:bCs/>
                <w:sz w:val="20"/>
                <w:szCs w:val="20"/>
                <w:lang w:eastAsia="es-MX"/>
              </w:rPr>
              <w:t>6 o más</w:t>
            </w:r>
          </w:p>
        </w:tc>
        <w:tc>
          <w:tcPr>
            <w:tcW w:w="1300" w:type="dxa"/>
            <w:shd w:val="clear" w:color="auto" w:fill="auto"/>
            <w:noWrap/>
            <w:vAlign w:val="bottom"/>
            <w:hideMark/>
          </w:tcPr>
          <w:p w14:paraId="35ECE2B9"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40%</w:t>
            </w:r>
          </w:p>
        </w:tc>
        <w:tc>
          <w:tcPr>
            <w:tcW w:w="1460" w:type="dxa"/>
            <w:shd w:val="clear" w:color="auto" w:fill="auto"/>
            <w:noWrap/>
            <w:vAlign w:val="bottom"/>
            <w:hideMark/>
          </w:tcPr>
          <w:p w14:paraId="5BC2A4A7" w14:textId="77777777" w:rsidR="007B11FB" w:rsidRPr="00DF3484" w:rsidRDefault="007B11FB" w:rsidP="009663F0">
            <w:pPr>
              <w:jc w:val="both"/>
              <w:rPr>
                <w:rFonts w:ascii="Arial" w:hAnsi="Arial" w:cs="Arial"/>
                <w:sz w:val="20"/>
                <w:szCs w:val="20"/>
                <w:lang w:eastAsia="es-MX"/>
              </w:rPr>
            </w:pPr>
            <w:r w:rsidRPr="00DF3484">
              <w:rPr>
                <w:rFonts w:ascii="Arial" w:hAnsi="Arial" w:cs="Arial"/>
                <w:sz w:val="20"/>
                <w:szCs w:val="20"/>
                <w:lang w:eastAsia="es-MX"/>
              </w:rPr>
              <w:t>60%</w:t>
            </w:r>
          </w:p>
        </w:tc>
      </w:tr>
    </w:tbl>
    <w:p w14:paraId="3495F38B" w14:textId="77777777" w:rsidR="007B11FB" w:rsidRPr="00DF3484" w:rsidRDefault="007B11FB" w:rsidP="007B11FB">
      <w:pPr>
        <w:widowControl w:val="0"/>
        <w:numPr>
          <w:ilvl w:val="0"/>
          <w:numId w:val="4"/>
        </w:numPr>
        <w:tabs>
          <w:tab w:val="left" w:pos="1276"/>
          <w:tab w:val="left" w:pos="1418"/>
        </w:tabs>
        <w:spacing w:after="0" w:line="240" w:lineRule="auto"/>
        <w:ind w:left="0" w:firstLine="0"/>
        <w:jc w:val="both"/>
        <w:rPr>
          <w:rFonts w:ascii="Arial" w:hAnsi="Arial" w:cs="Arial"/>
          <w:b/>
          <w:bCs/>
          <w:i/>
          <w:sz w:val="20"/>
          <w:szCs w:val="20"/>
        </w:rPr>
      </w:pPr>
      <w:r w:rsidRPr="00DF3484">
        <w:rPr>
          <w:rFonts w:ascii="Arial" w:hAnsi="Arial" w:cs="Arial"/>
          <w:b/>
          <w:bCs/>
          <w:i/>
          <w:sz w:val="20"/>
          <w:szCs w:val="20"/>
        </w:rPr>
        <w:t>Garantía -</w:t>
      </w:r>
      <w:r w:rsidRPr="00DF3484">
        <w:rPr>
          <w:rFonts w:ascii="Arial" w:hAnsi="Arial" w:cs="Arial"/>
          <w:sz w:val="20"/>
          <w:szCs w:val="20"/>
        </w:rPr>
        <w:t xml:space="preserve"> Las garantías establecidas por el Fondo son:</w:t>
      </w:r>
    </w:p>
    <w:p w14:paraId="77ACE61F" w14:textId="77777777" w:rsidR="007B11FB" w:rsidRPr="00DF3484" w:rsidRDefault="007B11FB" w:rsidP="007B11FB">
      <w:pPr>
        <w:widowControl w:val="0"/>
        <w:numPr>
          <w:ilvl w:val="0"/>
          <w:numId w:val="5"/>
        </w:numPr>
        <w:spacing w:after="0" w:line="240" w:lineRule="auto"/>
        <w:ind w:left="0" w:firstLine="0"/>
        <w:jc w:val="both"/>
        <w:rPr>
          <w:rFonts w:ascii="Arial" w:hAnsi="Arial" w:cs="Arial"/>
          <w:sz w:val="20"/>
          <w:szCs w:val="20"/>
        </w:rPr>
      </w:pPr>
      <w:r w:rsidRPr="00DF3484">
        <w:rPr>
          <w:rFonts w:ascii="Arial" w:hAnsi="Arial" w:cs="Arial"/>
          <w:sz w:val="20"/>
          <w:szCs w:val="20"/>
        </w:rPr>
        <w:t>Garantía hipotecaria</w:t>
      </w:r>
    </w:p>
    <w:p w14:paraId="3F05302B" w14:textId="77777777" w:rsidR="007B11FB" w:rsidRPr="00DF3484" w:rsidRDefault="007B11FB" w:rsidP="007B11FB">
      <w:pPr>
        <w:widowControl w:val="0"/>
        <w:numPr>
          <w:ilvl w:val="0"/>
          <w:numId w:val="5"/>
        </w:numPr>
        <w:tabs>
          <w:tab w:val="left" w:pos="867"/>
          <w:tab w:val="left" w:pos="1276"/>
        </w:tabs>
        <w:spacing w:after="0" w:line="240" w:lineRule="auto"/>
        <w:ind w:left="0" w:firstLine="0"/>
        <w:jc w:val="both"/>
        <w:rPr>
          <w:rFonts w:ascii="Arial" w:hAnsi="Arial" w:cs="Arial"/>
          <w:sz w:val="20"/>
          <w:szCs w:val="20"/>
        </w:rPr>
      </w:pPr>
      <w:r w:rsidRPr="00DF3484">
        <w:rPr>
          <w:rFonts w:ascii="Arial" w:hAnsi="Arial" w:cs="Arial"/>
          <w:sz w:val="20"/>
          <w:szCs w:val="20"/>
        </w:rPr>
        <w:t>Aval</w:t>
      </w:r>
    </w:p>
    <w:p w14:paraId="4515B3AB" w14:textId="77777777" w:rsidR="007B11FB" w:rsidRPr="00DF3484" w:rsidRDefault="007B11FB" w:rsidP="007B11FB">
      <w:pPr>
        <w:pStyle w:val="Prrafodelista"/>
        <w:ind w:left="0"/>
        <w:jc w:val="both"/>
        <w:rPr>
          <w:rFonts w:ascii="Arial" w:hAnsi="Arial" w:cs="Arial"/>
          <w:sz w:val="20"/>
          <w:szCs w:val="20"/>
          <w:lang w:val="es-ES"/>
        </w:rPr>
      </w:pPr>
    </w:p>
    <w:p w14:paraId="6C9A7CFD" w14:textId="77777777" w:rsidR="007D1E76" w:rsidRPr="00DF3484" w:rsidRDefault="007B11FB" w:rsidP="007B11FB">
      <w:pPr>
        <w:tabs>
          <w:tab w:val="left" w:leader="underscore" w:pos="9639"/>
        </w:tabs>
        <w:spacing w:after="0" w:line="240" w:lineRule="auto"/>
        <w:jc w:val="both"/>
        <w:rPr>
          <w:rFonts w:ascii="Arial" w:hAnsi="Arial" w:cs="Arial"/>
          <w:sz w:val="20"/>
          <w:szCs w:val="20"/>
        </w:rPr>
      </w:pPr>
      <w:r w:rsidRPr="00DF3484">
        <w:rPr>
          <w:rFonts w:ascii="Arial" w:hAnsi="Arial" w:cs="Arial"/>
          <w:b/>
          <w:i/>
          <w:sz w:val="20"/>
          <w:szCs w:val="20"/>
        </w:rPr>
        <w:t xml:space="preserve">Períodos para su cálculo </w:t>
      </w:r>
      <w:r w:rsidRPr="00DF3484">
        <w:rPr>
          <w:rFonts w:ascii="Arial" w:hAnsi="Arial" w:cs="Arial"/>
          <w:i/>
          <w:sz w:val="20"/>
          <w:szCs w:val="20"/>
        </w:rPr>
        <w:t xml:space="preserve">- </w:t>
      </w:r>
      <w:r w:rsidRPr="00DF3484">
        <w:rPr>
          <w:rFonts w:ascii="Arial" w:hAnsi="Arial" w:cs="Arial"/>
          <w:sz w:val="20"/>
          <w:szCs w:val="20"/>
        </w:rPr>
        <w:t>El Fondo tiene la política de presentar el cálculo de la estimación de cuentas incobrables al 31 de diciembre del ejercicio actual con base en la información de los créditos al 31 de diciembre del ejercicio inmediato anterior.</w:t>
      </w:r>
    </w:p>
    <w:p w14:paraId="7DB9D5E4"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5D4F7FE4"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h)</w:t>
      </w:r>
      <w:r w:rsidRPr="00DF3484">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DEA359A"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2D1744BD" w14:textId="77777777" w:rsidR="007D1E76" w:rsidRDefault="007D1E76" w:rsidP="00CB41C4">
      <w:pPr>
        <w:tabs>
          <w:tab w:val="left" w:leader="underscore" w:pos="9639"/>
        </w:tabs>
        <w:spacing w:after="0" w:line="240" w:lineRule="auto"/>
        <w:jc w:val="both"/>
        <w:rPr>
          <w:rFonts w:ascii="Arial" w:hAnsi="Arial" w:cs="Arial"/>
          <w:sz w:val="20"/>
          <w:szCs w:val="20"/>
        </w:rPr>
      </w:pPr>
    </w:p>
    <w:p w14:paraId="70B4E0CC" w14:textId="77777777" w:rsidR="00D63E65" w:rsidRPr="00DF3484" w:rsidRDefault="00D63E65" w:rsidP="00CB41C4">
      <w:pPr>
        <w:tabs>
          <w:tab w:val="left" w:leader="underscore" w:pos="9639"/>
        </w:tabs>
        <w:spacing w:after="0" w:line="240" w:lineRule="auto"/>
        <w:jc w:val="both"/>
        <w:rPr>
          <w:rFonts w:ascii="Arial" w:hAnsi="Arial" w:cs="Arial"/>
          <w:sz w:val="20"/>
          <w:szCs w:val="20"/>
        </w:rPr>
      </w:pPr>
    </w:p>
    <w:p w14:paraId="6620DFA7"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i)</w:t>
      </w:r>
      <w:r w:rsidRPr="00DF3484">
        <w:rPr>
          <w:rFonts w:ascii="Arial" w:hAnsi="Arial" w:cs="Arial"/>
          <w:sz w:val="20"/>
          <w:szCs w:val="20"/>
        </w:rPr>
        <w:t xml:space="preserve"> Reclasificaciones: Se deben revelar todos aquellos movimientos entre cuentas por efectos de cambios en los tipos de operaciones:</w:t>
      </w:r>
    </w:p>
    <w:p w14:paraId="1630F917"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6FD09EA6"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31634875"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j)</w:t>
      </w:r>
      <w:r w:rsidRPr="00DF3484">
        <w:rPr>
          <w:rFonts w:ascii="Arial" w:hAnsi="Arial" w:cs="Arial"/>
          <w:sz w:val="20"/>
          <w:szCs w:val="20"/>
        </w:rPr>
        <w:t xml:space="preserve"> Depuración y cancelación de saldos:</w:t>
      </w:r>
    </w:p>
    <w:p w14:paraId="48DF779C"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3FFC83F9" w14:textId="77777777" w:rsidR="00E00323" w:rsidRPr="00DF3484" w:rsidRDefault="00E00323" w:rsidP="006A5AC6">
      <w:pPr>
        <w:tabs>
          <w:tab w:val="left" w:leader="underscore" w:pos="9639"/>
        </w:tabs>
        <w:spacing w:after="0" w:line="240" w:lineRule="auto"/>
        <w:jc w:val="both"/>
        <w:rPr>
          <w:rFonts w:ascii="Arial" w:hAnsi="Arial" w:cs="Arial"/>
          <w:sz w:val="20"/>
          <w:szCs w:val="20"/>
        </w:rPr>
      </w:pPr>
    </w:p>
    <w:p w14:paraId="555FBB4D" w14:textId="77777777" w:rsidR="007D1E76" w:rsidRPr="00DF3484" w:rsidRDefault="00983283" w:rsidP="006A5AC6">
      <w:pPr>
        <w:pStyle w:val="Ttulo2"/>
        <w:jc w:val="both"/>
        <w:rPr>
          <w:rFonts w:ascii="Arial" w:hAnsi="Arial" w:cs="Arial"/>
          <w:b/>
          <w:color w:val="auto"/>
          <w:sz w:val="20"/>
          <w:szCs w:val="20"/>
        </w:rPr>
      </w:pPr>
      <w:bookmarkStart w:id="5" w:name="_Toc136350935"/>
      <w:r>
        <w:rPr>
          <w:rFonts w:ascii="Arial" w:hAnsi="Arial" w:cs="Arial"/>
          <w:b/>
          <w:color w:val="auto"/>
          <w:sz w:val="20"/>
          <w:szCs w:val="20"/>
        </w:rPr>
        <w:t>6</w:t>
      </w:r>
      <w:r w:rsidR="007D1E76" w:rsidRPr="00DF3484">
        <w:rPr>
          <w:rFonts w:ascii="Arial" w:hAnsi="Arial" w:cs="Arial"/>
          <w:b/>
          <w:color w:val="auto"/>
          <w:sz w:val="20"/>
          <w:szCs w:val="20"/>
        </w:rPr>
        <w:t>. Posición en Moneda Extranjera y Pro</w:t>
      </w:r>
      <w:r w:rsidR="00E00323" w:rsidRPr="00DF3484">
        <w:rPr>
          <w:rFonts w:ascii="Arial" w:hAnsi="Arial" w:cs="Arial"/>
          <w:b/>
          <w:color w:val="auto"/>
          <w:sz w:val="20"/>
          <w:szCs w:val="20"/>
        </w:rPr>
        <w:t>tección por Riesgo Cambiario:</w:t>
      </w:r>
      <w:bookmarkEnd w:id="5"/>
    </w:p>
    <w:p w14:paraId="54A15CA0"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p>
    <w:p w14:paraId="4D6B564B"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Se informará sobre:</w:t>
      </w:r>
    </w:p>
    <w:p w14:paraId="29DA51DD"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p>
    <w:p w14:paraId="3783643A"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a)</w:t>
      </w:r>
      <w:r w:rsidRPr="00DF3484">
        <w:rPr>
          <w:rFonts w:ascii="Arial" w:hAnsi="Arial" w:cs="Arial"/>
          <w:sz w:val="20"/>
          <w:szCs w:val="20"/>
        </w:rPr>
        <w:t xml:space="preserve"> Activos en moneda extranjera:</w:t>
      </w:r>
    </w:p>
    <w:p w14:paraId="46A8CFD9" w14:textId="77777777" w:rsidR="007D1E76" w:rsidRPr="00DF3484" w:rsidRDefault="00775160" w:rsidP="006A5AC6">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553A9C4F"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p>
    <w:p w14:paraId="448B72CB" w14:textId="77777777" w:rsidR="00E62A88" w:rsidRDefault="00E62A88" w:rsidP="006A5AC6">
      <w:pPr>
        <w:tabs>
          <w:tab w:val="left" w:leader="underscore" w:pos="9639"/>
        </w:tabs>
        <w:spacing w:after="0" w:line="240" w:lineRule="auto"/>
        <w:jc w:val="both"/>
        <w:rPr>
          <w:rFonts w:ascii="Arial" w:hAnsi="Arial" w:cs="Arial"/>
          <w:b/>
          <w:sz w:val="20"/>
          <w:szCs w:val="20"/>
        </w:rPr>
      </w:pPr>
    </w:p>
    <w:p w14:paraId="34BFA565"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b)</w:t>
      </w:r>
      <w:r w:rsidRPr="00DF3484">
        <w:rPr>
          <w:rFonts w:ascii="Arial" w:hAnsi="Arial" w:cs="Arial"/>
          <w:sz w:val="20"/>
          <w:szCs w:val="20"/>
        </w:rPr>
        <w:t xml:space="preserve"> Pasivos en moneda extranjera:</w:t>
      </w:r>
    </w:p>
    <w:p w14:paraId="3738F0C1" w14:textId="77777777" w:rsidR="007D1E76" w:rsidRPr="00DF3484" w:rsidRDefault="00775160" w:rsidP="006A5AC6">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1E78E685" w14:textId="77777777" w:rsidR="00104B24" w:rsidRDefault="00104B24" w:rsidP="006A5AC6">
      <w:pPr>
        <w:tabs>
          <w:tab w:val="left" w:leader="underscore" w:pos="9639"/>
        </w:tabs>
        <w:spacing w:after="0" w:line="240" w:lineRule="auto"/>
        <w:jc w:val="both"/>
        <w:rPr>
          <w:rFonts w:ascii="Arial" w:hAnsi="Arial" w:cs="Arial"/>
          <w:b/>
          <w:sz w:val="20"/>
          <w:szCs w:val="20"/>
        </w:rPr>
      </w:pPr>
    </w:p>
    <w:p w14:paraId="1F303DF5" w14:textId="77777777" w:rsidR="007D1E76" w:rsidRPr="00DF3484" w:rsidRDefault="007D1E76" w:rsidP="006A5AC6">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 xml:space="preserve">c) </w:t>
      </w:r>
      <w:r w:rsidRPr="00DF3484">
        <w:rPr>
          <w:rFonts w:ascii="Arial" w:hAnsi="Arial" w:cs="Arial"/>
          <w:sz w:val="20"/>
          <w:szCs w:val="20"/>
        </w:rPr>
        <w:t>Posición en moneda extranjera:</w:t>
      </w:r>
    </w:p>
    <w:p w14:paraId="18C597FA" w14:textId="77777777" w:rsidR="007D1E76" w:rsidRPr="00DF3484" w:rsidRDefault="00775160" w:rsidP="006A5AC6">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6F641F98"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6F1CF8E3"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d)</w:t>
      </w:r>
      <w:r w:rsidRPr="00DF3484">
        <w:rPr>
          <w:rFonts w:ascii="Arial" w:hAnsi="Arial" w:cs="Arial"/>
          <w:sz w:val="20"/>
          <w:szCs w:val="20"/>
        </w:rPr>
        <w:t xml:space="preserve"> Tipo de cambio:</w:t>
      </w:r>
    </w:p>
    <w:p w14:paraId="4585013E"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1A8D8D34"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p>
    <w:p w14:paraId="436ECA06" w14:textId="77777777" w:rsidR="007D1E76" w:rsidRPr="00DF3484" w:rsidRDefault="007D1E76" w:rsidP="00CB41C4">
      <w:pPr>
        <w:tabs>
          <w:tab w:val="left" w:leader="underscore" w:pos="9639"/>
        </w:tabs>
        <w:spacing w:after="0" w:line="240" w:lineRule="auto"/>
        <w:jc w:val="both"/>
        <w:rPr>
          <w:rFonts w:ascii="Arial" w:hAnsi="Arial" w:cs="Arial"/>
          <w:sz w:val="20"/>
          <w:szCs w:val="20"/>
        </w:rPr>
      </w:pPr>
      <w:r w:rsidRPr="00DF3484">
        <w:rPr>
          <w:rFonts w:ascii="Arial" w:hAnsi="Arial" w:cs="Arial"/>
          <w:b/>
          <w:sz w:val="20"/>
          <w:szCs w:val="20"/>
        </w:rPr>
        <w:t xml:space="preserve">e) </w:t>
      </w:r>
      <w:r w:rsidRPr="00DF3484">
        <w:rPr>
          <w:rFonts w:ascii="Arial" w:hAnsi="Arial" w:cs="Arial"/>
          <w:sz w:val="20"/>
          <w:szCs w:val="20"/>
        </w:rPr>
        <w:t>Equivalente en moneda nacional:</w:t>
      </w:r>
    </w:p>
    <w:p w14:paraId="0C49229F" w14:textId="77777777" w:rsidR="007D1E76" w:rsidRPr="00DF3484" w:rsidRDefault="00775160" w:rsidP="00CB41C4">
      <w:pPr>
        <w:tabs>
          <w:tab w:val="left" w:leader="underscore" w:pos="9639"/>
        </w:tabs>
        <w:spacing w:after="0" w:line="240" w:lineRule="auto"/>
        <w:jc w:val="both"/>
        <w:rPr>
          <w:rFonts w:ascii="Arial" w:hAnsi="Arial" w:cs="Arial"/>
          <w:sz w:val="20"/>
          <w:szCs w:val="20"/>
        </w:rPr>
      </w:pPr>
      <w:r w:rsidRPr="00DF3484">
        <w:rPr>
          <w:rFonts w:ascii="Arial" w:hAnsi="Arial" w:cs="Arial"/>
          <w:sz w:val="20"/>
          <w:szCs w:val="20"/>
        </w:rPr>
        <w:t>No Aplica.</w:t>
      </w:r>
    </w:p>
    <w:p w14:paraId="6CC1EA7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64C42EC"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Lo anterior por cada tipo de moneda extranjera que se encuentre en los rubros de activo y pasivo.</w:t>
      </w:r>
    </w:p>
    <w:p w14:paraId="16B04F66"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Adicionalmente se informará sobre los métodos de protección de riesgo por vari</w:t>
      </w:r>
      <w:r w:rsidR="00E00323" w:rsidRPr="008A1738">
        <w:rPr>
          <w:rFonts w:ascii="Arial" w:hAnsi="Arial" w:cs="Arial"/>
          <w:sz w:val="20"/>
          <w:szCs w:val="20"/>
        </w:rPr>
        <w:t>aciones en el tipo de cambio.</w:t>
      </w:r>
    </w:p>
    <w:p w14:paraId="04E2B29B"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07EAA0C8" w14:textId="77777777" w:rsidR="007D1E76" w:rsidRPr="008A1738" w:rsidRDefault="00983283" w:rsidP="006A5AC6">
      <w:pPr>
        <w:pStyle w:val="Ttulo2"/>
        <w:jc w:val="both"/>
        <w:rPr>
          <w:rFonts w:ascii="Arial" w:hAnsi="Arial" w:cs="Arial"/>
          <w:b/>
          <w:color w:val="auto"/>
          <w:sz w:val="20"/>
          <w:szCs w:val="20"/>
        </w:rPr>
      </w:pPr>
      <w:bookmarkStart w:id="6" w:name="_Toc136350936"/>
      <w:r>
        <w:rPr>
          <w:rFonts w:ascii="Arial" w:hAnsi="Arial" w:cs="Arial"/>
          <w:b/>
          <w:color w:val="auto"/>
          <w:sz w:val="20"/>
          <w:szCs w:val="20"/>
        </w:rPr>
        <w:t>7</w:t>
      </w:r>
      <w:r w:rsidR="007D1E76" w:rsidRPr="008A1738">
        <w:rPr>
          <w:rFonts w:ascii="Arial" w:hAnsi="Arial" w:cs="Arial"/>
          <w:b/>
          <w:color w:val="auto"/>
          <w:sz w:val="20"/>
          <w:szCs w:val="20"/>
        </w:rPr>
        <w:t xml:space="preserve">. </w:t>
      </w:r>
      <w:r w:rsidR="00E00323" w:rsidRPr="008A1738">
        <w:rPr>
          <w:rFonts w:ascii="Arial" w:hAnsi="Arial" w:cs="Arial"/>
          <w:b/>
          <w:color w:val="auto"/>
          <w:sz w:val="20"/>
          <w:szCs w:val="20"/>
        </w:rPr>
        <w:t>Reporte Analítico del Activo:</w:t>
      </w:r>
      <w:bookmarkEnd w:id="6"/>
    </w:p>
    <w:p w14:paraId="4F26BC2C"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1C0DC193"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Debe mostrar la siguien</w:t>
      </w:r>
      <w:r w:rsidR="00E00323" w:rsidRPr="008A1738">
        <w:rPr>
          <w:rFonts w:ascii="Arial" w:hAnsi="Arial" w:cs="Arial"/>
          <w:sz w:val="20"/>
          <w:szCs w:val="20"/>
        </w:rPr>
        <w:t>te información:</w:t>
      </w:r>
    </w:p>
    <w:p w14:paraId="56C7D2DB"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4AF10D13" w14:textId="77777777" w:rsidR="00775160" w:rsidRPr="008A1738" w:rsidRDefault="007D1E76" w:rsidP="006A5AC6">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Vida útil o porcentajes de depreciación, deterioro o amortización utilizados en los diferentes tipos de activos:</w:t>
      </w:r>
    </w:p>
    <w:p w14:paraId="1C8F72DD" w14:textId="77777777" w:rsidR="00775160" w:rsidRPr="008A1738" w:rsidRDefault="00775160" w:rsidP="006A5AC6">
      <w:pPr>
        <w:tabs>
          <w:tab w:val="left" w:leader="underscore" w:pos="9639"/>
        </w:tabs>
        <w:spacing w:after="0" w:line="240" w:lineRule="auto"/>
        <w:jc w:val="both"/>
        <w:rPr>
          <w:rFonts w:ascii="Arial" w:hAnsi="Arial" w:cs="Arial"/>
          <w:b/>
          <w:i/>
          <w:sz w:val="20"/>
          <w:szCs w:val="20"/>
          <w:lang w:eastAsia="es-MX"/>
        </w:rPr>
      </w:pPr>
    </w:p>
    <w:p w14:paraId="46363D69" w14:textId="77777777" w:rsidR="00775160" w:rsidRPr="008A1738" w:rsidRDefault="00775160" w:rsidP="006A5AC6">
      <w:pPr>
        <w:tabs>
          <w:tab w:val="left" w:leader="underscore" w:pos="9639"/>
        </w:tabs>
        <w:spacing w:after="0" w:line="240" w:lineRule="auto"/>
        <w:jc w:val="both"/>
        <w:rPr>
          <w:rFonts w:ascii="Arial" w:hAnsi="Arial" w:cs="Arial"/>
          <w:sz w:val="20"/>
          <w:szCs w:val="20"/>
        </w:rPr>
      </w:pPr>
      <w:r w:rsidRPr="008A1738">
        <w:rPr>
          <w:rFonts w:ascii="Arial" w:hAnsi="Arial" w:cs="Arial"/>
          <w:b/>
          <w:i/>
          <w:sz w:val="20"/>
          <w:szCs w:val="20"/>
          <w:lang w:eastAsia="es-MX"/>
        </w:rPr>
        <w:t>Bienes muebles:</w:t>
      </w:r>
    </w:p>
    <w:p w14:paraId="29DEB6AB" w14:textId="77777777" w:rsidR="00775160" w:rsidRPr="008A1738" w:rsidRDefault="00775160" w:rsidP="006A5AC6">
      <w:pPr>
        <w:pStyle w:val="Prrafodelista"/>
        <w:tabs>
          <w:tab w:val="left" w:pos="1134"/>
        </w:tabs>
        <w:ind w:left="0" w:hanging="76"/>
        <w:jc w:val="both"/>
        <w:rPr>
          <w:rFonts w:ascii="Arial" w:eastAsia="Times New Roman" w:hAnsi="Arial" w:cs="Arial"/>
          <w:sz w:val="20"/>
          <w:szCs w:val="20"/>
          <w:lang w:val="es-ES" w:eastAsia="es-MX"/>
        </w:rPr>
      </w:pPr>
      <w:r w:rsidRPr="008A1738">
        <w:rPr>
          <w:rFonts w:ascii="Arial" w:eastAsia="Times New Roman" w:hAnsi="Arial" w:cs="Arial"/>
          <w:sz w:val="20"/>
          <w:szCs w:val="20"/>
          <w:lang w:val="es-ES" w:eastAsia="es-MX"/>
        </w:rPr>
        <w:t xml:space="preserve">Los bienes muebles, se expresan a su costo de adquisición (histórico). La depreciación se calcula por el método de línea recta con base en las vidas útiles de los activos y porcentajes de depreciación, aplicadas a los valores de los bienes muebles </w:t>
      </w:r>
      <w:r w:rsidRPr="008A1738">
        <w:rPr>
          <w:rFonts w:ascii="Arial" w:hAnsi="Arial" w:cs="Arial"/>
          <w:color w:val="000000"/>
          <w:sz w:val="20"/>
          <w:szCs w:val="20"/>
        </w:rPr>
        <w:t>como sigue:</w:t>
      </w:r>
    </w:p>
    <w:p w14:paraId="60128992" w14:textId="77777777" w:rsidR="00775160" w:rsidRDefault="00775160" w:rsidP="006A5AC6">
      <w:pPr>
        <w:autoSpaceDE w:val="0"/>
        <w:autoSpaceDN w:val="0"/>
        <w:adjustRightInd w:val="0"/>
        <w:ind w:hanging="76"/>
        <w:contextualSpacing/>
        <w:jc w:val="both"/>
        <w:rPr>
          <w:rFonts w:ascii="Arial" w:hAnsi="Arial" w:cs="Arial"/>
          <w:sz w:val="20"/>
          <w:szCs w:val="20"/>
          <w:lang w:eastAsia="es-MX"/>
        </w:rPr>
      </w:pPr>
    </w:p>
    <w:p w14:paraId="4234A2DF"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78591003"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0BC83C7A"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1BC4D1B0"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68AD1DB5"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5459A19D"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0D99DD5A"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62CD8CF3"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02A53C85"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180F5F8F" w14:textId="77777777" w:rsidR="00D63E65" w:rsidRDefault="00D63E65" w:rsidP="006A5AC6">
      <w:pPr>
        <w:autoSpaceDE w:val="0"/>
        <w:autoSpaceDN w:val="0"/>
        <w:adjustRightInd w:val="0"/>
        <w:ind w:hanging="76"/>
        <w:contextualSpacing/>
        <w:jc w:val="both"/>
        <w:rPr>
          <w:rFonts w:ascii="Arial" w:hAnsi="Arial" w:cs="Arial"/>
          <w:sz w:val="20"/>
          <w:szCs w:val="20"/>
          <w:lang w:eastAsia="es-MX"/>
        </w:rPr>
      </w:pPr>
    </w:p>
    <w:p w14:paraId="20D1AEFF" w14:textId="77777777" w:rsidR="00D63E65" w:rsidRPr="008A1738" w:rsidRDefault="00D63E65" w:rsidP="006A5AC6">
      <w:pPr>
        <w:autoSpaceDE w:val="0"/>
        <w:autoSpaceDN w:val="0"/>
        <w:adjustRightInd w:val="0"/>
        <w:ind w:hanging="76"/>
        <w:contextualSpacing/>
        <w:jc w:val="both"/>
        <w:rPr>
          <w:rFonts w:ascii="Arial" w:hAnsi="Arial" w:cs="Arial"/>
          <w:sz w:val="20"/>
          <w:szCs w:val="20"/>
          <w:lang w:eastAsia="es-MX"/>
        </w:rPr>
      </w:pPr>
    </w:p>
    <w:tbl>
      <w:tblPr>
        <w:tblW w:w="7336" w:type="dxa"/>
        <w:tblInd w:w="1455" w:type="dxa"/>
        <w:tblCellMar>
          <w:left w:w="72" w:type="dxa"/>
          <w:right w:w="72" w:type="dxa"/>
        </w:tblCellMar>
        <w:tblLook w:val="0000" w:firstRow="0" w:lastRow="0" w:firstColumn="0" w:lastColumn="0" w:noHBand="0" w:noVBand="0"/>
      </w:tblPr>
      <w:tblGrid>
        <w:gridCol w:w="5068"/>
        <w:gridCol w:w="1134"/>
        <w:gridCol w:w="1134"/>
      </w:tblGrid>
      <w:tr w:rsidR="00775160" w:rsidRPr="008A1738" w14:paraId="5BDE33F6" w14:textId="77777777" w:rsidTr="009663F0">
        <w:trPr>
          <w:trHeight w:val="329"/>
          <w:tblHeader/>
        </w:trPr>
        <w:tc>
          <w:tcPr>
            <w:tcW w:w="5068" w:type="dxa"/>
            <w:vAlign w:val="bottom"/>
          </w:tcPr>
          <w:p w14:paraId="2733200A" w14:textId="77777777" w:rsidR="00775160" w:rsidRPr="008A1738" w:rsidRDefault="00775160" w:rsidP="009663F0">
            <w:pPr>
              <w:ind w:hanging="76"/>
              <w:jc w:val="both"/>
              <w:rPr>
                <w:rFonts w:ascii="Arial" w:hAnsi="Arial" w:cs="Arial"/>
                <w:color w:val="000000"/>
                <w:sz w:val="20"/>
                <w:szCs w:val="20"/>
              </w:rPr>
            </w:pPr>
            <w:r w:rsidRPr="008A1738">
              <w:rPr>
                <w:rFonts w:ascii="Arial" w:hAnsi="Arial" w:cs="Arial"/>
                <w:b/>
                <w:bCs/>
                <w:color w:val="000000"/>
                <w:sz w:val="20"/>
                <w:szCs w:val="20"/>
                <w:lang w:eastAsia="es-MX"/>
              </w:rPr>
              <w:t>Tipo de bien</w:t>
            </w:r>
          </w:p>
        </w:tc>
        <w:tc>
          <w:tcPr>
            <w:tcW w:w="2268" w:type="dxa"/>
            <w:gridSpan w:val="2"/>
            <w:vAlign w:val="bottom"/>
          </w:tcPr>
          <w:p w14:paraId="6F60EA55" w14:textId="77777777" w:rsidR="00775160" w:rsidRPr="008A1738" w:rsidRDefault="00775160" w:rsidP="009663F0">
            <w:pPr>
              <w:ind w:hanging="76"/>
              <w:jc w:val="both"/>
              <w:rPr>
                <w:rFonts w:ascii="Arial" w:hAnsi="Arial" w:cs="Arial"/>
                <w:b/>
                <w:bCs/>
                <w:color w:val="000000"/>
                <w:sz w:val="20"/>
                <w:szCs w:val="20"/>
                <w:lang w:eastAsia="es-MX"/>
              </w:rPr>
            </w:pPr>
            <w:r w:rsidRPr="008A1738">
              <w:rPr>
                <w:rFonts w:ascii="Arial" w:hAnsi="Arial" w:cs="Arial"/>
                <w:b/>
                <w:bCs/>
                <w:color w:val="000000"/>
                <w:sz w:val="20"/>
                <w:szCs w:val="20"/>
                <w:lang w:eastAsia="es-MX"/>
              </w:rPr>
              <w:t xml:space="preserve">Años de vida </w:t>
            </w:r>
          </w:p>
          <w:p w14:paraId="740AC2C0" w14:textId="77777777" w:rsidR="00775160" w:rsidRPr="008A1738" w:rsidRDefault="00775160" w:rsidP="009663F0">
            <w:pPr>
              <w:ind w:hanging="76"/>
              <w:jc w:val="both"/>
              <w:rPr>
                <w:rFonts w:ascii="Arial" w:hAnsi="Arial" w:cs="Arial"/>
                <w:b/>
                <w:bCs/>
                <w:color w:val="000000"/>
                <w:sz w:val="20"/>
                <w:szCs w:val="20"/>
                <w:lang w:eastAsia="es-MX"/>
              </w:rPr>
            </w:pPr>
            <w:r w:rsidRPr="008A1738">
              <w:rPr>
                <w:rFonts w:ascii="Arial" w:hAnsi="Arial" w:cs="Arial"/>
                <w:b/>
                <w:bCs/>
                <w:color w:val="000000"/>
                <w:sz w:val="20"/>
                <w:szCs w:val="20"/>
                <w:lang w:eastAsia="es-MX"/>
              </w:rPr>
              <w:t>útil estimada</w:t>
            </w:r>
          </w:p>
        </w:tc>
      </w:tr>
      <w:tr w:rsidR="00775160" w:rsidRPr="008A1738" w14:paraId="43CD25CE" w14:textId="77777777" w:rsidTr="009663F0">
        <w:trPr>
          <w:trHeight w:val="235"/>
        </w:trPr>
        <w:tc>
          <w:tcPr>
            <w:tcW w:w="5068" w:type="dxa"/>
            <w:vAlign w:val="bottom"/>
          </w:tcPr>
          <w:p w14:paraId="767C5A14" w14:textId="77777777" w:rsidR="00775160" w:rsidRPr="008A1738" w:rsidRDefault="00775160" w:rsidP="009663F0">
            <w:pPr>
              <w:ind w:hanging="76"/>
              <w:jc w:val="both"/>
              <w:rPr>
                <w:rFonts w:ascii="Arial" w:hAnsi="Arial" w:cs="Arial"/>
                <w:color w:val="000000"/>
                <w:sz w:val="20"/>
                <w:szCs w:val="20"/>
                <w:lang w:eastAsia="es-MX"/>
              </w:rPr>
            </w:pPr>
          </w:p>
        </w:tc>
        <w:tc>
          <w:tcPr>
            <w:tcW w:w="1134" w:type="dxa"/>
            <w:vAlign w:val="bottom"/>
          </w:tcPr>
          <w:p w14:paraId="1B9898D2" w14:textId="3FC88C64" w:rsidR="00775160" w:rsidRPr="008A1738" w:rsidRDefault="00775160" w:rsidP="00636B2D">
            <w:pPr>
              <w:ind w:hanging="76"/>
              <w:jc w:val="both"/>
              <w:rPr>
                <w:rFonts w:ascii="Arial" w:hAnsi="Arial" w:cs="Arial"/>
                <w:b/>
                <w:color w:val="000000"/>
                <w:sz w:val="20"/>
                <w:szCs w:val="20"/>
                <w:lang w:eastAsia="es-MX"/>
              </w:rPr>
            </w:pPr>
            <w:r w:rsidRPr="008A1738">
              <w:rPr>
                <w:rFonts w:ascii="Arial" w:hAnsi="Arial" w:cs="Arial"/>
                <w:b/>
                <w:color w:val="000000"/>
                <w:sz w:val="20"/>
                <w:szCs w:val="20"/>
                <w:lang w:eastAsia="es-MX"/>
              </w:rPr>
              <w:t>20</w:t>
            </w:r>
            <w:r w:rsidR="0039136B" w:rsidRPr="008A1738">
              <w:rPr>
                <w:rFonts w:ascii="Arial" w:hAnsi="Arial" w:cs="Arial"/>
                <w:b/>
                <w:color w:val="000000"/>
                <w:sz w:val="20"/>
                <w:szCs w:val="20"/>
                <w:lang w:eastAsia="es-MX"/>
              </w:rPr>
              <w:t>2</w:t>
            </w:r>
            <w:r w:rsidR="000C42F7">
              <w:rPr>
                <w:rFonts w:ascii="Arial" w:hAnsi="Arial" w:cs="Arial"/>
                <w:b/>
                <w:color w:val="000000"/>
                <w:sz w:val="20"/>
                <w:szCs w:val="20"/>
                <w:lang w:eastAsia="es-MX"/>
              </w:rPr>
              <w:t>4</w:t>
            </w:r>
          </w:p>
        </w:tc>
        <w:tc>
          <w:tcPr>
            <w:tcW w:w="1134" w:type="dxa"/>
            <w:vAlign w:val="bottom"/>
          </w:tcPr>
          <w:p w14:paraId="482B64F7" w14:textId="77777777" w:rsidR="00775160" w:rsidRPr="008A1738" w:rsidRDefault="00775160" w:rsidP="009663F0">
            <w:pPr>
              <w:ind w:hanging="76"/>
              <w:jc w:val="both"/>
              <w:rPr>
                <w:rFonts w:ascii="Arial" w:hAnsi="Arial" w:cs="Arial"/>
                <w:b/>
                <w:color w:val="000000"/>
                <w:sz w:val="20"/>
                <w:szCs w:val="20"/>
                <w:lang w:eastAsia="es-MX"/>
              </w:rPr>
            </w:pPr>
            <w:r w:rsidRPr="008A1738">
              <w:rPr>
                <w:rFonts w:ascii="Arial" w:hAnsi="Arial" w:cs="Arial"/>
                <w:b/>
                <w:color w:val="000000"/>
                <w:sz w:val="20"/>
                <w:szCs w:val="20"/>
                <w:lang w:eastAsia="es-MX"/>
              </w:rPr>
              <w:t>% DEP</w:t>
            </w:r>
          </w:p>
        </w:tc>
      </w:tr>
      <w:tr w:rsidR="00775160" w:rsidRPr="008A1738" w14:paraId="24676FF6" w14:textId="77777777" w:rsidTr="009663F0">
        <w:trPr>
          <w:trHeight w:val="20"/>
        </w:trPr>
        <w:tc>
          <w:tcPr>
            <w:tcW w:w="5068" w:type="dxa"/>
            <w:vAlign w:val="bottom"/>
          </w:tcPr>
          <w:p w14:paraId="30303404"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Bienes muebles</w:t>
            </w:r>
          </w:p>
        </w:tc>
        <w:tc>
          <w:tcPr>
            <w:tcW w:w="1134" w:type="dxa"/>
            <w:vAlign w:val="bottom"/>
          </w:tcPr>
          <w:p w14:paraId="444851AC" w14:textId="77777777" w:rsidR="00775160" w:rsidRPr="008A1738" w:rsidRDefault="00775160" w:rsidP="009663F0">
            <w:pPr>
              <w:ind w:hanging="76"/>
              <w:jc w:val="both"/>
              <w:rPr>
                <w:rFonts w:ascii="Arial" w:hAnsi="Arial" w:cs="Arial"/>
                <w:color w:val="000000"/>
                <w:sz w:val="20"/>
                <w:szCs w:val="20"/>
                <w:lang w:eastAsia="es-MX"/>
              </w:rPr>
            </w:pPr>
          </w:p>
        </w:tc>
        <w:tc>
          <w:tcPr>
            <w:tcW w:w="1134" w:type="dxa"/>
            <w:vAlign w:val="bottom"/>
          </w:tcPr>
          <w:p w14:paraId="2572139F" w14:textId="77777777" w:rsidR="00775160" w:rsidRPr="008A1738" w:rsidRDefault="00775160" w:rsidP="009663F0">
            <w:pPr>
              <w:ind w:hanging="76"/>
              <w:jc w:val="both"/>
              <w:rPr>
                <w:rFonts w:ascii="Arial" w:hAnsi="Arial" w:cs="Arial"/>
                <w:color w:val="000000"/>
                <w:sz w:val="20"/>
                <w:szCs w:val="20"/>
                <w:lang w:eastAsia="es-MX"/>
              </w:rPr>
            </w:pPr>
          </w:p>
        </w:tc>
      </w:tr>
      <w:tr w:rsidR="00775160" w:rsidRPr="008A1738" w14:paraId="2CB332FD" w14:textId="77777777" w:rsidTr="009663F0">
        <w:trPr>
          <w:trHeight w:val="20"/>
        </w:trPr>
        <w:tc>
          <w:tcPr>
            <w:tcW w:w="5068" w:type="dxa"/>
            <w:vAlign w:val="bottom"/>
          </w:tcPr>
          <w:p w14:paraId="2F3F08DC"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Mobiliario y equipo de administración</w:t>
            </w:r>
          </w:p>
        </w:tc>
        <w:tc>
          <w:tcPr>
            <w:tcW w:w="1134" w:type="dxa"/>
            <w:vAlign w:val="bottom"/>
          </w:tcPr>
          <w:p w14:paraId="2043A742" w14:textId="77777777" w:rsidR="00775160" w:rsidRPr="008A1738" w:rsidRDefault="00775160" w:rsidP="009663F0">
            <w:pPr>
              <w:ind w:hanging="76"/>
              <w:jc w:val="both"/>
              <w:rPr>
                <w:rFonts w:ascii="Arial" w:hAnsi="Arial" w:cs="Arial"/>
                <w:color w:val="000000"/>
                <w:sz w:val="20"/>
                <w:szCs w:val="20"/>
                <w:lang w:eastAsia="es-MX"/>
              </w:rPr>
            </w:pPr>
          </w:p>
        </w:tc>
        <w:tc>
          <w:tcPr>
            <w:tcW w:w="1134" w:type="dxa"/>
            <w:vAlign w:val="bottom"/>
          </w:tcPr>
          <w:p w14:paraId="5E743F74" w14:textId="77777777" w:rsidR="00775160" w:rsidRPr="008A1738" w:rsidRDefault="00775160" w:rsidP="009663F0">
            <w:pPr>
              <w:ind w:hanging="76"/>
              <w:jc w:val="both"/>
              <w:rPr>
                <w:rFonts w:ascii="Arial" w:hAnsi="Arial" w:cs="Arial"/>
                <w:color w:val="000000"/>
                <w:sz w:val="20"/>
                <w:szCs w:val="20"/>
                <w:lang w:eastAsia="es-MX"/>
              </w:rPr>
            </w:pPr>
          </w:p>
        </w:tc>
      </w:tr>
      <w:tr w:rsidR="00775160" w:rsidRPr="008A1738" w14:paraId="7EA83622" w14:textId="77777777" w:rsidTr="009663F0">
        <w:trPr>
          <w:trHeight w:val="20"/>
        </w:trPr>
        <w:tc>
          <w:tcPr>
            <w:tcW w:w="5068" w:type="dxa"/>
            <w:vAlign w:val="bottom"/>
          </w:tcPr>
          <w:p w14:paraId="71B7D253"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Muebles de oficina y estantería</w:t>
            </w:r>
          </w:p>
        </w:tc>
        <w:tc>
          <w:tcPr>
            <w:tcW w:w="1134" w:type="dxa"/>
            <w:vAlign w:val="bottom"/>
          </w:tcPr>
          <w:p w14:paraId="340C9FC2"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c>
          <w:tcPr>
            <w:tcW w:w="1134" w:type="dxa"/>
            <w:vAlign w:val="bottom"/>
          </w:tcPr>
          <w:p w14:paraId="635994A4"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r>
      <w:tr w:rsidR="00775160" w:rsidRPr="008A1738" w14:paraId="2E421E31" w14:textId="77777777" w:rsidTr="009663F0">
        <w:trPr>
          <w:trHeight w:val="20"/>
        </w:trPr>
        <w:tc>
          <w:tcPr>
            <w:tcW w:w="5068" w:type="dxa"/>
            <w:vAlign w:val="bottom"/>
          </w:tcPr>
          <w:p w14:paraId="1631BF66"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Muebles, excepto de oficina y estantería</w:t>
            </w:r>
          </w:p>
        </w:tc>
        <w:tc>
          <w:tcPr>
            <w:tcW w:w="1134" w:type="dxa"/>
            <w:vAlign w:val="bottom"/>
          </w:tcPr>
          <w:p w14:paraId="0D886813"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c>
          <w:tcPr>
            <w:tcW w:w="1134" w:type="dxa"/>
            <w:vAlign w:val="bottom"/>
          </w:tcPr>
          <w:p w14:paraId="450D6756"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r>
      <w:tr w:rsidR="00775160" w:rsidRPr="008A1738" w14:paraId="1CA86E23" w14:textId="77777777" w:rsidTr="009663F0">
        <w:trPr>
          <w:trHeight w:val="20"/>
        </w:trPr>
        <w:tc>
          <w:tcPr>
            <w:tcW w:w="5068" w:type="dxa"/>
            <w:vAlign w:val="bottom"/>
          </w:tcPr>
          <w:p w14:paraId="398D105F"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Equipo de cómputo y de tecnologías de la información</w:t>
            </w:r>
          </w:p>
        </w:tc>
        <w:tc>
          <w:tcPr>
            <w:tcW w:w="1134" w:type="dxa"/>
            <w:vAlign w:val="bottom"/>
          </w:tcPr>
          <w:p w14:paraId="73B9ECCB"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3.3</w:t>
            </w:r>
          </w:p>
        </w:tc>
        <w:tc>
          <w:tcPr>
            <w:tcW w:w="1134" w:type="dxa"/>
            <w:vAlign w:val="bottom"/>
          </w:tcPr>
          <w:p w14:paraId="3EBE113F"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30</w:t>
            </w:r>
          </w:p>
        </w:tc>
      </w:tr>
      <w:tr w:rsidR="00775160" w:rsidRPr="008A1738" w14:paraId="41DE3451" w14:textId="77777777" w:rsidTr="009663F0">
        <w:trPr>
          <w:trHeight w:val="20"/>
        </w:trPr>
        <w:tc>
          <w:tcPr>
            <w:tcW w:w="5068" w:type="dxa"/>
            <w:vAlign w:val="bottom"/>
          </w:tcPr>
          <w:p w14:paraId="0495FCCD"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Otros mobiliarios y equipos de administración</w:t>
            </w:r>
          </w:p>
        </w:tc>
        <w:tc>
          <w:tcPr>
            <w:tcW w:w="1134" w:type="dxa"/>
            <w:vAlign w:val="bottom"/>
          </w:tcPr>
          <w:p w14:paraId="090FEDE9"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c>
          <w:tcPr>
            <w:tcW w:w="1134" w:type="dxa"/>
            <w:vAlign w:val="bottom"/>
          </w:tcPr>
          <w:p w14:paraId="4326C847"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10</w:t>
            </w:r>
          </w:p>
        </w:tc>
      </w:tr>
      <w:tr w:rsidR="00775160" w:rsidRPr="008A1738" w14:paraId="103A1A48" w14:textId="77777777" w:rsidTr="009663F0">
        <w:trPr>
          <w:trHeight w:val="20"/>
        </w:trPr>
        <w:tc>
          <w:tcPr>
            <w:tcW w:w="5068" w:type="dxa"/>
            <w:vAlign w:val="bottom"/>
          </w:tcPr>
          <w:p w14:paraId="0489F02E"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Equipo de transporte</w:t>
            </w:r>
          </w:p>
        </w:tc>
        <w:tc>
          <w:tcPr>
            <w:tcW w:w="1134" w:type="dxa"/>
            <w:vAlign w:val="bottom"/>
          </w:tcPr>
          <w:p w14:paraId="3ACFC5A4" w14:textId="77777777" w:rsidR="00775160" w:rsidRPr="008A1738" w:rsidRDefault="00775160" w:rsidP="009663F0">
            <w:pPr>
              <w:ind w:hanging="76"/>
              <w:jc w:val="both"/>
              <w:rPr>
                <w:rFonts w:ascii="Arial" w:hAnsi="Arial" w:cs="Arial"/>
                <w:color w:val="000000"/>
                <w:sz w:val="20"/>
                <w:szCs w:val="20"/>
                <w:lang w:eastAsia="es-MX"/>
              </w:rPr>
            </w:pPr>
          </w:p>
        </w:tc>
        <w:tc>
          <w:tcPr>
            <w:tcW w:w="1134" w:type="dxa"/>
            <w:vAlign w:val="bottom"/>
          </w:tcPr>
          <w:p w14:paraId="4FDDEF81" w14:textId="77777777" w:rsidR="00775160" w:rsidRPr="008A1738" w:rsidRDefault="00775160" w:rsidP="009663F0">
            <w:pPr>
              <w:ind w:hanging="76"/>
              <w:jc w:val="both"/>
              <w:rPr>
                <w:rFonts w:ascii="Arial" w:hAnsi="Arial" w:cs="Arial"/>
                <w:color w:val="000000"/>
                <w:sz w:val="20"/>
                <w:szCs w:val="20"/>
                <w:lang w:eastAsia="es-MX"/>
              </w:rPr>
            </w:pPr>
          </w:p>
        </w:tc>
      </w:tr>
      <w:tr w:rsidR="00775160" w:rsidRPr="008A1738" w14:paraId="24F30FAF" w14:textId="77777777" w:rsidTr="009663F0">
        <w:trPr>
          <w:trHeight w:val="20"/>
        </w:trPr>
        <w:tc>
          <w:tcPr>
            <w:tcW w:w="5068" w:type="dxa"/>
            <w:vAlign w:val="bottom"/>
          </w:tcPr>
          <w:p w14:paraId="200EFDA5"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Automóviles y equipo terrestre</w:t>
            </w:r>
          </w:p>
        </w:tc>
        <w:tc>
          <w:tcPr>
            <w:tcW w:w="1134" w:type="dxa"/>
            <w:vAlign w:val="bottom"/>
          </w:tcPr>
          <w:p w14:paraId="7A257356"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4</w:t>
            </w:r>
          </w:p>
        </w:tc>
        <w:tc>
          <w:tcPr>
            <w:tcW w:w="1134" w:type="dxa"/>
            <w:vAlign w:val="bottom"/>
          </w:tcPr>
          <w:p w14:paraId="09C6A6A0" w14:textId="77777777" w:rsidR="00775160" w:rsidRPr="008A1738" w:rsidRDefault="00775160" w:rsidP="009663F0">
            <w:pPr>
              <w:ind w:hanging="76"/>
              <w:jc w:val="both"/>
              <w:rPr>
                <w:rFonts w:ascii="Arial" w:hAnsi="Arial" w:cs="Arial"/>
                <w:color w:val="000000"/>
                <w:sz w:val="20"/>
                <w:szCs w:val="20"/>
                <w:lang w:eastAsia="es-MX"/>
              </w:rPr>
            </w:pPr>
            <w:r w:rsidRPr="008A1738">
              <w:rPr>
                <w:rFonts w:ascii="Arial" w:hAnsi="Arial" w:cs="Arial"/>
                <w:color w:val="000000"/>
                <w:sz w:val="20"/>
                <w:szCs w:val="20"/>
                <w:lang w:eastAsia="es-MX"/>
              </w:rPr>
              <w:t>25</w:t>
            </w:r>
          </w:p>
        </w:tc>
      </w:tr>
    </w:tbl>
    <w:p w14:paraId="1BAD71F6"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7F9A57C"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Cambios en el porcentaje de depreciación o valor residual de los activos:</w:t>
      </w:r>
    </w:p>
    <w:p w14:paraId="6F4E6BF2"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2E902451"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ACE0593"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c)</w:t>
      </w:r>
      <w:r w:rsidRPr="008A1738">
        <w:rPr>
          <w:rFonts w:ascii="Arial" w:hAnsi="Arial" w:cs="Arial"/>
          <w:sz w:val="20"/>
          <w:szCs w:val="20"/>
        </w:rPr>
        <w:t xml:space="preserve"> Importe de los gastos capitalizados en el ejercicio, tanto financieros como de investigación y desarrollo:</w:t>
      </w:r>
    </w:p>
    <w:p w14:paraId="7CB8C38C"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5732C87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5241921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d)</w:t>
      </w:r>
      <w:r w:rsidRPr="008A1738">
        <w:rPr>
          <w:rFonts w:ascii="Arial" w:hAnsi="Arial" w:cs="Arial"/>
          <w:sz w:val="20"/>
          <w:szCs w:val="20"/>
        </w:rPr>
        <w:t xml:space="preserve"> Rie</w:t>
      </w:r>
      <w:r w:rsidR="001973A2" w:rsidRPr="008A1738">
        <w:rPr>
          <w:rFonts w:ascii="Arial" w:hAnsi="Arial" w:cs="Arial"/>
          <w:sz w:val="20"/>
          <w:szCs w:val="20"/>
        </w:rPr>
        <w:t>s</w:t>
      </w:r>
      <w:r w:rsidRPr="008A1738">
        <w:rPr>
          <w:rFonts w:ascii="Arial" w:hAnsi="Arial" w:cs="Arial"/>
          <w:sz w:val="20"/>
          <w:szCs w:val="20"/>
        </w:rPr>
        <w:t>gos por tipo de cambio o tipo de interés de las inversiones financieras:</w:t>
      </w:r>
    </w:p>
    <w:p w14:paraId="388F394E"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99625D9"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4036DEB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 xml:space="preserve">e) </w:t>
      </w:r>
      <w:r w:rsidRPr="008A1738">
        <w:rPr>
          <w:rFonts w:ascii="Arial" w:hAnsi="Arial" w:cs="Arial"/>
          <w:sz w:val="20"/>
          <w:szCs w:val="20"/>
        </w:rPr>
        <w:t>Valor activado en el ejercicio de los bienes construidos por la entidad:</w:t>
      </w:r>
    </w:p>
    <w:p w14:paraId="140B912A"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1ACCBAF2" w14:textId="77777777" w:rsidR="007D1E76" w:rsidRPr="008A1738" w:rsidRDefault="007D1E76" w:rsidP="00CB41C4">
      <w:pPr>
        <w:tabs>
          <w:tab w:val="left" w:leader="underscore" w:pos="9639"/>
        </w:tabs>
        <w:spacing w:after="0" w:line="240" w:lineRule="auto"/>
        <w:jc w:val="both"/>
        <w:rPr>
          <w:rFonts w:ascii="Arial" w:hAnsi="Arial" w:cs="Arial"/>
          <w:b/>
          <w:sz w:val="20"/>
          <w:szCs w:val="20"/>
        </w:rPr>
      </w:pPr>
    </w:p>
    <w:p w14:paraId="3B2CA2B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f)</w:t>
      </w:r>
      <w:r w:rsidRPr="008A1738">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A6B274A"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3BCF0F6F" w14:textId="77777777" w:rsidR="00775160" w:rsidRPr="008A1738" w:rsidRDefault="00775160" w:rsidP="00CB41C4">
      <w:pPr>
        <w:tabs>
          <w:tab w:val="left" w:leader="underscore" w:pos="9639"/>
        </w:tabs>
        <w:spacing w:after="0" w:line="240" w:lineRule="auto"/>
        <w:jc w:val="both"/>
        <w:rPr>
          <w:rFonts w:ascii="Arial" w:hAnsi="Arial" w:cs="Arial"/>
          <w:sz w:val="20"/>
          <w:szCs w:val="20"/>
        </w:rPr>
      </w:pPr>
    </w:p>
    <w:p w14:paraId="118FEF1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g)</w:t>
      </w:r>
      <w:r w:rsidRPr="008A1738">
        <w:rPr>
          <w:rFonts w:ascii="Arial" w:hAnsi="Arial" w:cs="Arial"/>
          <w:sz w:val="20"/>
          <w:szCs w:val="20"/>
        </w:rPr>
        <w:t xml:space="preserve"> Desmantelamiento de Activos, procedimientos, implicaciones, efectos contables:</w:t>
      </w:r>
    </w:p>
    <w:p w14:paraId="59D4100F"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3778ECF6"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3527673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h)</w:t>
      </w:r>
      <w:r w:rsidRPr="008A1738">
        <w:rPr>
          <w:rFonts w:ascii="Arial" w:hAnsi="Arial" w:cs="Arial"/>
          <w:sz w:val="20"/>
          <w:szCs w:val="20"/>
        </w:rPr>
        <w:t xml:space="preserve"> Administración de activos; planeación con el objetivo de que el ente los utilice de manera más efectiva:</w:t>
      </w:r>
    </w:p>
    <w:p w14:paraId="43AF9E9E"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4364F3FB" w14:textId="77777777" w:rsidR="005E231E" w:rsidRPr="008A1738" w:rsidRDefault="005E231E" w:rsidP="00CB41C4">
      <w:pPr>
        <w:tabs>
          <w:tab w:val="left" w:leader="underscore" w:pos="9639"/>
        </w:tabs>
        <w:spacing w:after="0" w:line="240" w:lineRule="auto"/>
        <w:jc w:val="both"/>
        <w:rPr>
          <w:rFonts w:ascii="Arial" w:hAnsi="Arial" w:cs="Arial"/>
          <w:sz w:val="20"/>
          <w:szCs w:val="20"/>
        </w:rPr>
      </w:pPr>
    </w:p>
    <w:p w14:paraId="12F0C332"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Adicionalmente, se deben incluir las explicaciones de las principales variaciones en el activo, en cua</w:t>
      </w:r>
      <w:r w:rsidR="005E231E" w:rsidRPr="008A1738">
        <w:rPr>
          <w:rFonts w:ascii="Arial" w:hAnsi="Arial" w:cs="Arial"/>
          <w:sz w:val="20"/>
          <w:szCs w:val="20"/>
        </w:rPr>
        <w:t>dros comparativos como sigue:</w:t>
      </w:r>
    </w:p>
    <w:p w14:paraId="397D14EE"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0E98B80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Inversiones en valores:</w:t>
      </w:r>
    </w:p>
    <w:p w14:paraId="13D93FB6"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106DE80F"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36C511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Patrimonio de Organismos descentralizados de Control Presupuestario Indirecto:</w:t>
      </w:r>
    </w:p>
    <w:p w14:paraId="4D70417D"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68D399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52E7463F"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c)</w:t>
      </w:r>
      <w:r w:rsidRPr="008A1738">
        <w:rPr>
          <w:rFonts w:ascii="Arial" w:hAnsi="Arial" w:cs="Arial"/>
          <w:sz w:val="20"/>
          <w:szCs w:val="20"/>
        </w:rPr>
        <w:t xml:space="preserve"> Inversiones en empresas de participación mayoritaria:</w:t>
      </w:r>
    </w:p>
    <w:p w14:paraId="0D7ECA6A"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5427EAB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A64871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d)</w:t>
      </w:r>
      <w:r w:rsidRPr="008A1738">
        <w:rPr>
          <w:rFonts w:ascii="Arial" w:hAnsi="Arial" w:cs="Arial"/>
          <w:sz w:val="20"/>
          <w:szCs w:val="20"/>
        </w:rPr>
        <w:t xml:space="preserve"> Inversiones en empresas de participación minoritaria:</w:t>
      </w:r>
    </w:p>
    <w:p w14:paraId="1DA01717"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21A27FA2"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72073F1E"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e)</w:t>
      </w:r>
      <w:r w:rsidRPr="008A1738">
        <w:rPr>
          <w:rFonts w:ascii="Arial" w:hAnsi="Arial" w:cs="Arial"/>
          <w:sz w:val="20"/>
          <w:szCs w:val="20"/>
        </w:rPr>
        <w:t xml:space="preserve"> Patrimonio de organismos descentralizados de control presupuestario directo, según corresponda:</w:t>
      </w:r>
    </w:p>
    <w:p w14:paraId="1B0D56DD"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9CA249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0AEA9990" w14:textId="77777777" w:rsidR="007D1E76" w:rsidRPr="008A1738" w:rsidRDefault="00983283" w:rsidP="000C3365">
      <w:pPr>
        <w:pStyle w:val="Ttulo2"/>
        <w:rPr>
          <w:rFonts w:ascii="Arial" w:hAnsi="Arial" w:cs="Arial"/>
          <w:b/>
          <w:color w:val="auto"/>
          <w:sz w:val="20"/>
          <w:szCs w:val="20"/>
        </w:rPr>
      </w:pPr>
      <w:bookmarkStart w:id="7" w:name="_Toc136350937"/>
      <w:r>
        <w:rPr>
          <w:rFonts w:ascii="Arial" w:hAnsi="Arial" w:cs="Arial"/>
          <w:b/>
          <w:color w:val="auto"/>
          <w:sz w:val="20"/>
          <w:szCs w:val="20"/>
        </w:rPr>
        <w:t>8</w:t>
      </w:r>
      <w:r w:rsidR="007D1E76" w:rsidRPr="008A1738">
        <w:rPr>
          <w:rFonts w:ascii="Arial" w:hAnsi="Arial" w:cs="Arial"/>
          <w:b/>
          <w:color w:val="auto"/>
          <w:sz w:val="20"/>
          <w:szCs w:val="20"/>
        </w:rPr>
        <w:t>. Fidei</w:t>
      </w:r>
      <w:r w:rsidR="005E231E" w:rsidRPr="008A1738">
        <w:rPr>
          <w:rFonts w:ascii="Arial" w:hAnsi="Arial" w:cs="Arial"/>
          <w:b/>
          <w:color w:val="auto"/>
          <w:sz w:val="20"/>
          <w:szCs w:val="20"/>
        </w:rPr>
        <w:t>comisos, Mandatos y Análogos:</w:t>
      </w:r>
      <w:bookmarkEnd w:id="7"/>
    </w:p>
    <w:p w14:paraId="6511E195"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deberá informar:</w:t>
      </w:r>
    </w:p>
    <w:p w14:paraId="7A07FAC6"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F2C827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Por ramo administrativo que los reporta:</w:t>
      </w:r>
    </w:p>
    <w:p w14:paraId="0996689A"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A378D19"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702CD7E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Enlistar los de mayor monto de disponibilidad, relacionando aquéllos que conforman el 80% de las disponibilidades:</w:t>
      </w:r>
    </w:p>
    <w:p w14:paraId="03641210" w14:textId="77777777" w:rsidR="007D1E76" w:rsidRPr="008A1738" w:rsidRDefault="00775160"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3115B293"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2870852D" w14:textId="77777777" w:rsidR="007D1E76" w:rsidRPr="008A1738" w:rsidRDefault="00983283" w:rsidP="000C3365">
      <w:pPr>
        <w:pStyle w:val="Ttulo2"/>
        <w:rPr>
          <w:rFonts w:ascii="Arial" w:hAnsi="Arial" w:cs="Arial"/>
          <w:b/>
          <w:color w:val="auto"/>
          <w:sz w:val="20"/>
          <w:szCs w:val="20"/>
        </w:rPr>
      </w:pPr>
      <w:bookmarkStart w:id="8" w:name="_Toc136350938"/>
      <w:r>
        <w:rPr>
          <w:rFonts w:ascii="Arial" w:hAnsi="Arial" w:cs="Arial"/>
          <w:b/>
          <w:color w:val="auto"/>
          <w:sz w:val="20"/>
          <w:szCs w:val="20"/>
        </w:rPr>
        <w:t>9</w:t>
      </w:r>
      <w:r w:rsidR="007D1E76" w:rsidRPr="008A1738">
        <w:rPr>
          <w:rFonts w:ascii="Arial" w:hAnsi="Arial" w:cs="Arial"/>
          <w:b/>
          <w:color w:val="auto"/>
          <w:sz w:val="20"/>
          <w:szCs w:val="20"/>
        </w:rPr>
        <w:t>. Reporte de la Recaudación:</w:t>
      </w:r>
      <w:bookmarkEnd w:id="8"/>
    </w:p>
    <w:p w14:paraId="7FB1C5AB" w14:textId="77777777" w:rsidR="008D6298" w:rsidRPr="008A1738" w:rsidRDefault="008D6298" w:rsidP="00CB41C4">
      <w:pPr>
        <w:tabs>
          <w:tab w:val="left" w:leader="underscore" w:pos="9639"/>
        </w:tabs>
        <w:spacing w:after="0" w:line="240" w:lineRule="auto"/>
        <w:jc w:val="both"/>
        <w:rPr>
          <w:rFonts w:ascii="Arial" w:hAnsi="Arial" w:cs="Arial"/>
          <w:b/>
          <w:sz w:val="20"/>
          <w:szCs w:val="20"/>
        </w:rPr>
      </w:pPr>
    </w:p>
    <w:p w14:paraId="61F92568"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2E1D0363" w14:textId="77777777" w:rsidR="007D1E76" w:rsidRPr="008A1738" w:rsidRDefault="00A25E9E"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2A17C96E" w14:textId="77777777" w:rsidR="007D1E76" w:rsidRDefault="007D1E76" w:rsidP="00CB41C4">
      <w:pPr>
        <w:tabs>
          <w:tab w:val="left" w:leader="underscore" w:pos="9639"/>
        </w:tabs>
        <w:spacing w:after="0" w:line="240" w:lineRule="auto"/>
        <w:jc w:val="both"/>
        <w:rPr>
          <w:rFonts w:ascii="Arial" w:hAnsi="Arial" w:cs="Arial"/>
          <w:sz w:val="20"/>
          <w:szCs w:val="20"/>
        </w:rPr>
      </w:pPr>
    </w:p>
    <w:p w14:paraId="6D9739FB" w14:textId="77777777" w:rsidR="00E62A88" w:rsidRPr="008A1738" w:rsidRDefault="00E62A88" w:rsidP="00CB41C4">
      <w:pPr>
        <w:tabs>
          <w:tab w:val="left" w:leader="underscore" w:pos="9639"/>
        </w:tabs>
        <w:spacing w:after="0" w:line="240" w:lineRule="auto"/>
        <w:jc w:val="both"/>
        <w:rPr>
          <w:rFonts w:ascii="Arial" w:hAnsi="Arial" w:cs="Arial"/>
          <w:sz w:val="20"/>
          <w:szCs w:val="20"/>
        </w:rPr>
      </w:pPr>
    </w:p>
    <w:p w14:paraId="5D9834C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Proyección de la recaudación e ingresos en el mediano plazo:</w:t>
      </w:r>
    </w:p>
    <w:p w14:paraId="332E04B9" w14:textId="77777777" w:rsidR="007D1E76" w:rsidRPr="008A1738" w:rsidRDefault="00A25E9E"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0777F0CC"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1F5D6F71" w14:textId="77777777" w:rsidR="007D1E76" w:rsidRPr="008A1738" w:rsidRDefault="007D1E76" w:rsidP="000C3365">
      <w:pPr>
        <w:pStyle w:val="Ttulo2"/>
        <w:rPr>
          <w:rFonts w:ascii="Arial" w:hAnsi="Arial" w:cs="Arial"/>
          <w:b/>
          <w:color w:val="auto"/>
          <w:sz w:val="20"/>
          <w:szCs w:val="20"/>
        </w:rPr>
      </w:pPr>
      <w:bookmarkStart w:id="9" w:name="_Toc136350939"/>
      <w:r w:rsidRPr="008A1738">
        <w:rPr>
          <w:rFonts w:ascii="Arial" w:hAnsi="Arial" w:cs="Arial"/>
          <w:b/>
          <w:color w:val="auto"/>
          <w:sz w:val="20"/>
          <w:szCs w:val="20"/>
        </w:rPr>
        <w:t>1</w:t>
      </w:r>
      <w:r w:rsidR="00983283">
        <w:rPr>
          <w:rFonts w:ascii="Arial" w:hAnsi="Arial" w:cs="Arial"/>
          <w:b/>
          <w:color w:val="auto"/>
          <w:sz w:val="20"/>
          <w:szCs w:val="20"/>
        </w:rPr>
        <w:t>0</w:t>
      </w:r>
      <w:r w:rsidRPr="008A1738">
        <w:rPr>
          <w:rFonts w:ascii="Arial" w:hAnsi="Arial" w:cs="Arial"/>
          <w:b/>
          <w:color w:val="auto"/>
          <w:sz w:val="20"/>
          <w:szCs w:val="20"/>
        </w:rPr>
        <w:t>. Información sobre la Deuda y el R</w:t>
      </w:r>
      <w:r w:rsidR="005E231E" w:rsidRPr="008A1738">
        <w:rPr>
          <w:rFonts w:ascii="Arial" w:hAnsi="Arial" w:cs="Arial"/>
          <w:b/>
          <w:color w:val="auto"/>
          <w:sz w:val="20"/>
          <w:szCs w:val="20"/>
        </w:rPr>
        <w:t>eporte Analítico de la Deuda:</w:t>
      </w:r>
      <w:bookmarkEnd w:id="9"/>
    </w:p>
    <w:p w14:paraId="5E8917C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4C61B29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Utilizar al menos los siguientes indicadores: deuda respecto al PIB y deuda respecto a la recaudación tomando, como mínimo, un período igual o menor a 5 años.</w:t>
      </w:r>
    </w:p>
    <w:p w14:paraId="5B0E06E7" w14:textId="77777777" w:rsidR="007D1E76" w:rsidRPr="008A1738" w:rsidRDefault="00C05222"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442BABE7" w14:textId="77777777" w:rsidR="00C05222" w:rsidRPr="008A1738" w:rsidRDefault="00C05222" w:rsidP="00CB41C4">
      <w:pPr>
        <w:tabs>
          <w:tab w:val="left" w:leader="underscore" w:pos="9639"/>
        </w:tabs>
        <w:spacing w:after="0" w:line="240" w:lineRule="auto"/>
        <w:jc w:val="both"/>
        <w:rPr>
          <w:rFonts w:ascii="Arial" w:hAnsi="Arial" w:cs="Arial"/>
          <w:sz w:val="20"/>
          <w:szCs w:val="20"/>
        </w:rPr>
      </w:pPr>
    </w:p>
    <w:p w14:paraId="5A6E8A8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Información de manera agrupada por tipo de valor gubernamental o instrumento financiero en la que se considere</w:t>
      </w:r>
      <w:r w:rsidR="001973A2" w:rsidRPr="008A1738">
        <w:rPr>
          <w:rFonts w:ascii="Arial" w:hAnsi="Arial" w:cs="Arial"/>
          <w:sz w:val="20"/>
          <w:szCs w:val="20"/>
        </w:rPr>
        <w:t>n</w:t>
      </w:r>
      <w:r w:rsidRPr="008A1738">
        <w:rPr>
          <w:rFonts w:ascii="Arial" w:hAnsi="Arial" w:cs="Arial"/>
          <w:sz w:val="20"/>
          <w:szCs w:val="20"/>
        </w:rPr>
        <w:t xml:space="preserve"> intereses, comisiones, tasa, perfil de vencimiento y otros gastos de la deuda.</w:t>
      </w:r>
    </w:p>
    <w:p w14:paraId="5DC5D73A"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 xml:space="preserve">* Se </w:t>
      </w:r>
      <w:r w:rsidR="000C3365" w:rsidRPr="008A1738">
        <w:rPr>
          <w:rFonts w:ascii="Arial" w:hAnsi="Arial" w:cs="Arial"/>
          <w:sz w:val="20"/>
          <w:szCs w:val="20"/>
        </w:rPr>
        <w:t>anexará</w:t>
      </w:r>
      <w:r w:rsidRPr="008A1738">
        <w:rPr>
          <w:rFonts w:ascii="Arial" w:hAnsi="Arial" w:cs="Arial"/>
          <w:sz w:val="20"/>
          <w:szCs w:val="20"/>
        </w:rPr>
        <w:t xml:space="preserve"> la informació</w:t>
      </w:r>
      <w:r w:rsidR="005E231E" w:rsidRPr="008A1738">
        <w:rPr>
          <w:rFonts w:ascii="Arial" w:hAnsi="Arial" w:cs="Arial"/>
          <w:sz w:val="20"/>
          <w:szCs w:val="20"/>
        </w:rPr>
        <w:t>n en las notas de desglose.</w:t>
      </w:r>
    </w:p>
    <w:p w14:paraId="09DEB905" w14:textId="77777777" w:rsidR="007D1E76" w:rsidRPr="008A1738" w:rsidRDefault="00C05222"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406CAC5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241C4FF0" w14:textId="77777777" w:rsidR="007D1E76" w:rsidRPr="008A1738" w:rsidRDefault="00983283" w:rsidP="000C3365">
      <w:pPr>
        <w:pStyle w:val="Ttulo2"/>
        <w:rPr>
          <w:rFonts w:ascii="Arial" w:hAnsi="Arial" w:cs="Arial"/>
          <w:b/>
          <w:color w:val="auto"/>
          <w:sz w:val="20"/>
          <w:szCs w:val="20"/>
        </w:rPr>
      </w:pPr>
      <w:bookmarkStart w:id="10" w:name="_Toc136350940"/>
      <w:r>
        <w:rPr>
          <w:rFonts w:ascii="Arial" w:hAnsi="Arial" w:cs="Arial"/>
          <w:b/>
          <w:color w:val="auto"/>
          <w:sz w:val="20"/>
          <w:szCs w:val="20"/>
        </w:rPr>
        <w:t>11</w:t>
      </w:r>
      <w:r w:rsidR="007D1E76" w:rsidRPr="008A1738">
        <w:rPr>
          <w:rFonts w:ascii="Arial" w:hAnsi="Arial" w:cs="Arial"/>
          <w:b/>
          <w:color w:val="auto"/>
          <w:sz w:val="20"/>
          <w:szCs w:val="20"/>
        </w:rPr>
        <w:t>.</w:t>
      </w:r>
      <w:r w:rsidR="005E231E" w:rsidRPr="008A1738">
        <w:rPr>
          <w:rFonts w:ascii="Arial" w:hAnsi="Arial" w:cs="Arial"/>
          <w:b/>
          <w:color w:val="auto"/>
          <w:sz w:val="20"/>
          <w:szCs w:val="20"/>
        </w:rPr>
        <w:t xml:space="preserve"> Calificaciones otorgadas:</w:t>
      </w:r>
      <w:bookmarkEnd w:id="10"/>
    </w:p>
    <w:p w14:paraId="6D3364DB"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7B10803"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Informar, tanto del ente público como cualquier transacción realizada, que haya sido sujeta a una calificación crediticia:</w:t>
      </w:r>
    </w:p>
    <w:p w14:paraId="0D8D4F02" w14:textId="77777777" w:rsidR="007D1E76" w:rsidRPr="008A1738" w:rsidRDefault="00A25E9E"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011CB322"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4510C3B1" w14:textId="77777777" w:rsidR="007D1E76" w:rsidRPr="008A1738" w:rsidRDefault="00983283" w:rsidP="000C3365">
      <w:pPr>
        <w:pStyle w:val="Ttulo2"/>
        <w:rPr>
          <w:rFonts w:ascii="Arial" w:hAnsi="Arial" w:cs="Arial"/>
          <w:b/>
          <w:color w:val="auto"/>
          <w:sz w:val="20"/>
          <w:szCs w:val="20"/>
        </w:rPr>
      </w:pPr>
      <w:bookmarkStart w:id="11" w:name="_Toc136350941"/>
      <w:r>
        <w:rPr>
          <w:rFonts w:ascii="Arial" w:hAnsi="Arial" w:cs="Arial"/>
          <w:b/>
          <w:color w:val="auto"/>
          <w:sz w:val="20"/>
          <w:szCs w:val="20"/>
        </w:rPr>
        <w:t>12</w:t>
      </w:r>
      <w:r w:rsidR="007D1E76" w:rsidRPr="008A1738">
        <w:rPr>
          <w:rFonts w:ascii="Arial" w:hAnsi="Arial" w:cs="Arial"/>
          <w:b/>
          <w:color w:val="auto"/>
          <w:sz w:val="20"/>
          <w:szCs w:val="20"/>
        </w:rPr>
        <w:t>. Proceso de Mejora:</w:t>
      </w:r>
      <w:bookmarkEnd w:id="11"/>
    </w:p>
    <w:p w14:paraId="2F303AD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684D16E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informará de:</w:t>
      </w:r>
    </w:p>
    <w:p w14:paraId="70737CFE" w14:textId="77777777" w:rsidR="007D1E76" w:rsidRDefault="007D1E76" w:rsidP="00CB41C4">
      <w:pPr>
        <w:tabs>
          <w:tab w:val="left" w:leader="underscore" w:pos="9639"/>
        </w:tabs>
        <w:spacing w:after="0" w:line="240" w:lineRule="auto"/>
        <w:jc w:val="both"/>
        <w:rPr>
          <w:rFonts w:ascii="Arial" w:hAnsi="Arial" w:cs="Arial"/>
          <w:sz w:val="20"/>
          <w:szCs w:val="20"/>
        </w:rPr>
      </w:pPr>
    </w:p>
    <w:p w14:paraId="198F1283" w14:textId="77777777" w:rsidR="003A0EDB" w:rsidRDefault="003A0EDB" w:rsidP="00CB41C4">
      <w:pPr>
        <w:tabs>
          <w:tab w:val="left" w:leader="underscore" w:pos="9639"/>
        </w:tabs>
        <w:spacing w:after="0" w:line="240" w:lineRule="auto"/>
        <w:jc w:val="both"/>
        <w:rPr>
          <w:rFonts w:ascii="Arial" w:hAnsi="Arial" w:cs="Arial"/>
          <w:sz w:val="20"/>
          <w:szCs w:val="20"/>
        </w:rPr>
      </w:pPr>
    </w:p>
    <w:p w14:paraId="20C5F758" w14:textId="77777777" w:rsidR="003A0EDB" w:rsidRDefault="003A0EDB" w:rsidP="00CB41C4">
      <w:pPr>
        <w:tabs>
          <w:tab w:val="left" w:leader="underscore" w:pos="9639"/>
        </w:tabs>
        <w:spacing w:after="0" w:line="240" w:lineRule="auto"/>
        <w:jc w:val="both"/>
        <w:rPr>
          <w:rFonts w:ascii="Arial" w:hAnsi="Arial" w:cs="Arial"/>
          <w:sz w:val="20"/>
          <w:szCs w:val="20"/>
        </w:rPr>
      </w:pPr>
    </w:p>
    <w:p w14:paraId="65AEB6F2" w14:textId="77777777" w:rsidR="003A0EDB" w:rsidRDefault="003A0EDB" w:rsidP="00CB41C4">
      <w:pPr>
        <w:tabs>
          <w:tab w:val="left" w:leader="underscore" w:pos="9639"/>
        </w:tabs>
        <w:spacing w:after="0" w:line="240" w:lineRule="auto"/>
        <w:jc w:val="both"/>
        <w:rPr>
          <w:rFonts w:ascii="Arial" w:hAnsi="Arial" w:cs="Arial"/>
          <w:sz w:val="20"/>
          <w:szCs w:val="20"/>
        </w:rPr>
      </w:pPr>
    </w:p>
    <w:p w14:paraId="7AAD42CB" w14:textId="77777777" w:rsidR="003A0EDB" w:rsidRPr="008A1738" w:rsidRDefault="003A0EDB" w:rsidP="00CB41C4">
      <w:pPr>
        <w:tabs>
          <w:tab w:val="left" w:leader="underscore" w:pos="9639"/>
        </w:tabs>
        <w:spacing w:after="0" w:line="240" w:lineRule="auto"/>
        <w:jc w:val="both"/>
        <w:rPr>
          <w:rFonts w:ascii="Arial" w:hAnsi="Arial" w:cs="Arial"/>
          <w:sz w:val="20"/>
          <w:szCs w:val="20"/>
        </w:rPr>
      </w:pPr>
    </w:p>
    <w:p w14:paraId="63E860A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a)</w:t>
      </w:r>
      <w:r w:rsidRPr="008A1738">
        <w:rPr>
          <w:rFonts w:ascii="Arial" w:hAnsi="Arial" w:cs="Arial"/>
          <w:sz w:val="20"/>
          <w:szCs w:val="20"/>
        </w:rPr>
        <w:t xml:space="preserve"> Principales Políticas de control interno:</w:t>
      </w:r>
    </w:p>
    <w:p w14:paraId="64CFD621" w14:textId="77777777" w:rsidR="008D6298" w:rsidRPr="008A1738" w:rsidRDefault="008D6298" w:rsidP="00E907BD">
      <w:pPr>
        <w:jc w:val="both"/>
        <w:rPr>
          <w:rFonts w:ascii="Arial" w:hAnsi="Arial" w:cs="Arial"/>
          <w:sz w:val="20"/>
          <w:szCs w:val="20"/>
        </w:rPr>
      </w:pPr>
    </w:p>
    <w:p w14:paraId="1456A16F" w14:textId="77777777" w:rsidR="007D1E76" w:rsidRPr="008A1738" w:rsidRDefault="00E907BD" w:rsidP="00E907BD">
      <w:pPr>
        <w:jc w:val="both"/>
        <w:rPr>
          <w:rFonts w:ascii="Arial" w:hAnsi="Arial" w:cs="Arial"/>
          <w:sz w:val="20"/>
          <w:szCs w:val="20"/>
        </w:rPr>
      </w:pPr>
      <w:r w:rsidRPr="008A1738">
        <w:rPr>
          <w:rFonts w:ascii="Arial" w:hAnsi="Arial" w:cs="Arial"/>
          <w:sz w:val="20"/>
          <w:szCs w:val="20"/>
        </w:rPr>
        <w:t>Normativas al interior del Fideicomiso que regulan el apego a los procesos. Implementación de Administración de riegos. Se adjunta.</w:t>
      </w:r>
    </w:p>
    <w:p w14:paraId="5A7BD2F3"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b)</w:t>
      </w:r>
      <w:r w:rsidRPr="008A1738">
        <w:rPr>
          <w:rFonts w:ascii="Arial" w:hAnsi="Arial" w:cs="Arial"/>
          <w:sz w:val="20"/>
          <w:szCs w:val="20"/>
        </w:rPr>
        <w:t xml:space="preserve"> Medidas de desempeño financiero, metas y alcance:</w:t>
      </w:r>
    </w:p>
    <w:p w14:paraId="5B5893E2" w14:textId="77777777" w:rsidR="008D6298" w:rsidRPr="008A1738" w:rsidRDefault="008D6298" w:rsidP="00E907BD">
      <w:pPr>
        <w:spacing w:after="0" w:line="240" w:lineRule="auto"/>
        <w:jc w:val="both"/>
        <w:rPr>
          <w:rFonts w:ascii="Arial" w:hAnsi="Arial" w:cs="Arial"/>
          <w:sz w:val="20"/>
          <w:szCs w:val="20"/>
        </w:rPr>
      </w:pPr>
    </w:p>
    <w:p w14:paraId="702E3C9C" w14:textId="77777777" w:rsidR="00E907BD" w:rsidRPr="008A1738" w:rsidRDefault="00E907BD" w:rsidP="00E907BD">
      <w:pPr>
        <w:spacing w:after="0" w:line="240" w:lineRule="auto"/>
        <w:jc w:val="both"/>
        <w:rPr>
          <w:rFonts w:ascii="Arial" w:hAnsi="Arial" w:cs="Arial"/>
          <w:sz w:val="20"/>
          <w:szCs w:val="20"/>
        </w:rPr>
      </w:pPr>
      <w:r w:rsidRPr="008A1738">
        <w:rPr>
          <w:rFonts w:ascii="Arial" w:hAnsi="Arial" w:cs="Arial"/>
          <w:sz w:val="20"/>
          <w:szCs w:val="20"/>
        </w:rPr>
        <w:t xml:space="preserve">Se cuenta con un esquema de medición basado en resultados, donde los Ejecutivos de Promoción y Gerentes de Sucursal tienen asignación de metas. Las metas </w:t>
      </w:r>
      <w:r w:rsidR="002565EE" w:rsidRPr="008A1738">
        <w:rPr>
          <w:rFonts w:ascii="Arial" w:hAnsi="Arial" w:cs="Arial"/>
          <w:sz w:val="20"/>
          <w:szCs w:val="20"/>
        </w:rPr>
        <w:t>son número</w:t>
      </w:r>
      <w:r w:rsidRPr="008A1738">
        <w:rPr>
          <w:rFonts w:ascii="Arial" w:hAnsi="Arial" w:cs="Arial"/>
          <w:sz w:val="20"/>
          <w:szCs w:val="20"/>
        </w:rPr>
        <w:t xml:space="preserve"> de créditos a colocar y cartera vencida por recuperar. En junta directiva se revisa semanalmente el resultado de productividad de créditos a colocar por </w:t>
      </w:r>
      <w:r w:rsidR="002565EE" w:rsidRPr="008A1738">
        <w:rPr>
          <w:rFonts w:ascii="Arial" w:hAnsi="Arial" w:cs="Arial"/>
          <w:sz w:val="20"/>
          <w:szCs w:val="20"/>
        </w:rPr>
        <w:t>Ejecutivo de</w:t>
      </w:r>
      <w:r w:rsidRPr="008A1738">
        <w:rPr>
          <w:rFonts w:ascii="Arial" w:hAnsi="Arial" w:cs="Arial"/>
          <w:sz w:val="20"/>
          <w:szCs w:val="20"/>
        </w:rPr>
        <w:t xml:space="preserve"> Promoción y Gerentes de Sucursal.</w:t>
      </w:r>
    </w:p>
    <w:p w14:paraId="38D82203" w14:textId="77777777" w:rsidR="00E907BD" w:rsidRPr="008A1738" w:rsidRDefault="00E907BD" w:rsidP="00E907BD">
      <w:pPr>
        <w:spacing w:after="0" w:line="240" w:lineRule="auto"/>
        <w:jc w:val="both"/>
        <w:rPr>
          <w:rFonts w:ascii="Arial" w:hAnsi="Arial" w:cs="Arial"/>
          <w:sz w:val="20"/>
          <w:szCs w:val="20"/>
        </w:rPr>
      </w:pPr>
      <w:r w:rsidRPr="008A1738">
        <w:rPr>
          <w:rFonts w:ascii="Arial" w:hAnsi="Arial" w:cs="Arial"/>
          <w:sz w:val="20"/>
          <w:szCs w:val="20"/>
        </w:rPr>
        <w:t xml:space="preserve">El resultado de cumplimiento a metas se presenta al Comité Técnico. </w:t>
      </w:r>
    </w:p>
    <w:p w14:paraId="569D91F3" w14:textId="77777777" w:rsidR="007D1E76" w:rsidRPr="008A1738" w:rsidRDefault="00E907BD" w:rsidP="006A5AC6">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adjunta presentación de cumplimiento a metas, resultado o ranking de Ejecutivos de Promoción y Gerentes de Sucursal.</w:t>
      </w:r>
    </w:p>
    <w:p w14:paraId="75F4EE57" w14:textId="77777777" w:rsidR="00B869D6" w:rsidRPr="008A1738" w:rsidRDefault="00B869D6" w:rsidP="006A5AC6">
      <w:pPr>
        <w:pStyle w:val="Ttulo2"/>
        <w:jc w:val="both"/>
        <w:rPr>
          <w:rFonts w:ascii="Arial" w:hAnsi="Arial" w:cs="Arial"/>
          <w:b/>
          <w:color w:val="auto"/>
          <w:sz w:val="20"/>
          <w:szCs w:val="20"/>
        </w:rPr>
      </w:pPr>
    </w:p>
    <w:p w14:paraId="5068825B" w14:textId="77777777" w:rsidR="007D1E76" w:rsidRPr="008A1738" w:rsidRDefault="007D1E76" w:rsidP="006A5AC6">
      <w:pPr>
        <w:pStyle w:val="Ttulo2"/>
        <w:jc w:val="both"/>
        <w:rPr>
          <w:rFonts w:ascii="Arial" w:hAnsi="Arial" w:cs="Arial"/>
          <w:b/>
          <w:color w:val="auto"/>
          <w:sz w:val="20"/>
          <w:szCs w:val="20"/>
        </w:rPr>
      </w:pPr>
      <w:bookmarkStart w:id="12" w:name="_Toc136350942"/>
      <w:r w:rsidRPr="008A1738">
        <w:rPr>
          <w:rFonts w:ascii="Arial" w:hAnsi="Arial" w:cs="Arial"/>
          <w:b/>
          <w:color w:val="auto"/>
          <w:sz w:val="20"/>
          <w:szCs w:val="20"/>
        </w:rPr>
        <w:t>1</w:t>
      </w:r>
      <w:r w:rsidR="00983283">
        <w:rPr>
          <w:rFonts w:ascii="Arial" w:hAnsi="Arial" w:cs="Arial"/>
          <w:b/>
          <w:color w:val="auto"/>
          <w:sz w:val="20"/>
          <w:szCs w:val="20"/>
        </w:rPr>
        <w:t>3</w:t>
      </w:r>
      <w:r w:rsidR="005E231E" w:rsidRPr="008A1738">
        <w:rPr>
          <w:rFonts w:ascii="Arial" w:hAnsi="Arial" w:cs="Arial"/>
          <w:b/>
          <w:color w:val="auto"/>
          <w:sz w:val="20"/>
          <w:szCs w:val="20"/>
        </w:rPr>
        <w:t>. Información por Segmentos:</w:t>
      </w:r>
      <w:bookmarkEnd w:id="12"/>
    </w:p>
    <w:p w14:paraId="545DB58C"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2A0AA98E"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617836D"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p>
    <w:p w14:paraId="7F19DA70"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Consecuentemente, esta información contribuye al análisis más preciso de la situación financiera, grados y fuentes de riesgo y crec</w:t>
      </w:r>
      <w:r w:rsidR="005E231E" w:rsidRPr="008A1738">
        <w:rPr>
          <w:rFonts w:ascii="Arial" w:hAnsi="Arial" w:cs="Arial"/>
          <w:sz w:val="20"/>
          <w:szCs w:val="20"/>
        </w:rPr>
        <w:t>imiento potencial de negocio.</w:t>
      </w:r>
    </w:p>
    <w:p w14:paraId="1DDE05FB" w14:textId="77777777" w:rsidR="00E907BD" w:rsidRDefault="00E907BD"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Aplica.</w:t>
      </w:r>
    </w:p>
    <w:p w14:paraId="69983B6F" w14:textId="77777777" w:rsidR="00AD46C7" w:rsidRPr="008A1738" w:rsidRDefault="00AD46C7" w:rsidP="006A5AC6">
      <w:pPr>
        <w:pStyle w:val="Ttulo2"/>
        <w:jc w:val="both"/>
        <w:rPr>
          <w:rFonts w:ascii="Arial" w:hAnsi="Arial" w:cs="Arial"/>
          <w:b/>
          <w:color w:val="auto"/>
          <w:sz w:val="20"/>
          <w:szCs w:val="20"/>
        </w:rPr>
      </w:pPr>
    </w:p>
    <w:p w14:paraId="102CF595" w14:textId="77777777" w:rsidR="007D1E76" w:rsidRPr="008A1738" w:rsidRDefault="00983283" w:rsidP="006A5AC6">
      <w:pPr>
        <w:pStyle w:val="Ttulo2"/>
        <w:jc w:val="both"/>
        <w:rPr>
          <w:rFonts w:ascii="Arial" w:hAnsi="Arial" w:cs="Arial"/>
          <w:b/>
          <w:color w:val="auto"/>
          <w:sz w:val="20"/>
          <w:szCs w:val="20"/>
        </w:rPr>
      </w:pPr>
      <w:bookmarkStart w:id="13" w:name="_Toc136350943"/>
      <w:r>
        <w:rPr>
          <w:rFonts w:ascii="Arial" w:hAnsi="Arial" w:cs="Arial"/>
          <w:b/>
          <w:color w:val="auto"/>
          <w:sz w:val="20"/>
          <w:szCs w:val="20"/>
        </w:rPr>
        <w:t>14</w:t>
      </w:r>
      <w:r w:rsidR="007D1E76" w:rsidRPr="008A1738">
        <w:rPr>
          <w:rFonts w:ascii="Arial" w:hAnsi="Arial" w:cs="Arial"/>
          <w:b/>
          <w:color w:val="auto"/>
          <w:sz w:val="20"/>
          <w:szCs w:val="20"/>
        </w:rPr>
        <w:t>. E</w:t>
      </w:r>
      <w:r w:rsidR="005E231E" w:rsidRPr="008A1738">
        <w:rPr>
          <w:rFonts w:ascii="Arial" w:hAnsi="Arial" w:cs="Arial"/>
          <w:b/>
          <w:color w:val="auto"/>
          <w:sz w:val="20"/>
          <w:szCs w:val="20"/>
        </w:rPr>
        <w:t>ventos Posteriores al Cierre:</w:t>
      </w:r>
      <w:bookmarkEnd w:id="13"/>
    </w:p>
    <w:p w14:paraId="27D609F5" w14:textId="77777777" w:rsidR="007D1E76" w:rsidRPr="008A1738" w:rsidRDefault="007D1E76" w:rsidP="006A5AC6">
      <w:pPr>
        <w:tabs>
          <w:tab w:val="left" w:leader="underscore" w:pos="9639"/>
        </w:tabs>
        <w:spacing w:after="0" w:line="240" w:lineRule="auto"/>
        <w:jc w:val="both"/>
        <w:rPr>
          <w:rFonts w:ascii="Arial" w:hAnsi="Arial" w:cs="Arial"/>
          <w:sz w:val="20"/>
          <w:szCs w:val="20"/>
        </w:rPr>
      </w:pPr>
    </w:p>
    <w:p w14:paraId="5948B1A7"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2565EE" w:rsidRPr="008A1738">
        <w:rPr>
          <w:rFonts w:ascii="Arial" w:hAnsi="Arial" w:cs="Arial"/>
          <w:sz w:val="20"/>
          <w:szCs w:val="20"/>
        </w:rPr>
        <w:t>afectan económicamente</w:t>
      </w:r>
      <w:r w:rsidRPr="008A1738">
        <w:rPr>
          <w:rFonts w:ascii="Arial" w:hAnsi="Arial" w:cs="Arial"/>
          <w:sz w:val="20"/>
          <w:szCs w:val="20"/>
        </w:rPr>
        <w:t xml:space="preserve"> y que no se cono</w:t>
      </w:r>
      <w:r w:rsidR="005E231E" w:rsidRPr="008A1738">
        <w:rPr>
          <w:rFonts w:ascii="Arial" w:hAnsi="Arial" w:cs="Arial"/>
          <w:sz w:val="20"/>
          <w:szCs w:val="20"/>
        </w:rPr>
        <w:t>cían a la fecha de cierre.</w:t>
      </w:r>
      <w:r w:rsidR="005E231E" w:rsidRPr="008A1738">
        <w:rPr>
          <w:rFonts w:ascii="Arial" w:hAnsi="Arial" w:cs="Arial"/>
          <w:sz w:val="20"/>
          <w:szCs w:val="20"/>
        </w:rPr>
        <w:cr/>
      </w:r>
      <w:r w:rsidR="00C05222" w:rsidRPr="008A1738">
        <w:rPr>
          <w:rFonts w:ascii="Arial" w:hAnsi="Arial" w:cs="Arial"/>
          <w:sz w:val="20"/>
          <w:szCs w:val="20"/>
        </w:rPr>
        <w:t>No Aplica.</w:t>
      </w:r>
    </w:p>
    <w:p w14:paraId="54D42F9B" w14:textId="77777777" w:rsidR="007D1E76" w:rsidRPr="008A1738" w:rsidRDefault="007D1E76" w:rsidP="00F71420">
      <w:pPr>
        <w:tabs>
          <w:tab w:val="left" w:leader="underscore" w:pos="9639"/>
        </w:tabs>
        <w:spacing w:after="0" w:line="240" w:lineRule="auto"/>
        <w:jc w:val="both"/>
        <w:rPr>
          <w:rFonts w:ascii="Arial" w:hAnsi="Arial" w:cs="Arial"/>
          <w:sz w:val="20"/>
          <w:szCs w:val="20"/>
        </w:rPr>
      </w:pPr>
    </w:p>
    <w:p w14:paraId="6B332246" w14:textId="77777777" w:rsidR="007D1E76" w:rsidRPr="008A1738" w:rsidRDefault="00983283" w:rsidP="00F71420">
      <w:pPr>
        <w:pStyle w:val="Ttulo2"/>
        <w:jc w:val="both"/>
        <w:rPr>
          <w:rFonts w:ascii="Arial" w:hAnsi="Arial" w:cs="Arial"/>
          <w:b/>
          <w:color w:val="auto"/>
          <w:sz w:val="20"/>
          <w:szCs w:val="20"/>
        </w:rPr>
      </w:pPr>
      <w:bookmarkStart w:id="14" w:name="_Toc136350944"/>
      <w:r>
        <w:rPr>
          <w:rFonts w:ascii="Arial" w:hAnsi="Arial" w:cs="Arial"/>
          <w:b/>
          <w:color w:val="auto"/>
          <w:sz w:val="20"/>
          <w:szCs w:val="20"/>
        </w:rPr>
        <w:t>15</w:t>
      </w:r>
      <w:r w:rsidR="005E231E" w:rsidRPr="008A1738">
        <w:rPr>
          <w:rFonts w:ascii="Arial" w:hAnsi="Arial" w:cs="Arial"/>
          <w:b/>
          <w:color w:val="auto"/>
          <w:sz w:val="20"/>
          <w:szCs w:val="20"/>
        </w:rPr>
        <w:t>. Partes Relacionadas:</w:t>
      </w:r>
      <w:bookmarkEnd w:id="14"/>
    </w:p>
    <w:p w14:paraId="23B6D6E3" w14:textId="77777777" w:rsidR="007D1E76" w:rsidRPr="008A1738" w:rsidRDefault="007D1E76" w:rsidP="00F71420">
      <w:pPr>
        <w:tabs>
          <w:tab w:val="left" w:leader="underscore" w:pos="9639"/>
        </w:tabs>
        <w:spacing w:after="0" w:line="240" w:lineRule="auto"/>
        <w:jc w:val="both"/>
        <w:rPr>
          <w:rFonts w:ascii="Arial" w:hAnsi="Arial" w:cs="Arial"/>
          <w:sz w:val="20"/>
          <w:szCs w:val="20"/>
        </w:rPr>
      </w:pPr>
    </w:p>
    <w:p w14:paraId="385E74E4" w14:textId="77777777" w:rsidR="007D1E76" w:rsidRPr="008A1738" w:rsidRDefault="007D1E76"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Se debe establecer por escrito que no existen partes relacionadas que pudieran ejercer influencia significativa sobre la toma de decisiones financieras y operativas:</w:t>
      </w:r>
    </w:p>
    <w:p w14:paraId="1AB73209" w14:textId="77777777" w:rsidR="007D1E76" w:rsidRPr="008A1738" w:rsidRDefault="00E907BD"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No Existen Partes Relacionadas.</w:t>
      </w:r>
    </w:p>
    <w:p w14:paraId="010749A2" w14:textId="77777777" w:rsidR="007D1E76" w:rsidRPr="008A1738" w:rsidRDefault="007D1E76" w:rsidP="00F71420">
      <w:pPr>
        <w:tabs>
          <w:tab w:val="left" w:leader="underscore" w:pos="9639"/>
        </w:tabs>
        <w:spacing w:after="0" w:line="240" w:lineRule="auto"/>
        <w:jc w:val="both"/>
        <w:rPr>
          <w:rFonts w:ascii="Arial" w:hAnsi="Arial" w:cs="Arial"/>
          <w:sz w:val="20"/>
          <w:szCs w:val="20"/>
        </w:rPr>
      </w:pPr>
    </w:p>
    <w:p w14:paraId="0FA06E79" w14:textId="77777777" w:rsidR="007D1E76" w:rsidRPr="008A1738" w:rsidRDefault="00983283" w:rsidP="00F71420">
      <w:pPr>
        <w:pStyle w:val="Ttulo2"/>
        <w:jc w:val="both"/>
        <w:rPr>
          <w:rFonts w:ascii="Arial" w:hAnsi="Arial" w:cs="Arial"/>
          <w:b/>
          <w:color w:val="auto"/>
          <w:sz w:val="20"/>
          <w:szCs w:val="20"/>
        </w:rPr>
      </w:pPr>
      <w:bookmarkStart w:id="15" w:name="_Toc508279637"/>
      <w:bookmarkStart w:id="16" w:name="_Toc136350945"/>
      <w:r>
        <w:rPr>
          <w:rFonts w:ascii="Arial" w:hAnsi="Arial" w:cs="Arial"/>
          <w:b/>
          <w:color w:val="auto"/>
          <w:sz w:val="20"/>
          <w:szCs w:val="20"/>
        </w:rPr>
        <w:t>16</w:t>
      </w:r>
      <w:r w:rsidR="007D1E76" w:rsidRPr="008A1738">
        <w:rPr>
          <w:rFonts w:ascii="Arial" w:hAnsi="Arial" w:cs="Arial"/>
          <w:b/>
          <w:color w:val="auto"/>
          <w:sz w:val="20"/>
          <w:szCs w:val="20"/>
        </w:rPr>
        <w:t xml:space="preserve">. </w:t>
      </w:r>
      <w:r w:rsidR="001973A2" w:rsidRPr="008A1738">
        <w:rPr>
          <w:rFonts w:ascii="Arial" w:hAnsi="Arial" w:cs="Arial"/>
          <w:b/>
          <w:color w:val="auto"/>
          <w:sz w:val="20"/>
          <w:szCs w:val="20"/>
        </w:rPr>
        <w:t>Responsabilidad Sobre la Presentación Razonable de la Información Contable</w:t>
      </w:r>
      <w:r w:rsidR="005E231E" w:rsidRPr="008A1738">
        <w:rPr>
          <w:rFonts w:ascii="Arial" w:hAnsi="Arial" w:cs="Arial"/>
          <w:b/>
          <w:color w:val="auto"/>
          <w:sz w:val="20"/>
          <w:szCs w:val="20"/>
        </w:rPr>
        <w:t>:</w:t>
      </w:r>
      <w:bookmarkEnd w:id="15"/>
      <w:bookmarkEnd w:id="16"/>
    </w:p>
    <w:p w14:paraId="18BAC84A" w14:textId="77777777" w:rsidR="007D1E76" w:rsidRPr="008A1738" w:rsidRDefault="007D1E76" w:rsidP="00F71420">
      <w:pPr>
        <w:tabs>
          <w:tab w:val="left" w:leader="underscore" w:pos="9639"/>
        </w:tabs>
        <w:spacing w:after="0" w:line="240" w:lineRule="auto"/>
        <w:jc w:val="both"/>
        <w:rPr>
          <w:rFonts w:ascii="Arial" w:hAnsi="Arial" w:cs="Arial"/>
          <w:sz w:val="20"/>
          <w:szCs w:val="20"/>
        </w:rPr>
      </w:pPr>
    </w:p>
    <w:p w14:paraId="50A283EE" w14:textId="77777777" w:rsidR="007D1E76" w:rsidRPr="008A1738" w:rsidRDefault="001973A2" w:rsidP="00CB41C4">
      <w:pPr>
        <w:tabs>
          <w:tab w:val="left" w:leader="underscore" w:pos="9639"/>
        </w:tabs>
        <w:spacing w:after="0" w:line="240" w:lineRule="auto"/>
        <w:jc w:val="both"/>
        <w:rPr>
          <w:rFonts w:ascii="Arial" w:hAnsi="Arial" w:cs="Arial"/>
          <w:sz w:val="20"/>
          <w:szCs w:val="20"/>
        </w:rPr>
      </w:pPr>
      <w:r w:rsidRPr="008A1738">
        <w:rPr>
          <w:rFonts w:ascii="Arial" w:hAnsi="Arial" w:cs="Arial"/>
          <w:sz w:val="20"/>
          <w:szCs w:val="20"/>
        </w:rPr>
        <w:t xml:space="preserve">La Información Contable </w:t>
      </w:r>
      <w:r w:rsidR="00040D4F" w:rsidRPr="008A1738">
        <w:rPr>
          <w:rFonts w:ascii="Arial" w:hAnsi="Arial" w:cs="Arial"/>
          <w:sz w:val="20"/>
          <w:szCs w:val="20"/>
        </w:rPr>
        <w:t xml:space="preserve">está </w:t>
      </w:r>
      <w:r w:rsidRPr="008A1738">
        <w:rPr>
          <w:rFonts w:ascii="Arial" w:hAnsi="Arial" w:cs="Arial"/>
          <w:sz w:val="20"/>
          <w:szCs w:val="20"/>
        </w:rPr>
        <w:t xml:space="preserve">firmada en cada página de </w:t>
      </w:r>
      <w:proofErr w:type="gramStart"/>
      <w:r w:rsidRPr="008A1738">
        <w:rPr>
          <w:rFonts w:ascii="Arial" w:hAnsi="Arial" w:cs="Arial"/>
          <w:sz w:val="20"/>
          <w:szCs w:val="20"/>
        </w:rPr>
        <w:t>la misma</w:t>
      </w:r>
      <w:proofErr w:type="gramEnd"/>
      <w:r w:rsidR="00040D4F" w:rsidRPr="008A1738">
        <w:rPr>
          <w:rFonts w:ascii="Arial" w:hAnsi="Arial" w:cs="Arial"/>
          <w:sz w:val="20"/>
          <w:szCs w:val="20"/>
        </w:rPr>
        <w:t xml:space="preserve"> y se </w:t>
      </w:r>
      <w:r w:rsidRPr="008A1738">
        <w:rPr>
          <w:rFonts w:ascii="Arial" w:hAnsi="Arial" w:cs="Arial"/>
          <w:sz w:val="20"/>
          <w:szCs w:val="20"/>
        </w:rPr>
        <w:t>inclu</w:t>
      </w:r>
      <w:r w:rsidR="00040D4F" w:rsidRPr="008A1738">
        <w:rPr>
          <w:rFonts w:ascii="Arial" w:hAnsi="Arial" w:cs="Arial"/>
          <w:sz w:val="20"/>
          <w:szCs w:val="20"/>
        </w:rPr>
        <w:t>ye</w:t>
      </w:r>
      <w:r w:rsidRPr="008A1738">
        <w:rPr>
          <w:rFonts w:ascii="Arial" w:hAnsi="Arial" w:cs="Arial"/>
          <w:sz w:val="20"/>
          <w:szCs w:val="20"/>
        </w:rPr>
        <w:t xml:space="preserve"> al final la siguiente leyenda: “Bajo protesta de decir verdad declaramos que los Estados Financieros y sus notas, son razonablemente correctos y son responsabilidad del emisor”. Lo anterior, no </w:t>
      </w:r>
      <w:r w:rsidR="00040D4F" w:rsidRPr="008A1738">
        <w:rPr>
          <w:rFonts w:ascii="Arial" w:hAnsi="Arial" w:cs="Arial"/>
          <w:sz w:val="20"/>
          <w:szCs w:val="20"/>
        </w:rPr>
        <w:t>es</w:t>
      </w:r>
      <w:r w:rsidRPr="008A1738">
        <w:rPr>
          <w:rFonts w:ascii="Arial" w:hAnsi="Arial" w:cs="Arial"/>
          <w:sz w:val="20"/>
          <w:szCs w:val="20"/>
        </w:rPr>
        <w:t xml:space="preserve"> aplicable para la información contable consolidada.</w:t>
      </w:r>
    </w:p>
    <w:p w14:paraId="05AC16C5" w14:textId="77777777" w:rsidR="004C5235" w:rsidRPr="008A1738" w:rsidRDefault="004C5235" w:rsidP="00CB41C4">
      <w:pPr>
        <w:pBdr>
          <w:bottom w:val="single" w:sz="12" w:space="1" w:color="auto"/>
        </w:pBdr>
        <w:tabs>
          <w:tab w:val="left" w:leader="underscore" w:pos="9639"/>
        </w:tabs>
        <w:spacing w:after="0" w:line="240" w:lineRule="auto"/>
        <w:jc w:val="both"/>
        <w:rPr>
          <w:rFonts w:ascii="Arial" w:hAnsi="Arial" w:cs="Arial"/>
          <w:sz w:val="20"/>
          <w:szCs w:val="20"/>
        </w:rPr>
      </w:pPr>
    </w:p>
    <w:p w14:paraId="35F24282" w14:textId="77777777" w:rsidR="004C5235" w:rsidRDefault="004C5235" w:rsidP="00CB41C4">
      <w:pPr>
        <w:pBdr>
          <w:bottom w:val="single" w:sz="12" w:space="1" w:color="auto"/>
        </w:pBdr>
        <w:tabs>
          <w:tab w:val="left" w:leader="underscore" w:pos="9639"/>
        </w:tabs>
        <w:spacing w:after="0" w:line="240" w:lineRule="auto"/>
        <w:jc w:val="both"/>
        <w:rPr>
          <w:rFonts w:ascii="Arial" w:hAnsi="Arial" w:cs="Arial"/>
          <w:sz w:val="20"/>
          <w:szCs w:val="20"/>
        </w:rPr>
      </w:pPr>
    </w:p>
    <w:p w14:paraId="29EE3EE2" w14:textId="77777777" w:rsidR="00D63E65" w:rsidRDefault="00D63E65" w:rsidP="00CB41C4">
      <w:pPr>
        <w:pBdr>
          <w:bottom w:val="single" w:sz="12" w:space="1" w:color="auto"/>
        </w:pBdr>
        <w:tabs>
          <w:tab w:val="left" w:leader="underscore" w:pos="9639"/>
        </w:tabs>
        <w:spacing w:after="0" w:line="240" w:lineRule="auto"/>
        <w:jc w:val="both"/>
        <w:rPr>
          <w:rFonts w:ascii="Arial" w:hAnsi="Arial" w:cs="Arial"/>
          <w:sz w:val="20"/>
          <w:szCs w:val="20"/>
        </w:rPr>
      </w:pPr>
    </w:p>
    <w:p w14:paraId="33EF2CC8" w14:textId="77777777" w:rsidR="00D63E65" w:rsidRDefault="00D63E65" w:rsidP="00CB41C4">
      <w:pPr>
        <w:pBdr>
          <w:bottom w:val="single" w:sz="12" w:space="1" w:color="auto"/>
        </w:pBdr>
        <w:tabs>
          <w:tab w:val="left" w:leader="underscore" w:pos="9639"/>
        </w:tabs>
        <w:spacing w:after="0" w:line="240" w:lineRule="auto"/>
        <w:jc w:val="both"/>
        <w:rPr>
          <w:rFonts w:ascii="Arial" w:hAnsi="Arial" w:cs="Arial"/>
          <w:sz w:val="20"/>
          <w:szCs w:val="20"/>
        </w:rPr>
      </w:pPr>
    </w:p>
    <w:p w14:paraId="7995D5D6" w14:textId="77777777" w:rsidR="00D63E65" w:rsidRDefault="00D63E65" w:rsidP="00CB41C4">
      <w:pPr>
        <w:pBdr>
          <w:bottom w:val="single" w:sz="12" w:space="1" w:color="auto"/>
        </w:pBdr>
        <w:tabs>
          <w:tab w:val="left" w:leader="underscore" w:pos="9639"/>
        </w:tabs>
        <w:spacing w:after="0" w:line="240" w:lineRule="auto"/>
        <w:jc w:val="both"/>
        <w:rPr>
          <w:rFonts w:ascii="Arial" w:hAnsi="Arial" w:cs="Arial"/>
          <w:sz w:val="20"/>
          <w:szCs w:val="20"/>
        </w:rPr>
      </w:pPr>
    </w:p>
    <w:p w14:paraId="04396323" w14:textId="77777777" w:rsidR="00D63E65" w:rsidRDefault="00D63E65" w:rsidP="00CB41C4">
      <w:pPr>
        <w:pBdr>
          <w:bottom w:val="single" w:sz="12" w:space="1" w:color="auto"/>
        </w:pBdr>
        <w:tabs>
          <w:tab w:val="left" w:leader="underscore" w:pos="9639"/>
        </w:tabs>
        <w:spacing w:after="0" w:line="240" w:lineRule="auto"/>
        <w:jc w:val="both"/>
        <w:rPr>
          <w:rFonts w:ascii="Arial" w:hAnsi="Arial" w:cs="Arial"/>
          <w:sz w:val="20"/>
          <w:szCs w:val="20"/>
        </w:rPr>
      </w:pPr>
    </w:p>
    <w:p w14:paraId="289CFAE0" w14:textId="77777777" w:rsidR="004C5235" w:rsidRPr="008A1738" w:rsidRDefault="004C5235" w:rsidP="00CB41C4">
      <w:pPr>
        <w:pBdr>
          <w:bottom w:val="single" w:sz="12" w:space="1" w:color="auto"/>
        </w:pBdr>
        <w:tabs>
          <w:tab w:val="left" w:leader="underscore" w:pos="9639"/>
        </w:tabs>
        <w:spacing w:after="0" w:line="240" w:lineRule="auto"/>
        <w:jc w:val="both"/>
        <w:rPr>
          <w:rFonts w:ascii="Arial" w:hAnsi="Arial" w:cs="Arial"/>
          <w:sz w:val="20"/>
          <w:szCs w:val="20"/>
        </w:rPr>
      </w:pPr>
    </w:p>
    <w:p w14:paraId="29512FF4" w14:textId="77777777" w:rsidR="00AE1F6A" w:rsidRPr="008A1738" w:rsidRDefault="00AE1F6A" w:rsidP="00CB41C4">
      <w:pPr>
        <w:tabs>
          <w:tab w:val="left" w:leader="underscore" w:pos="9639"/>
        </w:tabs>
        <w:spacing w:after="0" w:line="240" w:lineRule="auto"/>
        <w:jc w:val="both"/>
        <w:rPr>
          <w:rFonts w:ascii="Arial" w:hAnsi="Arial" w:cs="Arial"/>
          <w:sz w:val="20"/>
          <w:szCs w:val="20"/>
        </w:rPr>
      </w:pPr>
      <w:r w:rsidRPr="008A1738">
        <w:rPr>
          <w:rFonts w:ascii="Arial" w:hAnsi="Arial" w:cs="Arial"/>
          <w:b/>
          <w:sz w:val="20"/>
          <w:szCs w:val="20"/>
        </w:rPr>
        <w:t xml:space="preserve">Nota </w:t>
      </w:r>
      <w:r w:rsidR="00CF1316" w:rsidRPr="008A1738">
        <w:rPr>
          <w:rFonts w:ascii="Arial" w:hAnsi="Arial" w:cs="Arial"/>
          <w:b/>
          <w:sz w:val="20"/>
          <w:szCs w:val="20"/>
        </w:rPr>
        <w:t>1</w:t>
      </w:r>
      <w:r w:rsidRPr="008A1738">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2AA96F8B" w14:textId="77777777" w:rsidR="009C3AB2" w:rsidRPr="008A1738" w:rsidRDefault="009C3AB2" w:rsidP="00CB41C4">
      <w:pPr>
        <w:pBdr>
          <w:bottom w:val="single" w:sz="12" w:space="1" w:color="auto"/>
        </w:pBdr>
        <w:tabs>
          <w:tab w:val="left" w:leader="underscore" w:pos="9639"/>
        </w:tabs>
        <w:spacing w:after="0" w:line="240" w:lineRule="auto"/>
        <w:jc w:val="both"/>
        <w:rPr>
          <w:rFonts w:ascii="Arial" w:hAnsi="Arial" w:cs="Arial"/>
          <w:sz w:val="20"/>
          <w:szCs w:val="20"/>
        </w:rPr>
      </w:pPr>
    </w:p>
    <w:p w14:paraId="41290169" w14:textId="77777777" w:rsidR="009C3AB2" w:rsidRPr="008A1738" w:rsidRDefault="00881DA6" w:rsidP="00F71420">
      <w:pPr>
        <w:jc w:val="both"/>
        <w:rPr>
          <w:rFonts w:ascii="Arial" w:hAnsi="Arial" w:cs="Arial"/>
          <w:sz w:val="20"/>
          <w:szCs w:val="20"/>
        </w:rPr>
      </w:pPr>
      <w:r w:rsidRPr="008A1738">
        <w:rPr>
          <w:rFonts w:ascii="Arial" w:hAnsi="Arial" w:cs="Arial"/>
          <w:sz w:val="20"/>
          <w:szCs w:val="20"/>
        </w:rPr>
        <w:t>“Bajo protesta de decir verdad declaramos que los Estados Financieros y sus notas, son razonablemente correctos y son responsabilidad del emisor”</w:t>
      </w:r>
    </w:p>
    <w:p w14:paraId="5D27F1C9" w14:textId="77777777" w:rsidR="00881DA6" w:rsidRPr="008A1738" w:rsidRDefault="00881DA6" w:rsidP="00F71420">
      <w:pPr>
        <w:jc w:val="both"/>
        <w:rPr>
          <w:rFonts w:ascii="Arial" w:hAnsi="Arial" w:cs="Arial"/>
          <w:sz w:val="20"/>
          <w:szCs w:val="20"/>
        </w:rPr>
      </w:pPr>
    </w:p>
    <w:p w14:paraId="60738149" w14:textId="77777777" w:rsidR="00881DA6" w:rsidRPr="008A1738" w:rsidRDefault="00881DA6" w:rsidP="00F71420">
      <w:pPr>
        <w:jc w:val="both"/>
        <w:rPr>
          <w:rFonts w:ascii="Arial" w:hAnsi="Arial" w:cs="Arial"/>
          <w:sz w:val="20"/>
          <w:szCs w:val="20"/>
        </w:rPr>
      </w:pPr>
    </w:p>
    <w:p w14:paraId="4A33C27B" w14:textId="77777777" w:rsidR="009C3AB2" w:rsidRPr="008A1738" w:rsidRDefault="00983283" w:rsidP="009C3AB2">
      <w:pPr>
        <w:rPr>
          <w:rFonts w:ascii="Arial" w:hAnsi="Arial" w:cs="Arial"/>
          <w:sz w:val="20"/>
          <w:szCs w:val="20"/>
        </w:rPr>
      </w:pPr>
      <w:r>
        <w:rPr>
          <w:rFonts w:ascii="Arial" w:hAnsi="Arial" w:cs="Arial"/>
          <w:noProof/>
          <w:sz w:val="20"/>
          <w:szCs w:val="20"/>
          <w:lang w:eastAsia="es-MX"/>
        </w:rPr>
        <mc:AlternateContent>
          <mc:Choice Requires="wps">
            <w:drawing>
              <wp:anchor distT="4294967295" distB="4294967295" distL="114300" distR="114300" simplePos="0" relativeHeight="251661312" behindDoc="0" locked="0" layoutInCell="1" allowOverlap="1" wp14:anchorId="7B38114E" wp14:editId="30FCD825">
                <wp:simplePos x="0" y="0"/>
                <wp:positionH relativeFrom="column">
                  <wp:posOffset>3314700</wp:posOffset>
                </wp:positionH>
                <wp:positionV relativeFrom="paragraph">
                  <wp:posOffset>311149</wp:posOffset>
                </wp:positionV>
                <wp:extent cx="2464435" cy="0"/>
                <wp:effectExtent l="0" t="0" r="12065" b="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44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7220ED" id="4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24.5pt" to="455.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" strokecolor="black [3200]" strokeweight=".5pt">
                <v:stroke joinstyle="miter"/>
                <o:lock v:ext="edit" shapetype="f"/>
              </v:line>
            </w:pict>
          </mc:Fallback>
        </mc:AlternateContent>
      </w:r>
      <w:r>
        <w:rPr>
          <w:rFonts w:ascii="Arial" w:hAnsi="Arial" w:cs="Arial"/>
          <w:noProof/>
          <w:sz w:val="20"/>
          <w:szCs w:val="20"/>
          <w:lang w:eastAsia="es-MX"/>
        </w:rPr>
        <mc:AlternateContent>
          <mc:Choice Requires="wps">
            <w:drawing>
              <wp:anchor distT="4294967295" distB="4294967295" distL="114300" distR="114300" simplePos="0" relativeHeight="251659264" behindDoc="0" locked="0" layoutInCell="1" allowOverlap="1" wp14:anchorId="6EFCD230" wp14:editId="741877F7">
                <wp:simplePos x="0" y="0"/>
                <wp:positionH relativeFrom="column">
                  <wp:posOffset>609600</wp:posOffset>
                </wp:positionH>
                <wp:positionV relativeFrom="paragraph">
                  <wp:posOffset>311149</wp:posOffset>
                </wp:positionV>
                <wp:extent cx="2464435" cy="0"/>
                <wp:effectExtent l="0" t="0" r="12065" b="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44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80E882" id="4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24.5pt" to="24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" strokecolor="black [3200]" strokeweight=".5pt">
                <v:stroke joinstyle="miter"/>
                <o:lock v:ext="edit" shapetype="f"/>
              </v:line>
            </w:pict>
          </mc:Fallback>
        </mc:AlternateContent>
      </w:r>
    </w:p>
    <w:p w14:paraId="3EB8D747" w14:textId="41228B3F" w:rsidR="007610BC" w:rsidRPr="008A1738" w:rsidRDefault="00F64E92" w:rsidP="00AA4DD8">
      <w:pPr>
        <w:tabs>
          <w:tab w:val="left" w:pos="5310"/>
        </w:tabs>
        <w:jc w:val="center"/>
        <w:rPr>
          <w:rFonts w:ascii="Arial" w:hAnsi="Arial" w:cs="Arial"/>
          <w:sz w:val="20"/>
          <w:szCs w:val="20"/>
        </w:rPr>
      </w:pPr>
      <w:r>
        <w:rPr>
          <w:rFonts w:ascii="Arial" w:hAnsi="Arial" w:cs="Arial"/>
          <w:sz w:val="20"/>
          <w:szCs w:val="20"/>
        </w:rPr>
        <w:t xml:space="preserve">    </w:t>
      </w:r>
      <w:r w:rsidR="001E5D83">
        <w:rPr>
          <w:rFonts w:ascii="Arial" w:hAnsi="Arial" w:cs="Arial"/>
          <w:sz w:val="20"/>
          <w:szCs w:val="20"/>
        </w:rPr>
        <w:t xml:space="preserve">    Ricardo Martínez Huaracha</w:t>
      </w:r>
      <w:r w:rsidR="00AA4DD8" w:rsidRPr="008A1738">
        <w:rPr>
          <w:rFonts w:ascii="Arial" w:hAnsi="Arial" w:cs="Arial"/>
          <w:sz w:val="20"/>
          <w:szCs w:val="20"/>
        </w:rPr>
        <w:t xml:space="preserve">          </w:t>
      </w:r>
      <w:r>
        <w:rPr>
          <w:rFonts w:ascii="Arial" w:hAnsi="Arial" w:cs="Arial"/>
          <w:sz w:val="20"/>
          <w:szCs w:val="20"/>
        </w:rPr>
        <w:t xml:space="preserve">                    Fátima Karina</w:t>
      </w:r>
      <w:r w:rsidR="00AA4DD8" w:rsidRPr="008A1738">
        <w:rPr>
          <w:rFonts w:ascii="Arial" w:hAnsi="Arial" w:cs="Arial"/>
          <w:sz w:val="20"/>
          <w:szCs w:val="20"/>
        </w:rPr>
        <w:t xml:space="preserve"> </w:t>
      </w:r>
      <w:r>
        <w:rPr>
          <w:rFonts w:ascii="Arial" w:hAnsi="Arial" w:cs="Arial"/>
          <w:sz w:val="20"/>
          <w:szCs w:val="20"/>
        </w:rPr>
        <w:t>López</w:t>
      </w:r>
      <w:r w:rsidR="00AA4DD8" w:rsidRPr="008A1738">
        <w:rPr>
          <w:rFonts w:ascii="Arial" w:hAnsi="Arial" w:cs="Arial"/>
          <w:sz w:val="20"/>
          <w:szCs w:val="20"/>
        </w:rPr>
        <w:t xml:space="preserve"> </w:t>
      </w:r>
      <w:r>
        <w:rPr>
          <w:rFonts w:ascii="Arial" w:hAnsi="Arial" w:cs="Arial"/>
          <w:sz w:val="20"/>
          <w:szCs w:val="20"/>
        </w:rPr>
        <w:t>Jiménez</w:t>
      </w:r>
    </w:p>
    <w:p w14:paraId="54279C87" w14:textId="4735C85D" w:rsidR="00AA4DD8" w:rsidRPr="008A1738" w:rsidRDefault="00D65C14" w:rsidP="00D65C14">
      <w:pPr>
        <w:tabs>
          <w:tab w:val="left" w:pos="5310"/>
        </w:tabs>
        <w:rPr>
          <w:rFonts w:ascii="Arial" w:hAnsi="Arial" w:cs="Arial"/>
          <w:sz w:val="20"/>
          <w:szCs w:val="20"/>
        </w:rPr>
      </w:pPr>
      <w:r w:rsidRPr="008A1738">
        <w:rPr>
          <w:rFonts w:ascii="Arial" w:hAnsi="Arial" w:cs="Arial"/>
          <w:sz w:val="20"/>
          <w:szCs w:val="20"/>
        </w:rPr>
        <w:t xml:space="preserve">            </w:t>
      </w:r>
      <w:r w:rsidR="00996308">
        <w:rPr>
          <w:rFonts w:ascii="Arial" w:hAnsi="Arial" w:cs="Arial"/>
          <w:sz w:val="20"/>
          <w:szCs w:val="20"/>
        </w:rPr>
        <w:t xml:space="preserve">                     </w:t>
      </w:r>
      <w:r w:rsidR="00F64E92">
        <w:rPr>
          <w:rFonts w:ascii="Arial" w:hAnsi="Arial" w:cs="Arial"/>
          <w:sz w:val="20"/>
          <w:szCs w:val="20"/>
        </w:rPr>
        <w:t xml:space="preserve">   </w:t>
      </w:r>
      <w:r w:rsidR="001E5D83">
        <w:rPr>
          <w:rFonts w:ascii="Arial" w:hAnsi="Arial" w:cs="Arial"/>
          <w:sz w:val="20"/>
          <w:szCs w:val="20"/>
        </w:rPr>
        <w:t xml:space="preserve">  </w:t>
      </w:r>
      <w:r w:rsidR="00AA4DD8" w:rsidRPr="008A1738">
        <w:rPr>
          <w:rFonts w:ascii="Arial" w:hAnsi="Arial" w:cs="Arial"/>
          <w:sz w:val="20"/>
          <w:szCs w:val="20"/>
        </w:rPr>
        <w:t>Direc</w:t>
      </w:r>
      <w:r w:rsidR="003A2374" w:rsidRPr="008A1738">
        <w:rPr>
          <w:rFonts w:ascii="Arial" w:hAnsi="Arial" w:cs="Arial"/>
          <w:sz w:val="20"/>
          <w:szCs w:val="20"/>
        </w:rPr>
        <w:t>tor</w:t>
      </w:r>
      <w:r w:rsidR="00AA4DD8" w:rsidRPr="008A1738">
        <w:rPr>
          <w:rFonts w:ascii="Arial" w:hAnsi="Arial" w:cs="Arial"/>
          <w:sz w:val="20"/>
          <w:szCs w:val="20"/>
        </w:rPr>
        <w:t xml:space="preserve"> General      </w:t>
      </w:r>
      <w:r w:rsidRPr="008A1738">
        <w:rPr>
          <w:rFonts w:ascii="Arial" w:hAnsi="Arial" w:cs="Arial"/>
          <w:sz w:val="20"/>
          <w:szCs w:val="20"/>
        </w:rPr>
        <w:t xml:space="preserve">                </w:t>
      </w:r>
      <w:r w:rsidR="00F931AE">
        <w:rPr>
          <w:rFonts w:ascii="Arial" w:hAnsi="Arial" w:cs="Arial"/>
          <w:sz w:val="20"/>
          <w:szCs w:val="20"/>
        </w:rPr>
        <w:t xml:space="preserve">                   Coordinador</w:t>
      </w:r>
      <w:r w:rsidR="00AA4DD8" w:rsidRPr="008A1738">
        <w:rPr>
          <w:rFonts w:ascii="Arial" w:hAnsi="Arial" w:cs="Arial"/>
          <w:sz w:val="20"/>
          <w:szCs w:val="20"/>
        </w:rPr>
        <w:t xml:space="preserve"> de Contabilidad</w:t>
      </w:r>
    </w:p>
    <w:sectPr w:rsidR="00AA4DD8" w:rsidRPr="008A1738" w:rsidSect="0056749D">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661DA" w14:textId="77777777" w:rsidR="00406D48" w:rsidRDefault="00406D48" w:rsidP="00E00323">
      <w:pPr>
        <w:spacing w:after="0" w:line="240" w:lineRule="auto"/>
      </w:pPr>
      <w:r>
        <w:separator/>
      </w:r>
    </w:p>
  </w:endnote>
  <w:endnote w:type="continuationSeparator" w:id="0">
    <w:p w14:paraId="01C9E40E" w14:textId="77777777" w:rsidR="00406D48" w:rsidRDefault="00406D4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236D19AB" w14:textId="77777777" w:rsidR="00DC5CF7" w:rsidRDefault="00DC5CF7">
        <w:pPr>
          <w:pStyle w:val="Piedepgina"/>
          <w:jc w:val="right"/>
        </w:pPr>
        <w:r>
          <w:fldChar w:fldCharType="begin"/>
        </w:r>
        <w:r>
          <w:instrText>PAGE   \* MERGEFORMAT</w:instrText>
        </w:r>
        <w:r>
          <w:fldChar w:fldCharType="separate"/>
        </w:r>
        <w:r w:rsidR="00AF4ED3" w:rsidRPr="00AF4ED3">
          <w:rPr>
            <w:noProof/>
            <w:lang w:val="es-ES"/>
          </w:rPr>
          <w:t>2</w:t>
        </w:r>
        <w:r>
          <w:rPr>
            <w:noProof/>
            <w:lang w:val="es-ES"/>
          </w:rPr>
          <w:fldChar w:fldCharType="end"/>
        </w:r>
      </w:p>
    </w:sdtContent>
  </w:sdt>
  <w:p w14:paraId="2B7E7C61" w14:textId="77777777" w:rsidR="00DC5CF7" w:rsidRDefault="00DC5C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08AEA" w14:textId="77777777" w:rsidR="00406D48" w:rsidRDefault="00406D48" w:rsidP="00E00323">
      <w:pPr>
        <w:spacing w:after="0" w:line="240" w:lineRule="auto"/>
      </w:pPr>
      <w:r>
        <w:separator/>
      </w:r>
    </w:p>
  </w:footnote>
  <w:footnote w:type="continuationSeparator" w:id="0">
    <w:p w14:paraId="60191F5D" w14:textId="77777777" w:rsidR="00406D48" w:rsidRDefault="00406D4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228D" w14:textId="77777777" w:rsidR="00DC5CF7" w:rsidRDefault="00DC5CF7" w:rsidP="00A4610E">
    <w:pPr>
      <w:pStyle w:val="Encabezado"/>
      <w:spacing w:after="0" w:line="240" w:lineRule="auto"/>
      <w:jc w:val="center"/>
    </w:pPr>
    <w:r>
      <w:t>FONDOS GUANAJUATO DE FINANCIAMIENTO</w:t>
    </w:r>
  </w:p>
  <w:p w14:paraId="0C594C00" w14:textId="53D9A20E" w:rsidR="00DC5CF7" w:rsidRDefault="00DC5CF7" w:rsidP="00912D59">
    <w:pPr>
      <w:pStyle w:val="Encabezado"/>
      <w:spacing w:after="0" w:line="240" w:lineRule="auto"/>
      <w:jc w:val="center"/>
    </w:pPr>
    <w:r w:rsidRPr="00A4610E">
      <w:t>CORRESPONDI</w:t>
    </w:r>
    <w:r>
      <w:t>E</w:t>
    </w:r>
    <w:r w:rsidRPr="00A4610E">
      <w:t xml:space="preserve">NTES AL </w:t>
    </w:r>
    <w:r w:rsidR="00912D59">
      <w:t>3</w:t>
    </w:r>
    <w:r w:rsidR="0088690D">
      <w:t>1</w:t>
    </w:r>
    <w:r w:rsidR="00912D59">
      <w:t xml:space="preserve"> </w:t>
    </w:r>
    <w:r>
      <w:t xml:space="preserve">DE </w:t>
    </w:r>
    <w:r w:rsidR="00096873">
      <w:t>MARZO DE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88F"/>
    <w:multiLevelType w:val="hybridMultilevel"/>
    <w:tmpl w:val="9FECC536"/>
    <w:lvl w:ilvl="0" w:tplc="79F2C728">
      <w:start w:val="1"/>
      <w:numFmt w:val="bullet"/>
      <w:lvlText w:val="-"/>
      <w:lvlJc w:val="left"/>
      <w:pPr>
        <w:tabs>
          <w:tab w:val="num" w:pos="2165"/>
        </w:tabs>
        <w:ind w:left="2165"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07672D5D"/>
    <w:multiLevelType w:val="hybridMultilevel"/>
    <w:tmpl w:val="FF749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6701A4"/>
    <w:multiLevelType w:val="hybridMultilevel"/>
    <w:tmpl w:val="D5BC0B24"/>
    <w:lvl w:ilvl="0" w:tplc="1D9080A6">
      <w:start w:val="1"/>
      <w:numFmt w:val="decimal"/>
      <w:lvlText w:val="%1."/>
      <w:lvlJc w:val="left"/>
      <w:pPr>
        <w:tabs>
          <w:tab w:val="num" w:pos="720"/>
        </w:tabs>
        <w:ind w:left="720" w:hanging="360"/>
      </w:pPr>
      <w:rPr>
        <w:rFonts w:hint="default"/>
        <w:b/>
      </w:rPr>
    </w:lvl>
    <w:lvl w:ilvl="1" w:tplc="9C307B3E">
      <w:start w:val="1"/>
      <w:numFmt w:val="upperLetter"/>
      <w:lvlText w:val="%2)"/>
      <w:lvlJc w:val="left"/>
      <w:pPr>
        <w:ind w:left="2055" w:hanging="975"/>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7A81270"/>
    <w:multiLevelType w:val="hybridMultilevel"/>
    <w:tmpl w:val="ED9AE0E8"/>
    <w:lvl w:ilvl="0" w:tplc="04090019">
      <w:start w:val="1"/>
      <w:numFmt w:val="lowerLetter"/>
      <w:lvlText w:val="%1."/>
      <w:lvlJc w:val="left"/>
      <w:pPr>
        <w:ind w:left="2705" w:hanging="360"/>
      </w:pPr>
      <w:rPr>
        <w:rFonts w:hint="default"/>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4" w15:restartNumberingAfterBreak="0">
    <w:nsid w:val="2E4B371D"/>
    <w:multiLevelType w:val="hybridMultilevel"/>
    <w:tmpl w:val="28522916"/>
    <w:lvl w:ilvl="0" w:tplc="7D1653BA">
      <w:start w:val="2"/>
      <w:numFmt w:val="lowerLetter"/>
      <w:lvlText w:val="%1)"/>
      <w:lvlJc w:val="left"/>
      <w:pPr>
        <w:ind w:left="1713"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332331"/>
    <w:multiLevelType w:val="hybridMultilevel"/>
    <w:tmpl w:val="121889B6"/>
    <w:lvl w:ilvl="0" w:tplc="04090019">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3C03711B"/>
    <w:multiLevelType w:val="hybridMultilevel"/>
    <w:tmpl w:val="628869F8"/>
    <w:lvl w:ilvl="0" w:tplc="ADB229BE">
      <w:start w:val="1"/>
      <w:numFmt w:val="upperRoman"/>
      <w:lvlText w:val="%1."/>
      <w:lvlJc w:val="right"/>
      <w:pPr>
        <w:ind w:left="1068" w:hanging="360"/>
      </w:pPr>
      <w:rPr>
        <w:rFonts w:ascii="Times New Roman" w:hAnsi="Times New Roman" w:cs="Times New Roman" w:hint="default"/>
        <w:b/>
        <w:sz w:val="20"/>
        <w:szCs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C5A1A58"/>
    <w:multiLevelType w:val="multilevel"/>
    <w:tmpl w:val="C59478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upperRoman"/>
      <w:lvlText w:val="%5."/>
      <w:lvlJc w:val="righ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B82947"/>
    <w:multiLevelType w:val="hybridMultilevel"/>
    <w:tmpl w:val="C9E010E6"/>
    <w:lvl w:ilvl="0" w:tplc="79F2C728">
      <w:start w:val="1"/>
      <w:numFmt w:val="bullet"/>
      <w:lvlText w:val="-"/>
      <w:lvlJc w:val="left"/>
      <w:pPr>
        <w:ind w:left="1778" w:hanging="360"/>
      </w:pPr>
      <w:rPr>
        <w:rFonts w:ascii="Symbol" w:hAnsi="Symbol" w:hint="default"/>
      </w:rPr>
    </w:lvl>
    <w:lvl w:ilvl="1" w:tplc="080A0003">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9" w15:restartNumberingAfterBreak="0">
    <w:nsid w:val="52FC4A74"/>
    <w:multiLevelType w:val="hybridMultilevel"/>
    <w:tmpl w:val="EB62CC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E1595F"/>
    <w:multiLevelType w:val="hybridMultilevel"/>
    <w:tmpl w:val="0EC625CE"/>
    <w:lvl w:ilvl="0" w:tplc="C0E22EBE">
      <w:start w:val="1"/>
      <w:numFmt w:val="lowerLetter"/>
      <w:lvlText w:val="%1)"/>
      <w:lvlJc w:val="left"/>
      <w:pPr>
        <w:ind w:left="1080" w:hanging="360"/>
      </w:pPr>
      <w:rPr>
        <w:rFonts w:ascii="Times New Roman" w:hAnsi="Times New Roman" w:cs="Times New Roman" w:hint="default"/>
        <w:b w:val="0"/>
        <w:i w:val="0"/>
        <w:sz w:val="20"/>
        <w:szCs w:val="20"/>
      </w:rPr>
    </w:lvl>
    <w:lvl w:ilvl="1" w:tplc="080A0019" w:tentative="1">
      <w:start w:val="1"/>
      <w:numFmt w:val="lowerLetter"/>
      <w:lvlText w:val="%2."/>
      <w:lvlJc w:val="left"/>
      <w:pPr>
        <w:ind w:left="807" w:hanging="360"/>
      </w:pPr>
    </w:lvl>
    <w:lvl w:ilvl="2" w:tplc="080A001B" w:tentative="1">
      <w:start w:val="1"/>
      <w:numFmt w:val="lowerRoman"/>
      <w:lvlText w:val="%3."/>
      <w:lvlJc w:val="right"/>
      <w:pPr>
        <w:ind w:left="1527" w:hanging="180"/>
      </w:pPr>
    </w:lvl>
    <w:lvl w:ilvl="3" w:tplc="080A000F" w:tentative="1">
      <w:start w:val="1"/>
      <w:numFmt w:val="decimal"/>
      <w:lvlText w:val="%4."/>
      <w:lvlJc w:val="left"/>
      <w:pPr>
        <w:ind w:left="2247" w:hanging="360"/>
      </w:pPr>
    </w:lvl>
    <w:lvl w:ilvl="4" w:tplc="080A0019" w:tentative="1">
      <w:start w:val="1"/>
      <w:numFmt w:val="lowerLetter"/>
      <w:lvlText w:val="%5."/>
      <w:lvlJc w:val="left"/>
      <w:pPr>
        <w:ind w:left="2967" w:hanging="360"/>
      </w:pPr>
    </w:lvl>
    <w:lvl w:ilvl="5" w:tplc="080A001B" w:tentative="1">
      <w:start w:val="1"/>
      <w:numFmt w:val="lowerRoman"/>
      <w:lvlText w:val="%6."/>
      <w:lvlJc w:val="right"/>
      <w:pPr>
        <w:ind w:left="3687" w:hanging="180"/>
      </w:pPr>
    </w:lvl>
    <w:lvl w:ilvl="6" w:tplc="080A000F" w:tentative="1">
      <w:start w:val="1"/>
      <w:numFmt w:val="decimal"/>
      <w:lvlText w:val="%7."/>
      <w:lvlJc w:val="left"/>
      <w:pPr>
        <w:ind w:left="4407" w:hanging="360"/>
      </w:pPr>
    </w:lvl>
    <w:lvl w:ilvl="7" w:tplc="080A0019" w:tentative="1">
      <w:start w:val="1"/>
      <w:numFmt w:val="lowerLetter"/>
      <w:lvlText w:val="%8."/>
      <w:lvlJc w:val="left"/>
      <w:pPr>
        <w:ind w:left="5127" w:hanging="360"/>
      </w:pPr>
    </w:lvl>
    <w:lvl w:ilvl="8" w:tplc="080A001B" w:tentative="1">
      <w:start w:val="1"/>
      <w:numFmt w:val="lowerRoman"/>
      <w:lvlText w:val="%9."/>
      <w:lvlJc w:val="right"/>
      <w:pPr>
        <w:ind w:left="5847" w:hanging="180"/>
      </w:pPr>
    </w:lvl>
  </w:abstractNum>
  <w:abstractNum w:abstractNumId="1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B8262F"/>
    <w:multiLevelType w:val="hybridMultilevel"/>
    <w:tmpl w:val="1E18DD7A"/>
    <w:lvl w:ilvl="0" w:tplc="8FC600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4596763">
    <w:abstractNumId w:val="11"/>
  </w:num>
  <w:num w:numId="2" w16cid:durableId="2143035244">
    <w:abstractNumId w:val="0"/>
  </w:num>
  <w:num w:numId="3" w16cid:durableId="1357078181">
    <w:abstractNumId w:val="10"/>
  </w:num>
  <w:num w:numId="4" w16cid:durableId="1793744119">
    <w:abstractNumId w:val="8"/>
  </w:num>
  <w:num w:numId="5" w16cid:durableId="755974872">
    <w:abstractNumId w:val="5"/>
  </w:num>
  <w:num w:numId="6" w16cid:durableId="363990476">
    <w:abstractNumId w:val="3"/>
  </w:num>
  <w:num w:numId="7" w16cid:durableId="1317413823">
    <w:abstractNumId w:val="4"/>
  </w:num>
  <w:num w:numId="8" w16cid:durableId="49352098">
    <w:abstractNumId w:val="7"/>
  </w:num>
  <w:num w:numId="9" w16cid:durableId="1897469565">
    <w:abstractNumId w:val="6"/>
  </w:num>
  <w:num w:numId="10" w16cid:durableId="1287738329">
    <w:abstractNumId w:val="2"/>
  </w:num>
  <w:num w:numId="11" w16cid:durableId="1408072423">
    <w:abstractNumId w:val="1"/>
  </w:num>
  <w:num w:numId="12" w16cid:durableId="401342537">
    <w:abstractNumId w:val="12"/>
  </w:num>
  <w:num w:numId="13" w16cid:durableId="2105296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608E"/>
    <w:rsid w:val="00026BED"/>
    <w:rsid w:val="000272EC"/>
    <w:rsid w:val="0003334A"/>
    <w:rsid w:val="00040D4F"/>
    <w:rsid w:val="00057CB6"/>
    <w:rsid w:val="000609DB"/>
    <w:rsid w:val="00084EAE"/>
    <w:rsid w:val="00091CE6"/>
    <w:rsid w:val="00096873"/>
    <w:rsid w:val="00096EB3"/>
    <w:rsid w:val="00097BDF"/>
    <w:rsid w:val="000A09B7"/>
    <w:rsid w:val="000A3D04"/>
    <w:rsid w:val="000B7810"/>
    <w:rsid w:val="000C217F"/>
    <w:rsid w:val="000C3365"/>
    <w:rsid w:val="000C42F7"/>
    <w:rsid w:val="000C43A3"/>
    <w:rsid w:val="000C6383"/>
    <w:rsid w:val="000E51A7"/>
    <w:rsid w:val="000F2513"/>
    <w:rsid w:val="00104B24"/>
    <w:rsid w:val="001131F1"/>
    <w:rsid w:val="0012405A"/>
    <w:rsid w:val="00131577"/>
    <w:rsid w:val="00154BA3"/>
    <w:rsid w:val="001749B8"/>
    <w:rsid w:val="00183F20"/>
    <w:rsid w:val="0019454A"/>
    <w:rsid w:val="001973A2"/>
    <w:rsid w:val="001A7578"/>
    <w:rsid w:val="001A759C"/>
    <w:rsid w:val="001C75F2"/>
    <w:rsid w:val="001C773F"/>
    <w:rsid w:val="001D2063"/>
    <w:rsid w:val="001D43E9"/>
    <w:rsid w:val="001D7711"/>
    <w:rsid w:val="001E5D83"/>
    <w:rsid w:val="001F01B7"/>
    <w:rsid w:val="001F3EA5"/>
    <w:rsid w:val="00205C68"/>
    <w:rsid w:val="002320EE"/>
    <w:rsid w:val="00236555"/>
    <w:rsid w:val="002565EE"/>
    <w:rsid w:val="00261428"/>
    <w:rsid w:val="00264535"/>
    <w:rsid w:val="00276DD2"/>
    <w:rsid w:val="002902DD"/>
    <w:rsid w:val="00293D77"/>
    <w:rsid w:val="002A775D"/>
    <w:rsid w:val="002E799E"/>
    <w:rsid w:val="002E7FA4"/>
    <w:rsid w:val="002F3ED9"/>
    <w:rsid w:val="002F53CF"/>
    <w:rsid w:val="00301876"/>
    <w:rsid w:val="003107E2"/>
    <w:rsid w:val="00327249"/>
    <w:rsid w:val="00330F3E"/>
    <w:rsid w:val="00336840"/>
    <w:rsid w:val="00336DD4"/>
    <w:rsid w:val="003453CA"/>
    <w:rsid w:val="003473D9"/>
    <w:rsid w:val="0035264A"/>
    <w:rsid w:val="00370D9F"/>
    <w:rsid w:val="003730D5"/>
    <w:rsid w:val="00373463"/>
    <w:rsid w:val="0037773D"/>
    <w:rsid w:val="00390A3D"/>
    <w:rsid w:val="0039136B"/>
    <w:rsid w:val="00392077"/>
    <w:rsid w:val="003A0EDB"/>
    <w:rsid w:val="003A2374"/>
    <w:rsid w:val="003B41E0"/>
    <w:rsid w:val="003D0B5B"/>
    <w:rsid w:val="003E21BD"/>
    <w:rsid w:val="003E2E8A"/>
    <w:rsid w:val="00400196"/>
    <w:rsid w:val="00406D48"/>
    <w:rsid w:val="00410785"/>
    <w:rsid w:val="0042079E"/>
    <w:rsid w:val="00435A87"/>
    <w:rsid w:val="00446047"/>
    <w:rsid w:val="00450CCF"/>
    <w:rsid w:val="004510A1"/>
    <w:rsid w:val="004A3A40"/>
    <w:rsid w:val="004A58C8"/>
    <w:rsid w:val="004B101D"/>
    <w:rsid w:val="004C46F1"/>
    <w:rsid w:val="004C4FDD"/>
    <w:rsid w:val="004C5235"/>
    <w:rsid w:val="005013C1"/>
    <w:rsid w:val="005162A1"/>
    <w:rsid w:val="00530252"/>
    <w:rsid w:val="0054701E"/>
    <w:rsid w:val="0055030E"/>
    <w:rsid w:val="005516CF"/>
    <w:rsid w:val="00554E9E"/>
    <w:rsid w:val="00556EB8"/>
    <w:rsid w:val="00565C5B"/>
    <w:rsid w:val="0056749D"/>
    <w:rsid w:val="00570D0C"/>
    <w:rsid w:val="00576DC0"/>
    <w:rsid w:val="00583166"/>
    <w:rsid w:val="005B0366"/>
    <w:rsid w:val="005C7689"/>
    <w:rsid w:val="005D14E2"/>
    <w:rsid w:val="005D3E43"/>
    <w:rsid w:val="005D5811"/>
    <w:rsid w:val="005E062F"/>
    <w:rsid w:val="005E231E"/>
    <w:rsid w:val="005E378C"/>
    <w:rsid w:val="006137CD"/>
    <w:rsid w:val="006238CF"/>
    <w:rsid w:val="00626676"/>
    <w:rsid w:val="0063540F"/>
    <w:rsid w:val="00636B2D"/>
    <w:rsid w:val="006425BD"/>
    <w:rsid w:val="00646697"/>
    <w:rsid w:val="00650471"/>
    <w:rsid w:val="00657009"/>
    <w:rsid w:val="00661578"/>
    <w:rsid w:val="006745FE"/>
    <w:rsid w:val="00676B86"/>
    <w:rsid w:val="00681C79"/>
    <w:rsid w:val="006A5AC6"/>
    <w:rsid w:val="006A7328"/>
    <w:rsid w:val="006B4299"/>
    <w:rsid w:val="006C3F9A"/>
    <w:rsid w:val="006C746A"/>
    <w:rsid w:val="00723808"/>
    <w:rsid w:val="00726778"/>
    <w:rsid w:val="007276D6"/>
    <w:rsid w:val="007420BC"/>
    <w:rsid w:val="0075655D"/>
    <w:rsid w:val="00757C1A"/>
    <w:rsid w:val="00760402"/>
    <w:rsid w:val="007610BC"/>
    <w:rsid w:val="007714AB"/>
    <w:rsid w:val="00775160"/>
    <w:rsid w:val="007B038C"/>
    <w:rsid w:val="007B11FB"/>
    <w:rsid w:val="007B4329"/>
    <w:rsid w:val="007B7BF7"/>
    <w:rsid w:val="007D1E76"/>
    <w:rsid w:val="007D4484"/>
    <w:rsid w:val="007E6E5D"/>
    <w:rsid w:val="0080489B"/>
    <w:rsid w:val="0081042F"/>
    <w:rsid w:val="0081742C"/>
    <w:rsid w:val="00821A1C"/>
    <w:rsid w:val="008278FA"/>
    <w:rsid w:val="008313AC"/>
    <w:rsid w:val="00843526"/>
    <w:rsid w:val="0085679A"/>
    <w:rsid w:val="00860BD8"/>
    <w:rsid w:val="0086459F"/>
    <w:rsid w:val="00866116"/>
    <w:rsid w:val="00877DC1"/>
    <w:rsid w:val="00880F70"/>
    <w:rsid w:val="00881DA6"/>
    <w:rsid w:val="00883759"/>
    <w:rsid w:val="0088690D"/>
    <w:rsid w:val="008A10BD"/>
    <w:rsid w:val="008A1738"/>
    <w:rsid w:val="008B1EB6"/>
    <w:rsid w:val="008B439C"/>
    <w:rsid w:val="008C3BB8"/>
    <w:rsid w:val="008D6298"/>
    <w:rsid w:val="008E076C"/>
    <w:rsid w:val="00906DF3"/>
    <w:rsid w:val="00912D59"/>
    <w:rsid w:val="00924C03"/>
    <w:rsid w:val="00927112"/>
    <w:rsid w:val="0092765C"/>
    <w:rsid w:val="0095199F"/>
    <w:rsid w:val="00963118"/>
    <w:rsid w:val="009663F0"/>
    <w:rsid w:val="009700D0"/>
    <w:rsid w:val="009730A7"/>
    <w:rsid w:val="00983283"/>
    <w:rsid w:val="00996308"/>
    <w:rsid w:val="009B13C1"/>
    <w:rsid w:val="009B1A6E"/>
    <w:rsid w:val="009B6E6B"/>
    <w:rsid w:val="009B7F8C"/>
    <w:rsid w:val="009C3AB2"/>
    <w:rsid w:val="009E617C"/>
    <w:rsid w:val="009F14C9"/>
    <w:rsid w:val="009F2838"/>
    <w:rsid w:val="009F78EA"/>
    <w:rsid w:val="00A13383"/>
    <w:rsid w:val="00A216CF"/>
    <w:rsid w:val="00A25E9E"/>
    <w:rsid w:val="00A36CE2"/>
    <w:rsid w:val="00A4610E"/>
    <w:rsid w:val="00A47512"/>
    <w:rsid w:val="00A52183"/>
    <w:rsid w:val="00A730E0"/>
    <w:rsid w:val="00A81E49"/>
    <w:rsid w:val="00AA0CBB"/>
    <w:rsid w:val="00AA1066"/>
    <w:rsid w:val="00AA41E5"/>
    <w:rsid w:val="00AA4DD8"/>
    <w:rsid w:val="00AB722B"/>
    <w:rsid w:val="00AC2C25"/>
    <w:rsid w:val="00AD46C7"/>
    <w:rsid w:val="00AE1269"/>
    <w:rsid w:val="00AE1F6A"/>
    <w:rsid w:val="00AF34B0"/>
    <w:rsid w:val="00AF4ED3"/>
    <w:rsid w:val="00B12279"/>
    <w:rsid w:val="00B32340"/>
    <w:rsid w:val="00B33F20"/>
    <w:rsid w:val="00B5478D"/>
    <w:rsid w:val="00B64A64"/>
    <w:rsid w:val="00B726A5"/>
    <w:rsid w:val="00B869D6"/>
    <w:rsid w:val="00BA12FC"/>
    <w:rsid w:val="00BC42A0"/>
    <w:rsid w:val="00BD3EC9"/>
    <w:rsid w:val="00BE2B69"/>
    <w:rsid w:val="00BE7E31"/>
    <w:rsid w:val="00BF5502"/>
    <w:rsid w:val="00BF5B9D"/>
    <w:rsid w:val="00C0416A"/>
    <w:rsid w:val="00C05222"/>
    <w:rsid w:val="00C06DC3"/>
    <w:rsid w:val="00C137AB"/>
    <w:rsid w:val="00C3149F"/>
    <w:rsid w:val="00C4208F"/>
    <w:rsid w:val="00C65649"/>
    <w:rsid w:val="00C82F63"/>
    <w:rsid w:val="00C97E1E"/>
    <w:rsid w:val="00CB1D5E"/>
    <w:rsid w:val="00CB41C4"/>
    <w:rsid w:val="00CB5C16"/>
    <w:rsid w:val="00CB7C9F"/>
    <w:rsid w:val="00CC21B8"/>
    <w:rsid w:val="00CD1356"/>
    <w:rsid w:val="00CD1709"/>
    <w:rsid w:val="00CF1316"/>
    <w:rsid w:val="00D02462"/>
    <w:rsid w:val="00D1308E"/>
    <w:rsid w:val="00D13C44"/>
    <w:rsid w:val="00D1471F"/>
    <w:rsid w:val="00D23694"/>
    <w:rsid w:val="00D25233"/>
    <w:rsid w:val="00D35088"/>
    <w:rsid w:val="00D4360D"/>
    <w:rsid w:val="00D5697F"/>
    <w:rsid w:val="00D615E9"/>
    <w:rsid w:val="00D63E65"/>
    <w:rsid w:val="00D65C14"/>
    <w:rsid w:val="00D76F4D"/>
    <w:rsid w:val="00D87CE3"/>
    <w:rsid w:val="00D94FD9"/>
    <w:rsid w:val="00D975B1"/>
    <w:rsid w:val="00DB6C82"/>
    <w:rsid w:val="00DC5CF7"/>
    <w:rsid w:val="00DD72C8"/>
    <w:rsid w:val="00DF3484"/>
    <w:rsid w:val="00E00323"/>
    <w:rsid w:val="00E01FEF"/>
    <w:rsid w:val="00E025A3"/>
    <w:rsid w:val="00E0334D"/>
    <w:rsid w:val="00E10E6F"/>
    <w:rsid w:val="00E62A88"/>
    <w:rsid w:val="00E70A9D"/>
    <w:rsid w:val="00E74967"/>
    <w:rsid w:val="00E75422"/>
    <w:rsid w:val="00E76E66"/>
    <w:rsid w:val="00E81BD2"/>
    <w:rsid w:val="00E835F4"/>
    <w:rsid w:val="00E907BD"/>
    <w:rsid w:val="00E92C95"/>
    <w:rsid w:val="00EA37F5"/>
    <w:rsid w:val="00EA7915"/>
    <w:rsid w:val="00EE7150"/>
    <w:rsid w:val="00F22A95"/>
    <w:rsid w:val="00F244EF"/>
    <w:rsid w:val="00F30D2D"/>
    <w:rsid w:val="00F43B8C"/>
    <w:rsid w:val="00F46719"/>
    <w:rsid w:val="00F5494F"/>
    <w:rsid w:val="00F54A8F"/>
    <w:rsid w:val="00F54F6F"/>
    <w:rsid w:val="00F5622B"/>
    <w:rsid w:val="00F64E92"/>
    <w:rsid w:val="00F71420"/>
    <w:rsid w:val="00F74072"/>
    <w:rsid w:val="00F911F6"/>
    <w:rsid w:val="00F931AE"/>
    <w:rsid w:val="00FA4883"/>
    <w:rsid w:val="00FA5518"/>
    <w:rsid w:val="00FA6D63"/>
    <w:rsid w:val="00FA7AE6"/>
    <w:rsid w:val="00FB0E2B"/>
    <w:rsid w:val="00FB117F"/>
    <w:rsid w:val="00FB3D24"/>
    <w:rsid w:val="00FB6468"/>
    <w:rsid w:val="00FC6142"/>
    <w:rsid w:val="00FC68BF"/>
    <w:rsid w:val="00FE414A"/>
    <w:rsid w:val="00FE5C4A"/>
    <w:rsid w:val="00FE71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5C07"/>
  <w15:docId w15:val="{D30D06B1-5BAE-4F80-8D19-52954CA7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INCISO">
    <w:name w:val="INCISO"/>
    <w:basedOn w:val="Normal"/>
    <w:rsid w:val="008B439C"/>
    <w:pPr>
      <w:spacing w:after="101" w:line="216" w:lineRule="exact"/>
      <w:ind w:left="1080" w:hanging="360"/>
      <w:jc w:val="both"/>
    </w:pPr>
    <w:rPr>
      <w:rFonts w:ascii="Arial" w:eastAsia="Times New Roman" w:hAnsi="Arial" w:cs="Arial"/>
      <w:sz w:val="18"/>
      <w:szCs w:val="18"/>
      <w:lang w:val="es-ES" w:eastAsia="es-ES"/>
    </w:rPr>
  </w:style>
  <w:style w:type="paragraph" w:styleId="Textoindependiente">
    <w:name w:val="Body Text"/>
    <w:basedOn w:val="Normal"/>
    <w:link w:val="TextoindependienteCar"/>
    <w:rsid w:val="008B439C"/>
    <w:pPr>
      <w:spacing w:after="100" w:line="240" w:lineRule="auto"/>
      <w:jc w:val="both"/>
    </w:pPr>
    <w:rPr>
      <w:rFonts w:ascii="Times New Roman" w:eastAsia="Times New Roman" w:hAnsi="Times New Roman"/>
      <w:sz w:val="26"/>
      <w:szCs w:val="20"/>
      <w:lang w:val="es-ES_tradnl" w:eastAsia="es-ES"/>
    </w:rPr>
  </w:style>
  <w:style w:type="character" w:customStyle="1" w:styleId="TextoindependienteCar">
    <w:name w:val="Texto independiente Car"/>
    <w:basedOn w:val="Fuentedeprrafopredeter"/>
    <w:link w:val="Textoindependiente"/>
    <w:rsid w:val="008B439C"/>
    <w:rPr>
      <w:rFonts w:ascii="Times New Roman" w:eastAsia="Times New Roman" w:hAnsi="Times New Roman"/>
      <w:sz w:val="26"/>
      <w:lang w:val="es-ES_tradnl" w:eastAsia="es-ES"/>
    </w:rPr>
  </w:style>
  <w:style w:type="paragraph" w:customStyle="1" w:styleId="Prrafodelista1">
    <w:name w:val="Párrafo de lista1"/>
    <w:basedOn w:val="Normal"/>
    <w:rsid w:val="008B439C"/>
    <w:pPr>
      <w:ind w:left="720"/>
      <w:contextualSpacing/>
    </w:pPr>
    <w:rPr>
      <w:rFonts w:eastAsia="Times New Roman"/>
      <w:lang w:val="es-ES"/>
    </w:rPr>
  </w:style>
  <w:style w:type="paragraph" w:customStyle="1" w:styleId="Estndar">
    <w:name w:val="Estándar"/>
    <w:basedOn w:val="Normal"/>
    <w:rsid w:val="008B439C"/>
    <w:pPr>
      <w:autoSpaceDE w:val="0"/>
      <w:autoSpaceDN w:val="0"/>
      <w:adjustRightInd w:val="0"/>
      <w:spacing w:after="0" w:line="240" w:lineRule="auto"/>
    </w:pPr>
    <w:rPr>
      <w:rFonts w:ascii="Times New Roman" w:eastAsia="Times New Roman" w:hAnsi="Times New Roman"/>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44A4B-0EC3-4CE5-896D-9238223267D0}">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8085</Words>
  <Characters>44468</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52449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 de Lourdes Romero Galvan</cp:lastModifiedBy>
  <cp:revision>2</cp:revision>
  <cp:lastPrinted>2024-06-13T22:08:00Z</cp:lastPrinted>
  <dcterms:created xsi:type="dcterms:W3CDTF">2025-04-09T20:47:00Z</dcterms:created>
  <dcterms:modified xsi:type="dcterms:W3CDTF">2025-04-09T20:47:00Z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