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7E2D" w14:textId="77777777" w:rsidR="000B7810" w:rsidRPr="006A5AC6" w:rsidRDefault="000B7810" w:rsidP="00CB41C4">
      <w:pPr>
        <w:tabs>
          <w:tab w:val="left" w:leader="underscore" w:pos="9639"/>
        </w:tabs>
        <w:spacing w:after="0" w:line="240" w:lineRule="auto"/>
        <w:jc w:val="center"/>
        <w:rPr>
          <w:rFonts w:ascii="Arial" w:hAnsi="Arial" w:cs="Arial"/>
        </w:rPr>
      </w:pPr>
    </w:p>
    <w:p w14:paraId="03F868E8" w14:textId="77777777" w:rsidR="000B7810" w:rsidRPr="006A5AC6" w:rsidRDefault="000B7810" w:rsidP="00CB41C4">
      <w:pPr>
        <w:tabs>
          <w:tab w:val="left" w:leader="underscore" w:pos="9639"/>
        </w:tabs>
        <w:spacing w:after="0" w:line="240" w:lineRule="auto"/>
        <w:jc w:val="center"/>
        <w:rPr>
          <w:rFonts w:ascii="Arial" w:hAnsi="Arial" w:cs="Arial"/>
        </w:rPr>
      </w:pPr>
    </w:p>
    <w:p w14:paraId="6BDD369D" w14:textId="77777777" w:rsidR="007D1E76" w:rsidRPr="006A5AC6" w:rsidRDefault="007D1E76" w:rsidP="00CB41C4">
      <w:pPr>
        <w:tabs>
          <w:tab w:val="left" w:leader="underscore" w:pos="9639"/>
        </w:tabs>
        <w:spacing w:after="0" w:line="240" w:lineRule="auto"/>
        <w:jc w:val="center"/>
        <w:rPr>
          <w:rFonts w:ascii="Arial" w:hAnsi="Arial" w:cs="Arial"/>
          <w:b/>
        </w:rPr>
      </w:pPr>
      <w:hyperlink r:id="rId11" w:history="1">
        <w:r w:rsidRPr="006A5AC6">
          <w:rPr>
            <w:rStyle w:val="Hipervnculo"/>
            <w:rFonts w:ascii="Arial" w:hAnsi="Arial" w:cs="Arial"/>
            <w:b/>
          </w:rPr>
          <w:t>NOTAS DE GESTIÓN ADMINISTRATIVA</w:t>
        </w:r>
      </w:hyperlink>
    </w:p>
    <w:p w14:paraId="208516EE" w14:textId="77777777" w:rsidR="007D1E76" w:rsidRPr="006A5AC6" w:rsidRDefault="007D1E76" w:rsidP="00CB41C4">
      <w:pPr>
        <w:tabs>
          <w:tab w:val="left" w:leader="underscore" w:pos="9639"/>
        </w:tabs>
        <w:spacing w:after="0" w:line="240" w:lineRule="auto"/>
        <w:jc w:val="both"/>
        <w:rPr>
          <w:rFonts w:ascii="Arial" w:hAnsi="Arial" w:cs="Arial"/>
        </w:rPr>
      </w:pPr>
    </w:p>
    <w:p w14:paraId="2CCD5F89" w14:textId="77777777" w:rsidR="007D1E76" w:rsidRPr="006A5AC6" w:rsidRDefault="007D1E76" w:rsidP="00CB41C4">
      <w:pPr>
        <w:tabs>
          <w:tab w:val="left" w:leader="underscore" w:pos="9639"/>
        </w:tabs>
        <w:spacing w:after="0" w:line="240" w:lineRule="auto"/>
        <w:jc w:val="both"/>
        <w:rPr>
          <w:rFonts w:ascii="Arial" w:hAnsi="Arial" w:cs="Arial"/>
        </w:rPr>
      </w:pPr>
    </w:p>
    <w:p w14:paraId="5DD6D1A6" w14:textId="77777777" w:rsidR="00F911F6" w:rsidRPr="006A5AC6" w:rsidRDefault="00F911F6" w:rsidP="00CB41C4">
      <w:pPr>
        <w:tabs>
          <w:tab w:val="left" w:leader="underscore" w:pos="9639"/>
        </w:tabs>
        <w:spacing w:after="0" w:line="240" w:lineRule="auto"/>
        <w:jc w:val="both"/>
        <w:rPr>
          <w:rFonts w:ascii="Arial" w:hAnsi="Arial" w:cs="Arial"/>
        </w:rPr>
      </w:pPr>
    </w:p>
    <w:p w14:paraId="1535C711"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 xml:space="preserve">Los Estados Financieros de los entes públicos, proveen de información financiera a los principales usuarios de </w:t>
      </w:r>
      <w:proofErr w:type="gramStart"/>
      <w:r w:rsidRPr="008A1738">
        <w:rPr>
          <w:rFonts w:ascii="Arial" w:hAnsi="Arial" w:cs="Arial"/>
          <w:sz w:val="20"/>
          <w:szCs w:val="20"/>
        </w:rPr>
        <w:t>la misma</w:t>
      </w:r>
      <w:proofErr w:type="gramEnd"/>
      <w:r w:rsidRPr="008A1738">
        <w:rPr>
          <w:rFonts w:ascii="Arial" w:hAnsi="Arial" w:cs="Arial"/>
          <w:sz w:val="20"/>
          <w:szCs w:val="20"/>
        </w:rPr>
        <w:t>, al</w:t>
      </w:r>
      <w:r w:rsidR="00E00323" w:rsidRPr="008A1738">
        <w:rPr>
          <w:rFonts w:ascii="Arial" w:hAnsi="Arial" w:cs="Arial"/>
          <w:sz w:val="20"/>
          <w:szCs w:val="20"/>
        </w:rPr>
        <w:t xml:space="preserve"> Congreso y a los ciudadanos.</w:t>
      </w:r>
    </w:p>
    <w:p w14:paraId="4B229105"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08224F5A" w14:textId="5A2D90A3"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 xml:space="preserve">El objetivo del presente documento es la revelación del contexto y de los aspectos económicos financieros más relevantes que influyeron en las decisiones del período, y que deberán ser considerados en la elaboración de los estados financieros para la mayor comprensión de </w:t>
      </w:r>
      <w:r w:rsidR="00552B89" w:rsidRPr="008A1738">
        <w:rPr>
          <w:rFonts w:ascii="Arial" w:hAnsi="Arial" w:cs="Arial"/>
          <w:sz w:val="20"/>
          <w:szCs w:val="20"/>
        </w:rPr>
        <w:t>estos</w:t>
      </w:r>
      <w:r w:rsidR="00E00323" w:rsidRPr="008A1738">
        <w:rPr>
          <w:rFonts w:ascii="Arial" w:hAnsi="Arial" w:cs="Arial"/>
          <w:sz w:val="20"/>
          <w:szCs w:val="20"/>
        </w:rPr>
        <w:t xml:space="preserve"> y sus particularidades.</w:t>
      </w:r>
    </w:p>
    <w:p w14:paraId="274ADDB4"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7E280A18"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De esta manera, se informa y explica la respuesta del gobierno a las condiciones relacionadas con la información financiera de cada período de gestión; además, de exponer aquellas políticas que podrían afectar la toma de decisi</w:t>
      </w:r>
      <w:r w:rsidR="00E00323" w:rsidRPr="008A1738">
        <w:rPr>
          <w:rFonts w:ascii="Arial" w:hAnsi="Arial" w:cs="Arial"/>
          <w:sz w:val="20"/>
          <w:szCs w:val="20"/>
        </w:rPr>
        <w:t>ones en períodos posteriores.</w:t>
      </w:r>
    </w:p>
    <w:p w14:paraId="61183467" w14:textId="77777777" w:rsidR="007D1E76" w:rsidRDefault="007D1E76" w:rsidP="00CB41C4">
      <w:pPr>
        <w:pStyle w:val="Prrafodelista"/>
        <w:tabs>
          <w:tab w:val="left" w:leader="underscore" w:pos="9639"/>
        </w:tabs>
        <w:spacing w:after="0" w:line="240" w:lineRule="auto"/>
        <w:jc w:val="both"/>
        <w:rPr>
          <w:rFonts w:ascii="Arial" w:hAnsi="Arial" w:cs="Arial"/>
          <w:sz w:val="20"/>
          <w:szCs w:val="20"/>
        </w:rPr>
      </w:pPr>
    </w:p>
    <w:p w14:paraId="789F2CA8" w14:textId="77777777" w:rsidR="00F911F6" w:rsidRPr="008A1738" w:rsidRDefault="00F911F6" w:rsidP="00CB41C4">
      <w:pPr>
        <w:pStyle w:val="Prrafodelista"/>
        <w:tabs>
          <w:tab w:val="left" w:leader="underscore" w:pos="9639"/>
        </w:tabs>
        <w:spacing w:after="0" w:line="240" w:lineRule="auto"/>
        <w:jc w:val="both"/>
        <w:rPr>
          <w:rFonts w:ascii="Arial" w:hAnsi="Arial" w:cs="Arial"/>
          <w:sz w:val="20"/>
          <w:szCs w:val="20"/>
        </w:rPr>
      </w:pPr>
    </w:p>
    <w:p w14:paraId="0D810FB0" w14:textId="77777777" w:rsidR="007D1E76" w:rsidRPr="008A1738" w:rsidRDefault="007D1E76" w:rsidP="00CB41C4">
      <w:pPr>
        <w:pStyle w:val="Prrafodelista"/>
        <w:numPr>
          <w:ilvl w:val="0"/>
          <w:numId w:val="1"/>
        </w:num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Las notas de gestión administrativa deben contener los siguientes puntos:</w:t>
      </w:r>
    </w:p>
    <w:p w14:paraId="2B4380B8"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sdt>
      <w:sdtPr>
        <w:rPr>
          <w:rFonts w:ascii="Arial" w:eastAsia="Calibri" w:hAnsi="Arial" w:cs="Arial"/>
          <w:color w:val="auto"/>
          <w:sz w:val="20"/>
          <w:szCs w:val="20"/>
          <w:lang w:val="es-ES" w:eastAsia="en-US"/>
        </w:rPr>
        <w:id w:val="-191922827"/>
        <w:docPartObj>
          <w:docPartGallery w:val="Table of Contents"/>
          <w:docPartUnique/>
        </w:docPartObj>
      </w:sdtPr>
      <w:sdtEndPr>
        <w:rPr>
          <w:b/>
          <w:bCs/>
        </w:rPr>
      </w:sdtEndPr>
      <w:sdtContent>
        <w:p w14:paraId="57ADEC02" w14:textId="77777777" w:rsidR="00F46719" w:rsidRPr="008A1738" w:rsidRDefault="00F46719">
          <w:pPr>
            <w:pStyle w:val="TtuloTDC"/>
            <w:rPr>
              <w:rFonts w:ascii="Arial" w:hAnsi="Arial" w:cs="Arial"/>
              <w:sz w:val="20"/>
              <w:szCs w:val="20"/>
            </w:rPr>
          </w:pPr>
          <w:r w:rsidRPr="008A1738">
            <w:rPr>
              <w:rFonts w:ascii="Arial" w:hAnsi="Arial" w:cs="Arial"/>
              <w:sz w:val="20"/>
              <w:szCs w:val="20"/>
              <w:lang w:val="es-ES"/>
            </w:rPr>
            <w:t>Contenido</w:t>
          </w:r>
        </w:p>
        <w:p w14:paraId="4643E869" w14:textId="1C30D84C" w:rsidR="00CC21B8" w:rsidRDefault="00276DD2">
          <w:pPr>
            <w:pStyle w:val="TDC2"/>
            <w:tabs>
              <w:tab w:val="right" w:leader="dot" w:pos="9678"/>
            </w:tabs>
            <w:rPr>
              <w:rFonts w:asciiTheme="minorHAnsi" w:eastAsiaTheme="minorEastAsia" w:hAnsiTheme="minorHAnsi" w:cstheme="minorBidi"/>
              <w:noProof/>
              <w:lang w:eastAsia="es-MX"/>
            </w:rPr>
          </w:pPr>
          <w:r w:rsidRPr="008A1738">
            <w:rPr>
              <w:rFonts w:ascii="Arial" w:hAnsi="Arial" w:cs="Arial"/>
              <w:sz w:val="20"/>
              <w:szCs w:val="20"/>
            </w:rPr>
            <w:fldChar w:fldCharType="begin"/>
          </w:r>
          <w:r w:rsidR="00F46719" w:rsidRPr="008A1738">
            <w:rPr>
              <w:rFonts w:ascii="Arial" w:hAnsi="Arial" w:cs="Arial"/>
              <w:sz w:val="20"/>
              <w:szCs w:val="20"/>
            </w:rPr>
            <w:instrText xml:space="preserve"> TOC \o "1-3" \h \z \u </w:instrText>
          </w:r>
          <w:r w:rsidRPr="008A1738">
            <w:rPr>
              <w:rFonts w:ascii="Arial" w:hAnsi="Arial" w:cs="Arial"/>
              <w:sz w:val="20"/>
              <w:szCs w:val="20"/>
            </w:rPr>
            <w:fldChar w:fldCharType="separate"/>
          </w:r>
          <w:hyperlink w:anchor="_Toc136350930" w:history="1">
            <w:r w:rsidR="00CC21B8" w:rsidRPr="00515591">
              <w:rPr>
                <w:rStyle w:val="Hipervnculo"/>
                <w:rFonts w:ascii="Arial" w:hAnsi="Arial" w:cs="Arial"/>
                <w:b/>
                <w:noProof/>
              </w:rPr>
              <w:t>1. Autorización e Historia:</w:t>
            </w:r>
            <w:r w:rsidR="00CC21B8">
              <w:rPr>
                <w:noProof/>
                <w:webHidden/>
              </w:rPr>
              <w:tab/>
            </w:r>
            <w:r w:rsidR="00CC21B8">
              <w:rPr>
                <w:noProof/>
                <w:webHidden/>
              </w:rPr>
              <w:fldChar w:fldCharType="begin"/>
            </w:r>
            <w:r w:rsidR="00CC21B8">
              <w:rPr>
                <w:noProof/>
                <w:webHidden/>
              </w:rPr>
              <w:instrText xml:space="preserve"> PAGEREF _Toc136350930 \h </w:instrText>
            </w:r>
            <w:r w:rsidR="00CC21B8">
              <w:rPr>
                <w:noProof/>
                <w:webHidden/>
              </w:rPr>
            </w:r>
            <w:r w:rsidR="00CC21B8">
              <w:rPr>
                <w:noProof/>
                <w:webHidden/>
              </w:rPr>
              <w:fldChar w:fldCharType="separate"/>
            </w:r>
            <w:r w:rsidR="000967D5">
              <w:rPr>
                <w:noProof/>
                <w:webHidden/>
              </w:rPr>
              <w:t>2</w:t>
            </w:r>
            <w:r w:rsidR="00CC21B8">
              <w:rPr>
                <w:noProof/>
                <w:webHidden/>
              </w:rPr>
              <w:fldChar w:fldCharType="end"/>
            </w:r>
          </w:hyperlink>
        </w:p>
        <w:p w14:paraId="3637DC43" w14:textId="7B7A6886" w:rsidR="00CC21B8" w:rsidRDefault="00CC21B8">
          <w:pPr>
            <w:pStyle w:val="TDC2"/>
            <w:tabs>
              <w:tab w:val="right" w:leader="dot" w:pos="9678"/>
            </w:tabs>
            <w:rPr>
              <w:rFonts w:asciiTheme="minorHAnsi" w:eastAsiaTheme="minorEastAsia" w:hAnsiTheme="minorHAnsi" w:cstheme="minorBidi"/>
              <w:noProof/>
              <w:lang w:eastAsia="es-MX"/>
            </w:rPr>
          </w:pPr>
          <w:hyperlink w:anchor="_Toc136350931" w:history="1">
            <w:r w:rsidRPr="00515591">
              <w:rPr>
                <w:rStyle w:val="Hipervnculo"/>
                <w:rFonts w:ascii="Arial" w:hAnsi="Arial" w:cs="Arial"/>
                <w:b/>
                <w:noProof/>
              </w:rPr>
              <w:t>2. Panorama Económico y Financiero:</w:t>
            </w:r>
            <w:r>
              <w:rPr>
                <w:noProof/>
                <w:webHidden/>
              </w:rPr>
              <w:tab/>
            </w:r>
            <w:r>
              <w:rPr>
                <w:noProof/>
                <w:webHidden/>
              </w:rPr>
              <w:fldChar w:fldCharType="begin"/>
            </w:r>
            <w:r>
              <w:rPr>
                <w:noProof/>
                <w:webHidden/>
              </w:rPr>
              <w:instrText xml:space="preserve"> PAGEREF _Toc136350931 \h </w:instrText>
            </w:r>
            <w:r>
              <w:rPr>
                <w:noProof/>
                <w:webHidden/>
              </w:rPr>
            </w:r>
            <w:r>
              <w:rPr>
                <w:noProof/>
                <w:webHidden/>
              </w:rPr>
              <w:fldChar w:fldCharType="separate"/>
            </w:r>
            <w:r w:rsidR="000967D5">
              <w:rPr>
                <w:noProof/>
                <w:webHidden/>
              </w:rPr>
              <w:t>3</w:t>
            </w:r>
            <w:r>
              <w:rPr>
                <w:noProof/>
                <w:webHidden/>
              </w:rPr>
              <w:fldChar w:fldCharType="end"/>
            </w:r>
          </w:hyperlink>
        </w:p>
        <w:p w14:paraId="1809C132" w14:textId="1C6AA721" w:rsidR="00CC21B8" w:rsidRDefault="00CC21B8">
          <w:pPr>
            <w:pStyle w:val="TDC2"/>
            <w:tabs>
              <w:tab w:val="right" w:leader="dot" w:pos="9678"/>
            </w:tabs>
            <w:rPr>
              <w:rFonts w:asciiTheme="minorHAnsi" w:eastAsiaTheme="minorEastAsia" w:hAnsiTheme="minorHAnsi" w:cstheme="minorBidi"/>
              <w:noProof/>
              <w:lang w:eastAsia="es-MX"/>
            </w:rPr>
          </w:pPr>
          <w:hyperlink w:anchor="_Toc136350932" w:history="1">
            <w:r w:rsidRPr="00515591">
              <w:rPr>
                <w:rStyle w:val="Hipervnculo"/>
                <w:rFonts w:ascii="Arial" w:hAnsi="Arial" w:cs="Arial"/>
                <w:b/>
                <w:noProof/>
              </w:rPr>
              <w:t>3. Organización y Objeto Social:</w:t>
            </w:r>
            <w:r>
              <w:rPr>
                <w:noProof/>
                <w:webHidden/>
              </w:rPr>
              <w:tab/>
            </w:r>
          </w:hyperlink>
          <w:r w:rsidR="00A72C8E">
            <w:t>4</w:t>
          </w:r>
        </w:p>
        <w:p w14:paraId="4945603F" w14:textId="460F1E4E" w:rsidR="00CC21B8" w:rsidRDefault="00CC21B8">
          <w:pPr>
            <w:pStyle w:val="TDC2"/>
            <w:tabs>
              <w:tab w:val="right" w:leader="dot" w:pos="9678"/>
            </w:tabs>
            <w:rPr>
              <w:rFonts w:asciiTheme="minorHAnsi" w:eastAsiaTheme="minorEastAsia" w:hAnsiTheme="minorHAnsi" w:cstheme="minorBidi"/>
              <w:noProof/>
              <w:lang w:eastAsia="es-MX"/>
            </w:rPr>
          </w:pPr>
          <w:hyperlink w:anchor="_Toc136350933" w:history="1">
            <w:r w:rsidRPr="00515591">
              <w:rPr>
                <w:rStyle w:val="Hipervnculo"/>
                <w:rFonts w:ascii="Arial" w:hAnsi="Arial" w:cs="Arial"/>
                <w:b/>
                <w:noProof/>
              </w:rPr>
              <w:t>4. Bases de Preparación de los Estados Financieros:</w:t>
            </w:r>
            <w:r>
              <w:rPr>
                <w:noProof/>
                <w:webHidden/>
              </w:rPr>
              <w:tab/>
            </w:r>
            <w:r>
              <w:rPr>
                <w:noProof/>
                <w:webHidden/>
              </w:rPr>
              <w:fldChar w:fldCharType="begin"/>
            </w:r>
            <w:r>
              <w:rPr>
                <w:noProof/>
                <w:webHidden/>
              </w:rPr>
              <w:instrText xml:space="preserve"> PAGEREF _Toc136350933 \h </w:instrText>
            </w:r>
            <w:r>
              <w:rPr>
                <w:noProof/>
                <w:webHidden/>
              </w:rPr>
            </w:r>
            <w:r>
              <w:rPr>
                <w:noProof/>
                <w:webHidden/>
              </w:rPr>
              <w:fldChar w:fldCharType="separate"/>
            </w:r>
            <w:r w:rsidR="000967D5">
              <w:rPr>
                <w:noProof/>
                <w:webHidden/>
              </w:rPr>
              <w:t>9</w:t>
            </w:r>
            <w:r>
              <w:rPr>
                <w:noProof/>
                <w:webHidden/>
              </w:rPr>
              <w:fldChar w:fldCharType="end"/>
            </w:r>
          </w:hyperlink>
        </w:p>
        <w:p w14:paraId="058A3CDD" w14:textId="229875E1" w:rsidR="00CC21B8" w:rsidRDefault="00CC21B8">
          <w:pPr>
            <w:pStyle w:val="TDC2"/>
            <w:tabs>
              <w:tab w:val="right" w:leader="dot" w:pos="9678"/>
            </w:tabs>
            <w:rPr>
              <w:rFonts w:asciiTheme="minorHAnsi" w:eastAsiaTheme="minorEastAsia" w:hAnsiTheme="minorHAnsi" w:cstheme="minorBidi"/>
              <w:noProof/>
              <w:lang w:eastAsia="es-MX"/>
            </w:rPr>
          </w:pPr>
          <w:hyperlink w:anchor="_Toc136350934" w:history="1">
            <w:r w:rsidRPr="00515591">
              <w:rPr>
                <w:rStyle w:val="Hipervnculo"/>
                <w:rFonts w:ascii="Arial" w:hAnsi="Arial" w:cs="Arial"/>
                <w:b/>
                <w:noProof/>
              </w:rPr>
              <w:t>5. Políticas de Contabilidad Significativas:</w:t>
            </w:r>
            <w:r>
              <w:rPr>
                <w:noProof/>
                <w:webHidden/>
              </w:rPr>
              <w:tab/>
            </w:r>
            <w:r>
              <w:rPr>
                <w:noProof/>
                <w:webHidden/>
              </w:rPr>
              <w:fldChar w:fldCharType="begin"/>
            </w:r>
            <w:r>
              <w:rPr>
                <w:noProof/>
                <w:webHidden/>
              </w:rPr>
              <w:instrText xml:space="preserve"> PAGEREF _Toc136350934 \h </w:instrText>
            </w:r>
            <w:r>
              <w:rPr>
                <w:noProof/>
                <w:webHidden/>
              </w:rPr>
            </w:r>
            <w:r>
              <w:rPr>
                <w:noProof/>
                <w:webHidden/>
              </w:rPr>
              <w:fldChar w:fldCharType="separate"/>
            </w:r>
            <w:r w:rsidR="000967D5">
              <w:rPr>
                <w:noProof/>
                <w:webHidden/>
              </w:rPr>
              <w:t>10</w:t>
            </w:r>
            <w:r>
              <w:rPr>
                <w:noProof/>
                <w:webHidden/>
              </w:rPr>
              <w:fldChar w:fldCharType="end"/>
            </w:r>
          </w:hyperlink>
        </w:p>
        <w:p w14:paraId="234D93F3" w14:textId="62BAA236" w:rsidR="00CC21B8" w:rsidRDefault="00CC21B8">
          <w:pPr>
            <w:pStyle w:val="TDC2"/>
            <w:tabs>
              <w:tab w:val="right" w:leader="dot" w:pos="9678"/>
            </w:tabs>
            <w:rPr>
              <w:rFonts w:asciiTheme="minorHAnsi" w:eastAsiaTheme="minorEastAsia" w:hAnsiTheme="minorHAnsi" w:cstheme="minorBidi"/>
              <w:noProof/>
              <w:lang w:eastAsia="es-MX"/>
            </w:rPr>
          </w:pPr>
          <w:hyperlink w:anchor="_Toc136350935" w:history="1">
            <w:r w:rsidRPr="00515591">
              <w:rPr>
                <w:rStyle w:val="Hipervnculo"/>
                <w:rFonts w:ascii="Arial" w:hAnsi="Arial" w:cs="Arial"/>
                <w:b/>
                <w:noProof/>
              </w:rPr>
              <w:t>6. Posición en Moneda Extranjera y Protección por Riesgo Cambiario:</w:t>
            </w:r>
            <w:r>
              <w:rPr>
                <w:noProof/>
                <w:webHidden/>
              </w:rPr>
              <w:tab/>
            </w:r>
            <w:r>
              <w:rPr>
                <w:noProof/>
                <w:webHidden/>
              </w:rPr>
              <w:fldChar w:fldCharType="begin"/>
            </w:r>
            <w:r>
              <w:rPr>
                <w:noProof/>
                <w:webHidden/>
              </w:rPr>
              <w:instrText xml:space="preserve"> PAGEREF _Toc136350935 \h </w:instrText>
            </w:r>
            <w:r>
              <w:rPr>
                <w:noProof/>
                <w:webHidden/>
              </w:rPr>
            </w:r>
            <w:r>
              <w:rPr>
                <w:noProof/>
                <w:webHidden/>
              </w:rPr>
              <w:fldChar w:fldCharType="separate"/>
            </w:r>
            <w:r w:rsidR="000967D5">
              <w:rPr>
                <w:noProof/>
                <w:webHidden/>
              </w:rPr>
              <w:t>15</w:t>
            </w:r>
            <w:r>
              <w:rPr>
                <w:noProof/>
                <w:webHidden/>
              </w:rPr>
              <w:fldChar w:fldCharType="end"/>
            </w:r>
          </w:hyperlink>
        </w:p>
        <w:p w14:paraId="72318473" w14:textId="3A7AAF7A" w:rsidR="00CC21B8" w:rsidRDefault="00CC21B8">
          <w:pPr>
            <w:pStyle w:val="TDC2"/>
            <w:tabs>
              <w:tab w:val="right" w:leader="dot" w:pos="9678"/>
            </w:tabs>
            <w:rPr>
              <w:rFonts w:asciiTheme="minorHAnsi" w:eastAsiaTheme="minorEastAsia" w:hAnsiTheme="minorHAnsi" w:cstheme="minorBidi"/>
              <w:noProof/>
              <w:lang w:eastAsia="es-MX"/>
            </w:rPr>
          </w:pPr>
          <w:hyperlink w:anchor="_Toc136350936" w:history="1">
            <w:r w:rsidRPr="00515591">
              <w:rPr>
                <w:rStyle w:val="Hipervnculo"/>
                <w:rFonts w:ascii="Arial" w:hAnsi="Arial" w:cs="Arial"/>
                <w:b/>
                <w:noProof/>
              </w:rPr>
              <w:t>7. Reporte Analítico del Activo:</w:t>
            </w:r>
            <w:r>
              <w:rPr>
                <w:noProof/>
                <w:webHidden/>
              </w:rPr>
              <w:tab/>
            </w:r>
            <w:r>
              <w:rPr>
                <w:noProof/>
                <w:webHidden/>
              </w:rPr>
              <w:fldChar w:fldCharType="begin"/>
            </w:r>
            <w:r>
              <w:rPr>
                <w:noProof/>
                <w:webHidden/>
              </w:rPr>
              <w:instrText xml:space="preserve"> PAGEREF _Toc136350936 \h </w:instrText>
            </w:r>
            <w:r>
              <w:rPr>
                <w:noProof/>
                <w:webHidden/>
              </w:rPr>
            </w:r>
            <w:r>
              <w:rPr>
                <w:noProof/>
                <w:webHidden/>
              </w:rPr>
              <w:fldChar w:fldCharType="separate"/>
            </w:r>
            <w:r w:rsidR="000967D5">
              <w:rPr>
                <w:noProof/>
                <w:webHidden/>
              </w:rPr>
              <w:t>15</w:t>
            </w:r>
            <w:r>
              <w:rPr>
                <w:noProof/>
                <w:webHidden/>
              </w:rPr>
              <w:fldChar w:fldCharType="end"/>
            </w:r>
          </w:hyperlink>
        </w:p>
        <w:p w14:paraId="70B3324D" w14:textId="22901C18" w:rsidR="00CC21B8" w:rsidRDefault="00CC21B8">
          <w:pPr>
            <w:pStyle w:val="TDC2"/>
            <w:tabs>
              <w:tab w:val="right" w:leader="dot" w:pos="9678"/>
            </w:tabs>
            <w:rPr>
              <w:rFonts w:asciiTheme="minorHAnsi" w:eastAsiaTheme="minorEastAsia" w:hAnsiTheme="minorHAnsi" w:cstheme="minorBidi"/>
              <w:noProof/>
              <w:lang w:eastAsia="es-MX"/>
            </w:rPr>
          </w:pPr>
          <w:hyperlink w:anchor="_Toc136350937" w:history="1">
            <w:r w:rsidRPr="00515591">
              <w:rPr>
                <w:rStyle w:val="Hipervnculo"/>
                <w:rFonts w:ascii="Arial" w:hAnsi="Arial" w:cs="Arial"/>
                <w:b/>
                <w:noProof/>
              </w:rPr>
              <w:t>8. Fideicomisos, Mandatos y Análogos:</w:t>
            </w:r>
            <w:r>
              <w:rPr>
                <w:noProof/>
                <w:webHidden/>
              </w:rPr>
              <w:tab/>
            </w:r>
            <w:r>
              <w:rPr>
                <w:noProof/>
                <w:webHidden/>
              </w:rPr>
              <w:fldChar w:fldCharType="begin"/>
            </w:r>
            <w:r>
              <w:rPr>
                <w:noProof/>
                <w:webHidden/>
              </w:rPr>
              <w:instrText xml:space="preserve"> PAGEREF _Toc136350937 \h </w:instrText>
            </w:r>
            <w:r>
              <w:rPr>
                <w:noProof/>
                <w:webHidden/>
              </w:rPr>
            </w:r>
            <w:r>
              <w:rPr>
                <w:noProof/>
                <w:webHidden/>
              </w:rPr>
              <w:fldChar w:fldCharType="separate"/>
            </w:r>
            <w:r w:rsidR="000967D5">
              <w:rPr>
                <w:noProof/>
                <w:webHidden/>
              </w:rPr>
              <w:t>17</w:t>
            </w:r>
            <w:r>
              <w:rPr>
                <w:noProof/>
                <w:webHidden/>
              </w:rPr>
              <w:fldChar w:fldCharType="end"/>
            </w:r>
          </w:hyperlink>
        </w:p>
        <w:p w14:paraId="259D9E00" w14:textId="4B66D64E" w:rsidR="00CC21B8" w:rsidRDefault="00CC21B8">
          <w:pPr>
            <w:pStyle w:val="TDC2"/>
            <w:tabs>
              <w:tab w:val="right" w:leader="dot" w:pos="9678"/>
            </w:tabs>
            <w:rPr>
              <w:rFonts w:asciiTheme="minorHAnsi" w:eastAsiaTheme="minorEastAsia" w:hAnsiTheme="minorHAnsi" w:cstheme="minorBidi"/>
              <w:noProof/>
              <w:lang w:eastAsia="es-MX"/>
            </w:rPr>
          </w:pPr>
          <w:hyperlink w:anchor="_Toc136350938" w:history="1">
            <w:r w:rsidRPr="00515591">
              <w:rPr>
                <w:rStyle w:val="Hipervnculo"/>
                <w:rFonts w:ascii="Arial" w:hAnsi="Arial" w:cs="Arial"/>
                <w:b/>
                <w:noProof/>
              </w:rPr>
              <w:t>9. Reporte de la Recaudación:</w:t>
            </w:r>
            <w:r>
              <w:rPr>
                <w:noProof/>
                <w:webHidden/>
              </w:rPr>
              <w:tab/>
            </w:r>
            <w:r>
              <w:rPr>
                <w:noProof/>
                <w:webHidden/>
              </w:rPr>
              <w:fldChar w:fldCharType="begin"/>
            </w:r>
            <w:r>
              <w:rPr>
                <w:noProof/>
                <w:webHidden/>
              </w:rPr>
              <w:instrText xml:space="preserve"> PAGEREF _Toc136350938 \h </w:instrText>
            </w:r>
            <w:r>
              <w:rPr>
                <w:noProof/>
                <w:webHidden/>
              </w:rPr>
            </w:r>
            <w:r>
              <w:rPr>
                <w:noProof/>
                <w:webHidden/>
              </w:rPr>
              <w:fldChar w:fldCharType="separate"/>
            </w:r>
            <w:r w:rsidR="000967D5">
              <w:rPr>
                <w:noProof/>
                <w:webHidden/>
              </w:rPr>
              <w:t>17</w:t>
            </w:r>
            <w:r>
              <w:rPr>
                <w:noProof/>
                <w:webHidden/>
              </w:rPr>
              <w:fldChar w:fldCharType="end"/>
            </w:r>
          </w:hyperlink>
        </w:p>
        <w:p w14:paraId="2AC31A60" w14:textId="6052A23C" w:rsidR="00CC21B8" w:rsidRDefault="00CC21B8">
          <w:pPr>
            <w:pStyle w:val="TDC2"/>
            <w:tabs>
              <w:tab w:val="right" w:leader="dot" w:pos="9678"/>
            </w:tabs>
            <w:rPr>
              <w:rFonts w:asciiTheme="minorHAnsi" w:eastAsiaTheme="minorEastAsia" w:hAnsiTheme="minorHAnsi" w:cstheme="minorBidi"/>
              <w:noProof/>
              <w:lang w:eastAsia="es-MX"/>
            </w:rPr>
          </w:pPr>
          <w:hyperlink w:anchor="_Toc136350939" w:history="1">
            <w:r w:rsidRPr="00515591">
              <w:rPr>
                <w:rStyle w:val="Hipervnculo"/>
                <w:rFonts w:ascii="Arial" w:hAnsi="Arial" w:cs="Arial"/>
                <w:b/>
                <w:noProof/>
              </w:rPr>
              <w:t>10. Información sobre la Deuda y el Reporte Analítico de la Deuda:</w:t>
            </w:r>
            <w:r>
              <w:rPr>
                <w:noProof/>
                <w:webHidden/>
              </w:rPr>
              <w:tab/>
            </w:r>
            <w:r>
              <w:rPr>
                <w:noProof/>
                <w:webHidden/>
              </w:rPr>
              <w:fldChar w:fldCharType="begin"/>
            </w:r>
            <w:r>
              <w:rPr>
                <w:noProof/>
                <w:webHidden/>
              </w:rPr>
              <w:instrText xml:space="preserve"> PAGEREF _Toc136350939 \h </w:instrText>
            </w:r>
            <w:r>
              <w:rPr>
                <w:noProof/>
                <w:webHidden/>
              </w:rPr>
            </w:r>
            <w:r>
              <w:rPr>
                <w:noProof/>
                <w:webHidden/>
              </w:rPr>
              <w:fldChar w:fldCharType="separate"/>
            </w:r>
            <w:r w:rsidR="000967D5">
              <w:rPr>
                <w:noProof/>
                <w:webHidden/>
              </w:rPr>
              <w:t>17</w:t>
            </w:r>
            <w:r>
              <w:rPr>
                <w:noProof/>
                <w:webHidden/>
              </w:rPr>
              <w:fldChar w:fldCharType="end"/>
            </w:r>
          </w:hyperlink>
        </w:p>
        <w:p w14:paraId="19D7AD71" w14:textId="33340C76" w:rsidR="00CC21B8" w:rsidRDefault="00CC21B8">
          <w:pPr>
            <w:pStyle w:val="TDC2"/>
            <w:tabs>
              <w:tab w:val="right" w:leader="dot" w:pos="9678"/>
            </w:tabs>
            <w:rPr>
              <w:rFonts w:asciiTheme="minorHAnsi" w:eastAsiaTheme="minorEastAsia" w:hAnsiTheme="minorHAnsi" w:cstheme="minorBidi"/>
              <w:noProof/>
              <w:lang w:eastAsia="es-MX"/>
            </w:rPr>
          </w:pPr>
          <w:hyperlink w:anchor="_Toc136350940" w:history="1">
            <w:r w:rsidRPr="00515591">
              <w:rPr>
                <w:rStyle w:val="Hipervnculo"/>
                <w:rFonts w:ascii="Arial" w:hAnsi="Arial" w:cs="Arial"/>
                <w:b/>
                <w:noProof/>
              </w:rPr>
              <w:t>11. Calificaciones otorgadas:</w:t>
            </w:r>
            <w:r>
              <w:rPr>
                <w:noProof/>
                <w:webHidden/>
              </w:rPr>
              <w:tab/>
            </w:r>
            <w:r>
              <w:rPr>
                <w:noProof/>
                <w:webHidden/>
              </w:rPr>
              <w:fldChar w:fldCharType="begin"/>
            </w:r>
            <w:r>
              <w:rPr>
                <w:noProof/>
                <w:webHidden/>
              </w:rPr>
              <w:instrText xml:space="preserve"> PAGEREF _Toc136350940 \h </w:instrText>
            </w:r>
            <w:r>
              <w:rPr>
                <w:noProof/>
                <w:webHidden/>
              </w:rPr>
            </w:r>
            <w:r>
              <w:rPr>
                <w:noProof/>
                <w:webHidden/>
              </w:rPr>
              <w:fldChar w:fldCharType="separate"/>
            </w:r>
            <w:r w:rsidR="000967D5">
              <w:rPr>
                <w:noProof/>
                <w:webHidden/>
              </w:rPr>
              <w:t>17</w:t>
            </w:r>
            <w:r>
              <w:rPr>
                <w:noProof/>
                <w:webHidden/>
              </w:rPr>
              <w:fldChar w:fldCharType="end"/>
            </w:r>
          </w:hyperlink>
        </w:p>
        <w:p w14:paraId="0225965B" w14:textId="117F2D0F" w:rsidR="00CC21B8" w:rsidRDefault="00CC21B8">
          <w:pPr>
            <w:pStyle w:val="TDC2"/>
            <w:tabs>
              <w:tab w:val="right" w:leader="dot" w:pos="9678"/>
            </w:tabs>
            <w:rPr>
              <w:rFonts w:asciiTheme="minorHAnsi" w:eastAsiaTheme="minorEastAsia" w:hAnsiTheme="minorHAnsi" w:cstheme="minorBidi"/>
              <w:noProof/>
              <w:lang w:eastAsia="es-MX"/>
            </w:rPr>
          </w:pPr>
          <w:hyperlink w:anchor="_Toc136350941" w:history="1">
            <w:r w:rsidRPr="00515591">
              <w:rPr>
                <w:rStyle w:val="Hipervnculo"/>
                <w:rFonts w:ascii="Arial" w:hAnsi="Arial" w:cs="Arial"/>
                <w:b/>
                <w:noProof/>
              </w:rPr>
              <w:t>12. Proceso de Mejora:</w:t>
            </w:r>
            <w:r>
              <w:rPr>
                <w:noProof/>
                <w:webHidden/>
              </w:rPr>
              <w:tab/>
            </w:r>
            <w:r>
              <w:rPr>
                <w:noProof/>
                <w:webHidden/>
              </w:rPr>
              <w:fldChar w:fldCharType="begin"/>
            </w:r>
            <w:r>
              <w:rPr>
                <w:noProof/>
                <w:webHidden/>
              </w:rPr>
              <w:instrText xml:space="preserve"> PAGEREF _Toc136350941 \h </w:instrText>
            </w:r>
            <w:r>
              <w:rPr>
                <w:noProof/>
                <w:webHidden/>
              </w:rPr>
            </w:r>
            <w:r>
              <w:rPr>
                <w:noProof/>
                <w:webHidden/>
              </w:rPr>
              <w:fldChar w:fldCharType="separate"/>
            </w:r>
            <w:r w:rsidR="000967D5">
              <w:rPr>
                <w:noProof/>
                <w:webHidden/>
              </w:rPr>
              <w:t>18</w:t>
            </w:r>
            <w:r>
              <w:rPr>
                <w:noProof/>
                <w:webHidden/>
              </w:rPr>
              <w:fldChar w:fldCharType="end"/>
            </w:r>
          </w:hyperlink>
        </w:p>
        <w:p w14:paraId="7705CD6A" w14:textId="5D807F0B" w:rsidR="00CC21B8" w:rsidRDefault="00CC21B8">
          <w:pPr>
            <w:pStyle w:val="TDC2"/>
            <w:tabs>
              <w:tab w:val="right" w:leader="dot" w:pos="9678"/>
            </w:tabs>
            <w:rPr>
              <w:rFonts w:asciiTheme="minorHAnsi" w:eastAsiaTheme="minorEastAsia" w:hAnsiTheme="minorHAnsi" w:cstheme="minorBidi"/>
              <w:noProof/>
              <w:lang w:eastAsia="es-MX"/>
            </w:rPr>
          </w:pPr>
          <w:hyperlink w:anchor="_Toc136350942" w:history="1">
            <w:r w:rsidRPr="00515591">
              <w:rPr>
                <w:rStyle w:val="Hipervnculo"/>
                <w:rFonts w:ascii="Arial" w:hAnsi="Arial" w:cs="Arial"/>
                <w:b/>
                <w:noProof/>
              </w:rPr>
              <w:t>13. Información por Segmentos:</w:t>
            </w:r>
            <w:r>
              <w:rPr>
                <w:noProof/>
                <w:webHidden/>
              </w:rPr>
              <w:tab/>
            </w:r>
            <w:r>
              <w:rPr>
                <w:noProof/>
                <w:webHidden/>
              </w:rPr>
              <w:fldChar w:fldCharType="begin"/>
            </w:r>
            <w:r>
              <w:rPr>
                <w:noProof/>
                <w:webHidden/>
              </w:rPr>
              <w:instrText xml:space="preserve"> PAGEREF _Toc136350942 \h </w:instrText>
            </w:r>
            <w:r>
              <w:rPr>
                <w:noProof/>
                <w:webHidden/>
              </w:rPr>
            </w:r>
            <w:r>
              <w:rPr>
                <w:noProof/>
                <w:webHidden/>
              </w:rPr>
              <w:fldChar w:fldCharType="separate"/>
            </w:r>
            <w:r w:rsidR="000967D5">
              <w:rPr>
                <w:noProof/>
                <w:webHidden/>
              </w:rPr>
              <w:t>18</w:t>
            </w:r>
            <w:r>
              <w:rPr>
                <w:noProof/>
                <w:webHidden/>
              </w:rPr>
              <w:fldChar w:fldCharType="end"/>
            </w:r>
          </w:hyperlink>
        </w:p>
        <w:p w14:paraId="34A649BB" w14:textId="1E9B814C" w:rsidR="00CC21B8" w:rsidRDefault="00CC21B8">
          <w:pPr>
            <w:pStyle w:val="TDC2"/>
            <w:tabs>
              <w:tab w:val="right" w:leader="dot" w:pos="9678"/>
            </w:tabs>
            <w:rPr>
              <w:rFonts w:asciiTheme="minorHAnsi" w:eastAsiaTheme="minorEastAsia" w:hAnsiTheme="minorHAnsi" w:cstheme="minorBidi"/>
              <w:noProof/>
              <w:lang w:eastAsia="es-MX"/>
            </w:rPr>
          </w:pPr>
          <w:hyperlink w:anchor="_Toc136350943" w:history="1">
            <w:r w:rsidRPr="00515591">
              <w:rPr>
                <w:rStyle w:val="Hipervnculo"/>
                <w:rFonts w:ascii="Arial" w:hAnsi="Arial" w:cs="Arial"/>
                <w:b/>
                <w:noProof/>
              </w:rPr>
              <w:t>14. Eventos Posteriores al Cierre:</w:t>
            </w:r>
            <w:r>
              <w:rPr>
                <w:noProof/>
                <w:webHidden/>
              </w:rPr>
              <w:tab/>
            </w:r>
            <w:r>
              <w:rPr>
                <w:noProof/>
                <w:webHidden/>
              </w:rPr>
              <w:fldChar w:fldCharType="begin"/>
            </w:r>
            <w:r>
              <w:rPr>
                <w:noProof/>
                <w:webHidden/>
              </w:rPr>
              <w:instrText xml:space="preserve"> PAGEREF _Toc136350943 \h </w:instrText>
            </w:r>
            <w:r>
              <w:rPr>
                <w:noProof/>
                <w:webHidden/>
              </w:rPr>
            </w:r>
            <w:r>
              <w:rPr>
                <w:noProof/>
                <w:webHidden/>
              </w:rPr>
              <w:fldChar w:fldCharType="separate"/>
            </w:r>
            <w:r w:rsidR="000967D5">
              <w:rPr>
                <w:noProof/>
                <w:webHidden/>
              </w:rPr>
              <w:t>18</w:t>
            </w:r>
            <w:r>
              <w:rPr>
                <w:noProof/>
                <w:webHidden/>
              </w:rPr>
              <w:fldChar w:fldCharType="end"/>
            </w:r>
          </w:hyperlink>
        </w:p>
        <w:p w14:paraId="6A675CD4" w14:textId="1CC633B3" w:rsidR="00CC21B8" w:rsidRDefault="00CC21B8">
          <w:pPr>
            <w:pStyle w:val="TDC2"/>
            <w:tabs>
              <w:tab w:val="right" w:leader="dot" w:pos="9678"/>
            </w:tabs>
            <w:rPr>
              <w:rFonts w:asciiTheme="minorHAnsi" w:eastAsiaTheme="minorEastAsia" w:hAnsiTheme="minorHAnsi" w:cstheme="minorBidi"/>
              <w:noProof/>
              <w:lang w:eastAsia="es-MX"/>
            </w:rPr>
          </w:pPr>
          <w:hyperlink w:anchor="_Toc136350944" w:history="1">
            <w:r w:rsidRPr="00515591">
              <w:rPr>
                <w:rStyle w:val="Hipervnculo"/>
                <w:rFonts w:ascii="Arial" w:hAnsi="Arial" w:cs="Arial"/>
                <w:b/>
                <w:noProof/>
              </w:rPr>
              <w:t>15. Partes Relacionadas:</w:t>
            </w:r>
            <w:r>
              <w:rPr>
                <w:noProof/>
                <w:webHidden/>
              </w:rPr>
              <w:tab/>
            </w:r>
            <w:r>
              <w:rPr>
                <w:noProof/>
                <w:webHidden/>
              </w:rPr>
              <w:fldChar w:fldCharType="begin"/>
            </w:r>
            <w:r>
              <w:rPr>
                <w:noProof/>
                <w:webHidden/>
              </w:rPr>
              <w:instrText xml:space="preserve"> PAGEREF _Toc136350944 \h </w:instrText>
            </w:r>
            <w:r>
              <w:rPr>
                <w:noProof/>
                <w:webHidden/>
              </w:rPr>
            </w:r>
            <w:r>
              <w:rPr>
                <w:noProof/>
                <w:webHidden/>
              </w:rPr>
              <w:fldChar w:fldCharType="separate"/>
            </w:r>
            <w:r w:rsidR="000967D5">
              <w:rPr>
                <w:noProof/>
                <w:webHidden/>
              </w:rPr>
              <w:t>18</w:t>
            </w:r>
            <w:r>
              <w:rPr>
                <w:noProof/>
                <w:webHidden/>
              </w:rPr>
              <w:fldChar w:fldCharType="end"/>
            </w:r>
          </w:hyperlink>
        </w:p>
        <w:p w14:paraId="1A611F50" w14:textId="50DE05EE" w:rsidR="00CC21B8" w:rsidRDefault="00CC21B8">
          <w:pPr>
            <w:pStyle w:val="TDC2"/>
            <w:tabs>
              <w:tab w:val="right" w:leader="dot" w:pos="9678"/>
            </w:tabs>
            <w:rPr>
              <w:rFonts w:asciiTheme="minorHAnsi" w:eastAsiaTheme="minorEastAsia" w:hAnsiTheme="minorHAnsi" w:cstheme="minorBidi"/>
              <w:noProof/>
              <w:lang w:eastAsia="es-MX"/>
            </w:rPr>
          </w:pPr>
          <w:hyperlink w:anchor="_Toc136350945" w:history="1">
            <w:r w:rsidRPr="00515591">
              <w:rPr>
                <w:rStyle w:val="Hipervnculo"/>
                <w:rFonts w:ascii="Arial" w:hAnsi="Arial" w:cs="Arial"/>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_Toc136350945 \h </w:instrText>
            </w:r>
            <w:r>
              <w:rPr>
                <w:noProof/>
                <w:webHidden/>
              </w:rPr>
            </w:r>
            <w:r>
              <w:rPr>
                <w:noProof/>
                <w:webHidden/>
              </w:rPr>
              <w:fldChar w:fldCharType="separate"/>
            </w:r>
            <w:r w:rsidR="000967D5">
              <w:rPr>
                <w:noProof/>
                <w:webHidden/>
              </w:rPr>
              <w:t>19</w:t>
            </w:r>
            <w:r>
              <w:rPr>
                <w:noProof/>
                <w:webHidden/>
              </w:rPr>
              <w:fldChar w:fldCharType="end"/>
            </w:r>
          </w:hyperlink>
        </w:p>
        <w:p w14:paraId="1AFB01ED" w14:textId="77777777" w:rsidR="00F46719" w:rsidRPr="008A1738" w:rsidRDefault="00276DD2">
          <w:pPr>
            <w:rPr>
              <w:rFonts w:ascii="Arial" w:hAnsi="Arial" w:cs="Arial"/>
              <w:sz w:val="20"/>
              <w:szCs w:val="20"/>
            </w:rPr>
          </w:pPr>
          <w:r w:rsidRPr="008A1738">
            <w:rPr>
              <w:rFonts w:ascii="Arial" w:hAnsi="Arial" w:cs="Arial"/>
              <w:b/>
              <w:bCs/>
              <w:sz w:val="20"/>
              <w:szCs w:val="20"/>
              <w:lang w:val="es-ES"/>
            </w:rPr>
            <w:fldChar w:fldCharType="end"/>
          </w:r>
        </w:p>
      </w:sdtContent>
    </w:sdt>
    <w:p w14:paraId="2A85ADFA" w14:textId="77777777" w:rsidR="00F46719" w:rsidRPr="008A1738" w:rsidRDefault="00F46719" w:rsidP="00CB41C4">
      <w:pPr>
        <w:tabs>
          <w:tab w:val="left" w:leader="underscore" w:pos="9639"/>
        </w:tabs>
        <w:spacing w:after="0" w:line="240" w:lineRule="auto"/>
        <w:jc w:val="both"/>
        <w:rPr>
          <w:rFonts w:ascii="Arial" w:hAnsi="Arial" w:cs="Arial"/>
          <w:sz w:val="20"/>
          <w:szCs w:val="20"/>
        </w:rPr>
      </w:pPr>
    </w:p>
    <w:p w14:paraId="6570113B"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1751F43B" w14:textId="77777777" w:rsidR="00D02462" w:rsidRDefault="00D02462" w:rsidP="000C3365">
      <w:pPr>
        <w:pStyle w:val="Ttulo2"/>
        <w:rPr>
          <w:rFonts w:ascii="Arial" w:hAnsi="Arial" w:cs="Arial"/>
          <w:b/>
          <w:color w:val="auto"/>
          <w:sz w:val="20"/>
          <w:szCs w:val="20"/>
        </w:rPr>
      </w:pPr>
    </w:p>
    <w:p w14:paraId="3E132F36" w14:textId="77777777" w:rsidR="00D02462" w:rsidRPr="00D02462" w:rsidRDefault="00D02462" w:rsidP="00D02462">
      <w:pPr>
        <w:rPr>
          <w:b/>
        </w:rPr>
      </w:pPr>
      <w:r w:rsidRPr="00D02462">
        <w:rPr>
          <w:b/>
        </w:rPr>
        <w:t>Introducción:</w:t>
      </w:r>
    </w:p>
    <w:p w14:paraId="0106F1CE" w14:textId="77777777" w:rsidR="00D02462" w:rsidRPr="008A1738" w:rsidRDefault="00D02462" w:rsidP="00D02462">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Breve descripción de las actividades principales de la entidad.</w:t>
      </w:r>
    </w:p>
    <w:p w14:paraId="02770E62" w14:textId="77777777" w:rsidR="00D02462" w:rsidRDefault="00D02462" w:rsidP="00D02462">
      <w:pPr>
        <w:spacing w:after="0" w:line="240" w:lineRule="auto"/>
        <w:jc w:val="both"/>
        <w:rPr>
          <w:rFonts w:ascii="Arial" w:hAnsi="Arial" w:cs="Arial"/>
          <w:sz w:val="20"/>
          <w:szCs w:val="20"/>
        </w:rPr>
      </w:pPr>
    </w:p>
    <w:p w14:paraId="2C6F6EF7" w14:textId="01314D7D" w:rsidR="00D02462" w:rsidRDefault="00D02462" w:rsidP="00D02462">
      <w:pPr>
        <w:spacing w:after="0" w:line="240" w:lineRule="auto"/>
        <w:jc w:val="both"/>
        <w:rPr>
          <w:rFonts w:ascii="Arial" w:hAnsi="Arial" w:cs="Arial"/>
          <w:sz w:val="20"/>
          <w:szCs w:val="20"/>
        </w:rPr>
      </w:pPr>
      <w:r w:rsidRPr="008A1738">
        <w:rPr>
          <w:rFonts w:ascii="Arial" w:hAnsi="Arial" w:cs="Arial"/>
          <w:sz w:val="20"/>
          <w:szCs w:val="20"/>
        </w:rPr>
        <w:t>Denominado comercialmente como: “Fondos Guanajuato”, se desempeñan funciones y actividades de Financiamiento en apoyo a la</w:t>
      </w:r>
      <w:r>
        <w:rPr>
          <w:rFonts w:ascii="Arial" w:hAnsi="Arial" w:cs="Arial"/>
          <w:sz w:val="20"/>
          <w:szCs w:val="20"/>
        </w:rPr>
        <w:t>s</w:t>
      </w:r>
      <w:r w:rsidRPr="008A1738">
        <w:rPr>
          <w:rFonts w:ascii="Arial" w:hAnsi="Arial" w:cs="Arial"/>
          <w:sz w:val="20"/>
          <w:szCs w:val="20"/>
        </w:rPr>
        <w:t xml:space="preserve"> Micro, Pequeña</w:t>
      </w:r>
      <w:r>
        <w:rPr>
          <w:rFonts w:ascii="Arial" w:hAnsi="Arial" w:cs="Arial"/>
          <w:sz w:val="20"/>
          <w:szCs w:val="20"/>
        </w:rPr>
        <w:t>s</w:t>
      </w:r>
      <w:r w:rsidRPr="008A1738">
        <w:rPr>
          <w:rFonts w:ascii="Arial" w:hAnsi="Arial" w:cs="Arial"/>
          <w:sz w:val="20"/>
          <w:szCs w:val="20"/>
        </w:rPr>
        <w:t xml:space="preserve"> y Mediana</w:t>
      </w:r>
      <w:r>
        <w:rPr>
          <w:rFonts w:ascii="Arial" w:hAnsi="Arial" w:cs="Arial"/>
          <w:sz w:val="20"/>
          <w:szCs w:val="20"/>
        </w:rPr>
        <w:t>s E</w:t>
      </w:r>
      <w:r w:rsidRPr="008A1738">
        <w:rPr>
          <w:rFonts w:ascii="Arial" w:hAnsi="Arial" w:cs="Arial"/>
          <w:sz w:val="20"/>
          <w:szCs w:val="20"/>
        </w:rPr>
        <w:t>mpresa</w:t>
      </w:r>
      <w:r>
        <w:rPr>
          <w:rFonts w:ascii="Arial" w:hAnsi="Arial" w:cs="Arial"/>
          <w:sz w:val="20"/>
          <w:szCs w:val="20"/>
        </w:rPr>
        <w:t>s</w:t>
      </w:r>
      <w:r w:rsidRPr="008A1738">
        <w:rPr>
          <w:rFonts w:ascii="Arial" w:hAnsi="Arial" w:cs="Arial"/>
          <w:sz w:val="20"/>
          <w:szCs w:val="20"/>
        </w:rPr>
        <w:t xml:space="preserve"> </w:t>
      </w:r>
      <w:r>
        <w:rPr>
          <w:rFonts w:ascii="Arial" w:hAnsi="Arial" w:cs="Arial"/>
          <w:sz w:val="20"/>
          <w:szCs w:val="20"/>
        </w:rPr>
        <w:t xml:space="preserve">(MIPYMES) </w:t>
      </w:r>
      <w:r w:rsidRPr="008A1738">
        <w:rPr>
          <w:rFonts w:ascii="Arial" w:hAnsi="Arial" w:cs="Arial"/>
          <w:sz w:val="20"/>
          <w:szCs w:val="20"/>
        </w:rPr>
        <w:t>con proyección hacia la generación de empleo y el beneficio social en el Estado de Guanajuato en sectores que no son atendidos por las fuentes tradicionales de financiamiento.</w:t>
      </w:r>
    </w:p>
    <w:p w14:paraId="5B766364" w14:textId="77777777" w:rsidR="00344EC4" w:rsidRDefault="00344EC4" w:rsidP="00D02462">
      <w:pPr>
        <w:spacing w:after="0" w:line="240" w:lineRule="auto"/>
        <w:jc w:val="both"/>
        <w:rPr>
          <w:rFonts w:ascii="Arial" w:hAnsi="Arial" w:cs="Arial"/>
          <w:sz w:val="20"/>
          <w:szCs w:val="20"/>
        </w:rPr>
      </w:pPr>
    </w:p>
    <w:p w14:paraId="4A00C2E5" w14:textId="77777777" w:rsidR="00D02462" w:rsidRDefault="00D02462" w:rsidP="00D02462">
      <w:pPr>
        <w:spacing w:after="0" w:line="240" w:lineRule="auto"/>
        <w:jc w:val="both"/>
        <w:rPr>
          <w:rFonts w:ascii="Arial" w:hAnsi="Arial" w:cs="Arial"/>
          <w:sz w:val="20"/>
          <w:szCs w:val="20"/>
        </w:rPr>
      </w:pPr>
      <w:r w:rsidRPr="008A1738">
        <w:rPr>
          <w:rFonts w:ascii="Arial" w:hAnsi="Arial" w:cs="Arial"/>
          <w:sz w:val="20"/>
          <w:szCs w:val="20"/>
        </w:rPr>
        <w:t>La principal actividad de la entidad es promover un amplio portafolio de esquemas y programas de financiamiento, todos ellos diseñados con el único objetivo de poder acompañar y asesorar a cada uno de los acreditados, empresarios y emprendedores, en las etapas más importantes de su vida empresarial.</w:t>
      </w:r>
    </w:p>
    <w:p w14:paraId="35635629" w14:textId="77777777" w:rsidR="00344EC4" w:rsidRDefault="00344EC4" w:rsidP="00D02462">
      <w:pPr>
        <w:spacing w:after="0" w:line="240" w:lineRule="auto"/>
        <w:jc w:val="both"/>
        <w:rPr>
          <w:rFonts w:ascii="Arial" w:hAnsi="Arial" w:cs="Arial"/>
          <w:sz w:val="20"/>
          <w:szCs w:val="20"/>
        </w:rPr>
      </w:pPr>
    </w:p>
    <w:p w14:paraId="1A41AF7C" w14:textId="655CD4FA" w:rsidR="00D02462" w:rsidRDefault="00D02462" w:rsidP="00D02462">
      <w:pPr>
        <w:spacing w:after="0" w:line="240" w:lineRule="auto"/>
        <w:jc w:val="both"/>
        <w:rPr>
          <w:rFonts w:ascii="Arial" w:hAnsi="Arial" w:cs="Arial"/>
          <w:sz w:val="20"/>
          <w:szCs w:val="20"/>
        </w:rPr>
      </w:pPr>
      <w:r w:rsidRPr="008A1738">
        <w:rPr>
          <w:rFonts w:ascii="Arial" w:hAnsi="Arial" w:cs="Arial"/>
          <w:sz w:val="20"/>
          <w:szCs w:val="20"/>
        </w:rPr>
        <w:t>Los sectores que se impulsan son: industrial, comercial, servicios y agroindustrial, otorgando así el apoyo a los negocios haciéndolos más competitivos al brindarles soporte económico para compras de materia prima, mercancía, mobiliario y equipo, maquinaria y adecuaciones físicas.</w:t>
      </w:r>
    </w:p>
    <w:p w14:paraId="0D024C43" w14:textId="77777777" w:rsidR="00344EC4" w:rsidRDefault="00344EC4" w:rsidP="00D02462">
      <w:pPr>
        <w:spacing w:after="0" w:line="240" w:lineRule="auto"/>
        <w:jc w:val="both"/>
        <w:rPr>
          <w:rFonts w:ascii="Arial" w:hAnsi="Arial" w:cs="Arial"/>
          <w:sz w:val="20"/>
          <w:szCs w:val="20"/>
        </w:rPr>
      </w:pPr>
    </w:p>
    <w:p w14:paraId="0BCD7E8C" w14:textId="468229E7" w:rsidR="00D02462" w:rsidRPr="008A1738" w:rsidRDefault="00D02462" w:rsidP="00D02462">
      <w:pPr>
        <w:spacing w:after="0" w:line="240" w:lineRule="auto"/>
        <w:jc w:val="both"/>
        <w:rPr>
          <w:rFonts w:ascii="Arial" w:hAnsi="Arial" w:cs="Arial"/>
          <w:sz w:val="20"/>
          <w:szCs w:val="20"/>
        </w:rPr>
      </w:pPr>
      <w:r w:rsidRPr="008A1738">
        <w:rPr>
          <w:rFonts w:ascii="Arial" w:hAnsi="Arial" w:cs="Arial"/>
          <w:sz w:val="20"/>
          <w:szCs w:val="20"/>
        </w:rPr>
        <w:t>Así mismo ayudando a emprendedores con proyectos viables generados dentro de una incubadora con:</w:t>
      </w:r>
      <w:r w:rsidR="00344EC4">
        <w:rPr>
          <w:rFonts w:ascii="Arial" w:hAnsi="Arial" w:cs="Arial"/>
          <w:sz w:val="20"/>
          <w:szCs w:val="20"/>
        </w:rPr>
        <w:t xml:space="preserve"> </w:t>
      </w:r>
      <w:r w:rsidRPr="008A1738">
        <w:rPr>
          <w:rFonts w:ascii="Arial" w:hAnsi="Arial" w:cs="Arial"/>
          <w:sz w:val="20"/>
          <w:szCs w:val="20"/>
        </w:rPr>
        <w:t>Asesoría empresarial</w:t>
      </w:r>
      <w:r w:rsidR="00344EC4">
        <w:rPr>
          <w:rFonts w:ascii="Arial" w:hAnsi="Arial" w:cs="Arial"/>
          <w:sz w:val="20"/>
          <w:szCs w:val="20"/>
        </w:rPr>
        <w:t xml:space="preserve">, </w:t>
      </w:r>
      <w:r w:rsidRPr="008A1738">
        <w:rPr>
          <w:rFonts w:ascii="Arial" w:hAnsi="Arial" w:cs="Arial"/>
          <w:sz w:val="20"/>
          <w:szCs w:val="20"/>
        </w:rPr>
        <w:t>Capacitación</w:t>
      </w:r>
      <w:r w:rsidR="00344EC4">
        <w:rPr>
          <w:rFonts w:ascii="Arial" w:hAnsi="Arial" w:cs="Arial"/>
          <w:sz w:val="20"/>
          <w:szCs w:val="20"/>
        </w:rPr>
        <w:t xml:space="preserve">, </w:t>
      </w:r>
      <w:r w:rsidRPr="008A1738">
        <w:rPr>
          <w:rFonts w:ascii="Arial" w:hAnsi="Arial" w:cs="Arial"/>
          <w:sz w:val="20"/>
          <w:szCs w:val="20"/>
        </w:rPr>
        <w:t>Consultoría especializada y asistencia técnica en la elaboración del Plan de Negocios</w:t>
      </w:r>
      <w:r w:rsidR="00344EC4">
        <w:rPr>
          <w:rFonts w:ascii="Arial" w:hAnsi="Arial" w:cs="Arial"/>
          <w:sz w:val="20"/>
          <w:szCs w:val="20"/>
        </w:rPr>
        <w:t xml:space="preserve"> </w:t>
      </w:r>
      <w:r w:rsidRPr="008A1738">
        <w:rPr>
          <w:rFonts w:ascii="Arial" w:hAnsi="Arial" w:cs="Arial"/>
          <w:sz w:val="20"/>
          <w:szCs w:val="20"/>
        </w:rPr>
        <w:t>Recursos financieros para su desarrollo, implementación y consolidación.</w:t>
      </w:r>
    </w:p>
    <w:p w14:paraId="657C7D06" w14:textId="77777777" w:rsidR="00D02462" w:rsidRPr="00D02462" w:rsidRDefault="00D02462" w:rsidP="00D02462"/>
    <w:p w14:paraId="73D549E9" w14:textId="77777777" w:rsidR="007D1E76" w:rsidRPr="008A1738" w:rsidRDefault="00C3149F" w:rsidP="000C3365">
      <w:pPr>
        <w:pStyle w:val="Ttulo2"/>
        <w:rPr>
          <w:rFonts w:ascii="Arial" w:hAnsi="Arial" w:cs="Arial"/>
          <w:b/>
          <w:color w:val="auto"/>
          <w:sz w:val="20"/>
          <w:szCs w:val="20"/>
        </w:rPr>
      </w:pPr>
      <w:bookmarkStart w:id="0" w:name="_Toc136350930"/>
      <w:r>
        <w:rPr>
          <w:rFonts w:ascii="Arial" w:hAnsi="Arial" w:cs="Arial"/>
          <w:b/>
          <w:color w:val="auto"/>
          <w:sz w:val="20"/>
          <w:szCs w:val="20"/>
        </w:rPr>
        <w:t>1. Autorización e Historia</w:t>
      </w:r>
      <w:r w:rsidR="007D1E76" w:rsidRPr="008A1738">
        <w:rPr>
          <w:rFonts w:ascii="Arial" w:hAnsi="Arial" w:cs="Arial"/>
          <w:b/>
          <w:color w:val="auto"/>
          <w:sz w:val="20"/>
          <w:szCs w:val="20"/>
        </w:rPr>
        <w:t>:</w:t>
      </w:r>
      <w:bookmarkEnd w:id="0"/>
    </w:p>
    <w:p w14:paraId="58815DB7" w14:textId="77777777" w:rsidR="00D02462" w:rsidRPr="008A1738" w:rsidRDefault="00D02462" w:rsidP="00D02462">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Se informará sobre:</w:t>
      </w:r>
    </w:p>
    <w:p w14:paraId="75F508DF" w14:textId="77777777" w:rsidR="00D02462" w:rsidRPr="008A1738" w:rsidRDefault="00D02462" w:rsidP="00D02462">
      <w:pPr>
        <w:tabs>
          <w:tab w:val="left" w:leader="underscore" w:pos="9639"/>
        </w:tabs>
        <w:spacing w:after="0" w:line="240" w:lineRule="auto"/>
        <w:jc w:val="both"/>
        <w:rPr>
          <w:rFonts w:ascii="Arial" w:hAnsi="Arial" w:cs="Arial"/>
          <w:sz w:val="20"/>
          <w:szCs w:val="20"/>
        </w:rPr>
      </w:pPr>
    </w:p>
    <w:p w14:paraId="54625995" w14:textId="77777777" w:rsidR="00D02462" w:rsidRPr="008A1738" w:rsidRDefault="00D02462" w:rsidP="00D02462">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a)</w:t>
      </w:r>
      <w:r w:rsidRPr="008A1738">
        <w:rPr>
          <w:rFonts w:ascii="Arial" w:hAnsi="Arial" w:cs="Arial"/>
          <w:sz w:val="20"/>
          <w:szCs w:val="20"/>
        </w:rPr>
        <w:t xml:space="preserve"> Fecha de creación del ente.</w:t>
      </w:r>
    </w:p>
    <w:p w14:paraId="5C138BA9" w14:textId="77777777" w:rsidR="00D02462" w:rsidRPr="008A1738" w:rsidRDefault="00D02462" w:rsidP="00D02462">
      <w:pPr>
        <w:spacing w:after="0" w:line="240" w:lineRule="auto"/>
        <w:jc w:val="both"/>
        <w:rPr>
          <w:rFonts w:ascii="Arial" w:hAnsi="Arial" w:cs="Arial"/>
          <w:sz w:val="20"/>
          <w:szCs w:val="20"/>
        </w:rPr>
      </w:pPr>
      <w:r w:rsidRPr="008A1738">
        <w:rPr>
          <w:rFonts w:ascii="Arial" w:hAnsi="Arial" w:cs="Arial"/>
          <w:sz w:val="20"/>
          <w:szCs w:val="20"/>
        </w:rPr>
        <w:t>La Entidad se creó mediante contrato constitutivo de fecha 09 de abril de 1992, el Gobierno del Estado de Guanajuato y Nacional Financiera, S.N.C., formalizaron la creación de la Entidad, que en su origen fue identificado con el número F/1018-2, denominado “Fondo para el Financiamiento de las Empresas de Solidaridad del Estado de Guanajuato”, por sus siglas FOFIES.</w:t>
      </w:r>
    </w:p>
    <w:p w14:paraId="74E1A6C3" w14:textId="77777777" w:rsidR="00D02462" w:rsidRPr="008A1738" w:rsidRDefault="00D02462" w:rsidP="00D02462">
      <w:pPr>
        <w:spacing w:after="0" w:line="240" w:lineRule="auto"/>
        <w:jc w:val="both"/>
        <w:rPr>
          <w:rFonts w:ascii="Arial" w:hAnsi="Arial" w:cs="Arial"/>
          <w:sz w:val="20"/>
          <w:szCs w:val="20"/>
        </w:rPr>
      </w:pPr>
      <w:r w:rsidRPr="008A1738">
        <w:rPr>
          <w:rFonts w:ascii="Arial" w:hAnsi="Arial" w:cs="Arial"/>
          <w:sz w:val="20"/>
          <w:szCs w:val="20"/>
        </w:rPr>
        <w:t>Que con fecha 18 de marzo de 2014 se suscribe el Quinto Convenio Modificatorio, en el cual establece identificar a la Entidad bajo la denominación “Fondos Guanajuato de Financiamiento”; Fondos Guanajuato de Financiamiento, anteriormente llamado</w:t>
      </w:r>
      <w:r>
        <w:rPr>
          <w:rFonts w:ascii="Arial" w:hAnsi="Arial" w:cs="Arial"/>
          <w:sz w:val="20"/>
          <w:szCs w:val="20"/>
        </w:rPr>
        <w:t>:</w:t>
      </w:r>
      <w:r w:rsidRPr="008A1738">
        <w:rPr>
          <w:rFonts w:ascii="Arial" w:hAnsi="Arial" w:cs="Arial"/>
          <w:sz w:val="20"/>
          <w:szCs w:val="20"/>
        </w:rPr>
        <w:t xml:space="preserve"> </w:t>
      </w:r>
      <w:r>
        <w:rPr>
          <w:rFonts w:ascii="Arial" w:hAnsi="Arial" w:cs="Arial"/>
          <w:sz w:val="20"/>
          <w:szCs w:val="20"/>
        </w:rPr>
        <w:t>“</w:t>
      </w:r>
      <w:r w:rsidRPr="008A1738">
        <w:rPr>
          <w:rFonts w:ascii="Arial" w:hAnsi="Arial" w:cs="Arial"/>
          <w:sz w:val="20"/>
          <w:szCs w:val="20"/>
        </w:rPr>
        <w:t>Fondo para el Financiamiento de las Empresas de Solidaridad del Estado de Guanajuato es una Entidad de la Administración Pública Paraestatal</w:t>
      </w:r>
      <w:r>
        <w:rPr>
          <w:rFonts w:ascii="Arial" w:hAnsi="Arial" w:cs="Arial"/>
          <w:sz w:val="20"/>
          <w:szCs w:val="20"/>
        </w:rPr>
        <w:t>”</w:t>
      </w:r>
      <w:r w:rsidRPr="008A1738">
        <w:rPr>
          <w:rFonts w:ascii="Arial" w:hAnsi="Arial" w:cs="Arial"/>
          <w:sz w:val="20"/>
          <w:szCs w:val="20"/>
        </w:rPr>
        <w:t>.</w:t>
      </w:r>
    </w:p>
    <w:p w14:paraId="0FC774EA" w14:textId="77777777" w:rsidR="00D02462" w:rsidRPr="008A1738" w:rsidRDefault="00D02462" w:rsidP="00D02462">
      <w:pPr>
        <w:tabs>
          <w:tab w:val="left" w:leader="underscore" w:pos="9639"/>
        </w:tabs>
        <w:spacing w:after="0" w:line="240" w:lineRule="auto"/>
        <w:jc w:val="both"/>
        <w:rPr>
          <w:rFonts w:ascii="Arial" w:hAnsi="Arial" w:cs="Arial"/>
          <w:sz w:val="20"/>
          <w:szCs w:val="20"/>
        </w:rPr>
      </w:pPr>
    </w:p>
    <w:p w14:paraId="71DCE209" w14:textId="77777777" w:rsidR="00D02462" w:rsidRPr="008A1738" w:rsidRDefault="00D02462" w:rsidP="00D02462">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b)</w:t>
      </w:r>
      <w:r w:rsidRPr="008A1738">
        <w:rPr>
          <w:rFonts w:ascii="Arial" w:hAnsi="Arial" w:cs="Arial"/>
          <w:sz w:val="20"/>
          <w:szCs w:val="20"/>
        </w:rPr>
        <w:t xml:space="preserve"> Principales cambios en su estructura (interna históricamente).</w:t>
      </w:r>
    </w:p>
    <w:p w14:paraId="41D879D7" w14:textId="77777777" w:rsidR="00D02462" w:rsidRPr="008A1738" w:rsidRDefault="00D02462" w:rsidP="00D02462">
      <w:pPr>
        <w:spacing w:after="0" w:line="240" w:lineRule="auto"/>
        <w:jc w:val="both"/>
        <w:rPr>
          <w:rFonts w:ascii="Arial" w:hAnsi="Arial" w:cs="Arial"/>
          <w:sz w:val="20"/>
          <w:szCs w:val="20"/>
        </w:rPr>
      </w:pPr>
      <w:r w:rsidRPr="008A1738">
        <w:rPr>
          <w:rFonts w:ascii="Arial" w:hAnsi="Arial" w:cs="Arial"/>
          <w:sz w:val="20"/>
          <w:szCs w:val="20"/>
        </w:rPr>
        <w:t>El 13 de junio de 2001 se celebró el Primer Convenio Modificatorio al Contrato de Fideicomiso, entre Gobierno del Estado de Guanajuato y Nacional Financiera, S.N.C., con el objeto de fomentar y fortalecer las actividades productivas de la Microempresa del Estado de Guanajuato, se ampliaron los fines del "Fondo para el Financiamiento de las Empresas de Solidaridad del Estado de Guanajuato".</w:t>
      </w:r>
    </w:p>
    <w:p w14:paraId="28C70FA3" w14:textId="77777777" w:rsidR="00D02462" w:rsidRPr="008A1738" w:rsidRDefault="00D02462" w:rsidP="00D02462">
      <w:pPr>
        <w:spacing w:after="0" w:line="240" w:lineRule="auto"/>
        <w:jc w:val="both"/>
        <w:rPr>
          <w:rFonts w:ascii="Arial" w:hAnsi="Arial" w:cs="Arial"/>
          <w:sz w:val="20"/>
          <w:szCs w:val="20"/>
        </w:rPr>
      </w:pPr>
      <w:r w:rsidRPr="008A1738">
        <w:rPr>
          <w:rFonts w:ascii="Arial" w:hAnsi="Arial" w:cs="Arial"/>
          <w:sz w:val="20"/>
          <w:szCs w:val="20"/>
        </w:rPr>
        <w:t>Con fecha 17 de julio del 2003, se celebró el Segundo Convenio Modificatorio al Fideicomiso "Fondo para el Financiamiento de las Empresas de Solidaridad del Estado de Guanajuato" toda vez que se ha decidido establecer con el Fondo para la Participación de Riesgos un nuevo esquema de garantías.</w:t>
      </w:r>
    </w:p>
    <w:p w14:paraId="77AFB495" w14:textId="77777777" w:rsidR="00D02462" w:rsidRPr="008A1738" w:rsidRDefault="00D02462" w:rsidP="00D02462">
      <w:pPr>
        <w:spacing w:after="0" w:line="240" w:lineRule="auto"/>
        <w:jc w:val="both"/>
        <w:rPr>
          <w:rFonts w:ascii="Arial" w:hAnsi="Arial" w:cs="Arial"/>
          <w:sz w:val="20"/>
          <w:szCs w:val="20"/>
        </w:rPr>
      </w:pPr>
      <w:r w:rsidRPr="008A1738">
        <w:rPr>
          <w:rFonts w:ascii="Arial" w:hAnsi="Arial" w:cs="Arial"/>
          <w:sz w:val="20"/>
          <w:szCs w:val="20"/>
        </w:rPr>
        <w:t>Así mismo en fecha 4 de noviembre del 2005, se suscribió el Tercer Convenio Modificatorio al Fideicomiso, por medio del cual se buscó incentivar de mayor manera el apoyo a emprendedores y empresarios de micro, pequeñas y medianas empresas del Estado de Guanajuato.</w:t>
      </w:r>
    </w:p>
    <w:p w14:paraId="2AAFA633" w14:textId="77777777" w:rsidR="00D02462" w:rsidRPr="008A1738" w:rsidRDefault="00D02462" w:rsidP="00D02462">
      <w:pPr>
        <w:spacing w:after="0" w:line="240" w:lineRule="auto"/>
        <w:jc w:val="both"/>
        <w:rPr>
          <w:rFonts w:ascii="Arial" w:hAnsi="Arial" w:cs="Arial"/>
          <w:sz w:val="20"/>
          <w:szCs w:val="20"/>
        </w:rPr>
      </w:pPr>
      <w:r w:rsidRPr="008A1738">
        <w:rPr>
          <w:rFonts w:ascii="Arial" w:hAnsi="Arial" w:cs="Arial"/>
          <w:sz w:val="20"/>
          <w:szCs w:val="20"/>
        </w:rPr>
        <w:t>De igual forma en fecha 31 de julio del 2008, se suscribió el Cuarto Convenio Modificatorio al Fideicomiso denominado "Fondo para el Financiamiento de las Empresas de Solidaridad del Estado de Guanajuato", a efecto de habilitar al fideicomiso como intermediario financiero especializado con una línea global de descuento, para el apoyo financiero a las micro, pequeñas y medianas empresas de la cadena productiva de los minerales en el Estado de Guanajuato.</w:t>
      </w:r>
    </w:p>
    <w:p w14:paraId="2F87C5ED" w14:textId="77777777" w:rsidR="00D02462" w:rsidRPr="007D2F06" w:rsidRDefault="00D02462" w:rsidP="00D02462">
      <w:pPr>
        <w:spacing w:after="0" w:line="240" w:lineRule="auto"/>
        <w:jc w:val="both"/>
        <w:rPr>
          <w:rFonts w:ascii="Arial" w:hAnsi="Arial" w:cs="Arial"/>
          <w:sz w:val="20"/>
          <w:szCs w:val="20"/>
        </w:rPr>
      </w:pPr>
      <w:r w:rsidRPr="008A1738">
        <w:rPr>
          <w:rFonts w:ascii="Arial" w:hAnsi="Arial" w:cs="Arial"/>
          <w:sz w:val="20"/>
          <w:szCs w:val="20"/>
        </w:rPr>
        <w:t xml:space="preserve">Que con fecha 18 de marzo de 2014 se suscribe el Quinto Convenio Modificatorio, en el cual mediante su cláusula Tercera establece Promover y celebrar todo tipo de actos, contratos o convenios, por medio de los cuales se dé cumplimiento a los fines de la Entidad, se utilicen o se canalicen recursos, de manera directa por </w:t>
      </w:r>
      <w:r w:rsidRPr="008A1738">
        <w:rPr>
          <w:rFonts w:ascii="Arial" w:hAnsi="Arial" w:cs="Arial"/>
          <w:sz w:val="20"/>
          <w:szCs w:val="20"/>
        </w:rPr>
        <w:lastRenderedPageBreak/>
        <w:t xml:space="preserve">el propio fideicomiso o a través de terceros, pudiendo conjuntar esfuerzos con la Federación, los estados y los municipios, así como con la iniciativa privada o en </w:t>
      </w:r>
      <w:r w:rsidRPr="007D2F06">
        <w:rPr>
          <w:rFonts w:ascii="Arial" w:hAnsi="Arial" w:cs="Arial"/>
          <w:sz w:val="20"/>
          <w:szCs w:val="20"/>
        </w:rPr>
        <w:t>general con cualquier persona física o moral, pública o privada, nacional o extranjera, en apego a las disposiciones aplicables.</w:t>
      </w:r>
    </w:p>
    <w:p w14:paraId="06C0CEF2" w14:textId="40AD076E" w:rsidR="00D02462" w:rsidRPr="007D2F06" w:rsidRDefault="00D02462" w:rsidP="00D02462">
      <w:pPr>
        <w:tabs>
          <w:tab w:val="left" w:leader="underscore" w:pos="9639"/>
        </w:tabs>
        <w:spacing w:after="0" w:line="240" w:lineRule="auto"/>
        <w:jc w:val="both"/>
        <w:rPr>
          <w:rFonts w:ascii="Arial" w:hAnsi="Arial" w:cs="Arial"/>
          <w:sz w:val="20"/>
          <w:szCs w:val="20"/>
        </w:rPr>
      </w:pPr>
    </w:p>
    <w:p w14:paraId="5F4B7972" w14:textId="73B965B4" w:rsidR="00B3369A" w:rsidRPr="007D2F06" w:rsidRDefault="00B3369A" w:rsidP="00B3369A">
      <w:pPr>
        <w:tabs>
          <w:tab w:val="left" w:leader="underscore" w:pos="9639"/>
        </w:tabs>
        <w:spacing w:after="0" w:line="240" w:lineRule="auto"/>
        <w:jc w:val="both"/>
        <w:rPr>
          <w:rFonts w:ascii="Arial" w:hAnsi="Arial" w:cs="Arial"/>
          <w:sz w:val="20"/>
          <w:szCs w:val="20"/>
        </w:rPr>
      </w:pPr>
      <w:r w:rsidRPr="007D2F06">
        <w:rPr>
          <w:rFonts w:ascii="Arial" w:hAnsi="Arial" w:cs="Arial"/>
          <w:b/>
          <w:sz w:val="20"/>
          <w:szCs w:val="20"/>
        </w:rPr>
        <w:t xml:space="preserve">c) </w:t>
      </w:r>
      <w:r w:rsidRPr="007D2F06">
        <w:rPr>
          <w:rFonts w:ascii="Tahoma" w:hAnsi="Tahoma" w:cs="Tahoma"/>
          <w:sz w:val="20"/>
          <w:szCs w:val="20"/>
          <w:lang w:val="es-ES"/>
        </w:rPr>
        <w:t xml:space="preserve">Derivado del Decreto </w:t>
      </w:r>
      <w:r w:rsidRPr="007D2F06">
        <w:rPr>
          <w:rFonts w:ascii="Tahoma" w:eastAsia="Arial Unicode MS" w:hAnsi="Tahoma" w:cs="Tahoma"/>
          <w:sz w:val="20"/>
          <w:szCs w:val="20"/>
        </w:rPr>
        <w:t xml:space="preserve">Gubernativo número 1, publicado en el Periódico Oficial del Gobierno del Estado de Guanajuato, número 194, tercera parte, del 26 de septiembre de 2024, en su artículo segundo transitorio del citado Decreto Gubernativo número 1, se señala que con la entrada en vigor de dicho decreto -el día de su publicación-, el fideicomiso </w:t>
      </w:r>
      <w:r w:rsidRPr="007D2F06">
        <w:rPr>
          <w:rFonts w:ascii="Arial" w:hAnsi="Arial" w:cs="Arial"/>
          <w:sz w:val="20"/>
          <w:szCs w:val="20"/>
        </w:rPr>
        <w:t>Fondos Guanajuato de Financiamiento</w:t>
      </w:r>
      <w:r w:rsidRPr="007D2F06">
        <w:rPr>
          <w:rFonts w:ascii="Tahoma" w:eastAsia="Arial Unicode MS" w:hAnsi="Tahoma" w:cs="Tahoma"/>
          <w:sz w:val="20"/>
          <w:szCs w:val="20"/>
        </w:rPr>
        <w:t xml:space="preserve"> ya no podrá asumir derechos ni obligaciones y en términos del artículo 392, fracción I, de la Ley General de Títulos y Operaciones de Crédito, llevará a cabo su proceso de extinción.</w:t>
      </w:r>
    </w:p>
    <w:p w14:paraId="6D7EECA5" w14:textId="77777777" w:rsidR="00B3369A" w:rsidRPr="007D2F06" w:rsidRDefault="00B3369A" w:rsidP="00B3369A">
      <w:pPr>
        <w:tabs>
          <w:tab w:val="left" w:leader="underscore" w:pos="9639"/>
        </w:tabs>
        <w:spacing w:after="0" w:line="240" w:lineRule="auto"/>
        <w:jc w:val="both"/>
        <w:rPr>
          <w:rFonts w:ascii="Arial" w:hAnsi="Arial" w:cs="Arial"/>
          <w:sz w:val="20"/>
          <w:szCs w:val="20"/>
        </w:rPr>
      </w:pPr>
    </w:p>
    <w:p w14:paraId="394954CD" w14:textId="5F7290E9" w:rsidR="00B3369A" w:rsidRPr="007D2F06" w:rsidRDefault="00B3369A" w:rsidP="00B3369A">
      <w:pPr>
        <w:tabs>
          <w:tab w:val="left" w:leader="underscore" w:pos="9639"/>
        </w:tabs>
        <w:spacing w:after="0" w:line="240" w:lineRule="auto"/>
        <w:jc w:val="both"/>
        <w:rPr>
          <w:rFonts w:ascii="Arial" w:hAnsi="Arial" w:cs="Arial"/>
          <w:b/>
          <w:sz w:val="20"/>
          <w:szCs w:val="20"/>
        </w:rPr>
      </w:pPr>
      <w:r w:rsidRPr="007D2F06">
        <w:rPr>
          <w:rFonts w:ascii="Tahoma" w:eastAsia="Arial Unicode MS" w:hAnsi="Tahoma" w:cs="Tahoma"/>
          <w:sz w:val="20"/>
          <w:szCs w:val="20"/>
        </w:rPr>
        <w:t xml:space="preserve">De conformidad a lo señalado en líneas que anteceden </w:t>
      </w:r>
      <w:r w:rsidRPr="007D2F06">
        <w:rPr>
          <w:rFonts w:ascii="Arial" w:hAnsi="Arial" w:cs="Arial"/>
          <w:sz w:val="20"/>
          <w:szCs w:val="20"/>
        </w:rPr>
        <w:t>Fondos Guanajuato de Financiamiento</w:t>
      </w:r>
      <w:r w:rsidRPr="007D2F06">
        <w:rPr>
          <w:rFonts w:ascii="Tahoma" w:eastAsia="Arial Unicode MS" w:hAnsi="Tahoma" w:cs="Tahoma"/>
          <w:sz w:val="20"/>
          <w:szCs w:val="20"/>
        </w:rPr>
        <w:t xml:space="preserve">, no cuenta con facultades para poder seguir otorgando financiamientos, por lo que actualmente solo tiene facultades para continuar con su labor de cobranza administrativa, extrajudicial y judicial </w:t>
      </w:r>
      <w:r w:rsidR="00492D2E" w:rsidRPr="007D2F06">
        <w:rPr>
          <w:rFonts w:ascii="Tahoma" w:eastAsia="Arial Unicode MS" w:hAnsi="Tahoma" w:cs="Tahoma"/>
          <w:sz w:val="20"/>
          <w:szCs w:val="20"/>
        </w:rPr>
        <w:t xml:space="preserve">y las demás gestiones que de esto se deriven, </w:t>
      </w:r>
      <w:r w:rsidRPr="007D2F06">
        <w:rPr>
          <w:rFonts w:ascii="Tahoma" w:eastAsia="Arial Unicode MS" w:hAnsi="Tahoma" w:cs="Tahoma"/>
          <w:sz w:val="20"/>
          <w:szCs w:val="20"/>
        </w:rPr>
        <w:t>con el fin reintegrar los recursos económicos financiados a las arcas públicas.</w:t>
      </w:r>
    </w:p>
    <w:p w14:paraId="4902DF27" w14:textId="77777777" w:rsidR="00B3369A" w:rsidRPr="007D2F06" w:rsidRDefault="00B3369A" w:rsidP="00D02462">
      <w:pPr>
        <w:tabs>
          <w:tab w:val="left" w:leader="underscore" w:pos="9639"/>
        </w:tabs>
        <w:spacing w:after="0" w:line="240" w:lineRule="auto"/>
        <w:jc w:val="both"/>
        <w:rPr>
          <w:rFonts w:ascii="Arial" w:hAnsi="Arial" w:cs="Arial"/>
          <w:sz w:val="20"/>
          <w:szCs w:val="20"/>
        </w:rPr>
      </w:pPr>
    </w:p>
    <w:p w14:paraId="2DCFD615" w14:textId="77777777" w:rsidR="0054701E" w:rsidRPr="007D2F06" w:rsidRDefault="0054701E" w:rsidP="00CB41C4">
      <w:pPr>
        <w:tabs>
          <w:tab w:val="left" w:leader="underscore" w:pos="9639"/>
        </w:tabs>
        <w:spacing w:after="0" w:line="240" w:lineRule="auto"/>
        <w:jc w:val="both"/>
        <w:rPr>
          <w:rFonts w:ascii="Arial" w:hAnsi="Arial" w:cs="Arial"/>
          <w:sz w:val="20"/>
          <w:szCs w:val="20"/>
        </w:rPr>
      </w:pPr>
    </w:p>
    <w:p w14:paraId="1954B800" w14:textId="77777777" w:rsidR="007D1E76" w:rsidRPr="007D2F06" w:rsidRDefault="00C3149F" w:rsidP="000C3365">
      <w:pPr>
        <w:pStyle w:val="Ttulo2"/>
        <w:rPr>
          <w:rFonts w:ascii="Arial" w:hAnsi="Arial" w:cs="Arial"/>
          <w:b/>
          <w:color w:val="auto"/>
          <w:sz w:val="20"/>
          <w:szCs w:val="20"/>
        </w:rPr>
      </w:pPr>
      <w:bookmarkStart w:id="1" w:name="_Toc136350931"/>
      <w:r w:rsidRPr="007D2F06">
        <w:rPr>
          <w:rFonts w:ascii="Arial" w:hAnsi="Arial" w:cs="Arial"/>
          <w:b/>
          <w:color w:val="auto"/>
          <w:sz w:val="20"/>
          <w:szCs w:val="20"/>
        </w:rPr>
        <w:t>2. P</w:t>
      </w:r>
      <w:r w:rsidR="007D1E76" w:rsidRPr="007D2F06">
        <w:rPr>
          <w:rFonts w:ascii="Arial" w:hAnsi="Arial" w:cs="Arial"/>
          <w:b/>
          <w:color w:val="auto"/>
          <w:sz w:val="20"/>
          <w:szCs w:val="20"/>
        </w:rPr>
        <w:t>an</w:t>
      </w:r>
      <w:r w:rsidR="00E00323" w:rsidRPr="007D2F06">
        <w:rPr>
          <w:rFonts w:ascii="Arial" w:hAnsi="Arial" w:cs="Arial"/>
          <w:b/>
          <w:color w:val="auto"/>
          <w:sz w:val="20"/>
          <w:szCs w:val="20"/>
        </w:rPr>
        <w:t>orama Económico y Financiero:</w:t>
      </w:r>
      <w:bookmarkEnd w:id="1"/>
    </w:p>
    <w:p w14:paraId="62239FB4" w14:textId="77777777" w:rsidR="007D1E76" w:rsidRPr="007D2F06" w:rsidRDefault="007D1E76" w:rsidP="00CB41C4">
      <w:pPr>
        <w:tabs>
          <w:tab w:val="left" w:leader="underscore" w:pos="9639"/>
        </w:tabs>
        <w:spacing w:after="0" w:line="240" w:lineRule="auto"/>
        <w:jc w:val="both"/>
        <w:rPr>
          <w:rFonts w:ascii="Arial" w:hAnsi="Arial" w:cs="Arial"/>
          <w:sz w:val="20"/>
          <w:szCs w:val="20"/>
        </w:rPr>
      </w:pPr>
      <w:r w:rsidRPr="007D2F06">
        <w:rPr>
          <w:rFonts w:ascii="Arial" w:hAnsi="Arial" w:cs="Arial"/>
          <w:sz w:val="20"/>
          <w:szCs w:val="20"/>
        </w:rPr>
        <w:t>Se informará sobre las principales condiciones económico-financieras bajo las cuales el ente público estuvo operando y las cuales influyeron en la toma de decisiones de la administración</w:t>
      </w:r>
      <w:r w:rsidR="00264535" w:rsidRPr="007D2F06">
        <w:rPr>
          <w:rFonts w:ascii="Arial" w:hAnsi="Arial" w:cs="Arial"/>
          <w:sz w:val="20"/>
          <w:szCs w:val="20"/>
        </w:rPr>
        <w:t>,</w:t>
      </w:r>
      <w:r w:rsidRPr="007D2F06">
        <w:rPr>
          <w:rFonts w:ascii="Arial" w:hAnsi="Arial" w:cs="Arial"/>
          <w:sz w:val="20"/>
          <w:szCs w:val="20"/>
        </w:rPr>
        <w:t xml:space="preserve"> tanto</w:t>
      </w:r>
      <w:r w:rsidR="00E00323" w:rsidRPr="007D2F06">
        <w:rPr>
          <w:rFonts w:ascii="Arial" w:hAnsi="Arial" w:cs="Arial"/>
          <w:sz w:val="20"/>
          <w:szCs w:val="20"/>
        </w:rPr>
        <w:t xml:space="preserve"> a nivel local como federal.</w:t>
      </w:r>
    </w:p>
    <w:p w14:paraId="0BB2B614" w14:textId="77777777" w:rsidR="003107E2" w:rsidRPr="007D2F06" w:rsidRDefault="003107E2" w:rsidP="00CB41C4">
      <w:pPr>
        <w:tabs>
          <w:tab w:val="left" w:leader="underscore" w:pos="9639"/>
        </w:tabs>
        <w:spacing w:after="0" w:line="240" w:lineRule="auto"/>
        <w:jc w:val="both"/>
        <w:rPr>
          <w:rFonts w:ascii="Arial" w:hAnsi="Arial" w:cs="Arial"/>
          <w:sz w:val="20"/>
          <w:szCs w:val="20"/>
        </w:rPr>
      </w:pPr>
    </w:p>
    <w:p w14:paraId="61FFD024"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Contexto Global</w:t>
      </w:r>
    </w:p>
    <w:p w14:paraId="2DE0DBBB" w14:textId="77777777" w:rsidR="00205C68" w:rsidRPr="007D2F06" w:rsidRDefault="00205C68" w:rsidP="00205C68">
      <w:pPr>
        <w:spacing w:after="0" w:line="240" w:lineRule="auto"/>
        <w:jc w:val="both"/>
        <w:rPr>
          <w:rFonts w:ascii="Arial" w:hAnsi="Arial" w:cs="Arial"/>
          <w:sz w:val="20"/>
          <w:szCs w:val="20"/>
        </w:rPr>
      </w:pPr>
    </w:p>
    <w:p w14:paraId="265A68EE"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La desaceleración económica que se venía presentando a nivel internacional, aunada a la contingencia sanitaria provocada por el COVID-19, generó un entorno económico que derivó en recesión y pérdida de empleos en todo el mundo.</w:t>
      </w:r>
    </w:p>
    <w:p w14:paraId="75783DB0" w14:textId="77777777" w:rsidR="00205C68" w:rsidRPr="007D2F06" w:rsidRDefault="00205C68" w:rsidP="00205C68">
      <w:pPr>
        <w:spacing w:after="0" w:line="240" w:lineRule="auto"/>
        <w:jc w:val="both"/>
        <w:rPr>
          <w:rFonts w:ascii="Arial" w:hAnsi="Arial" w:cs="Arial"/>
          <w:sz w:val="20"/>
          <w:szCs w:val="20"/>
        </w:rPr>
      </w:pPr>
    </w:p>
    <w:p w14:paraId="20E370DE"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El Fondo Monetario Internacional estima que en el año 2020 existió una contracción económica del -3.3% y que alrededor de 95 millones de personas adicionales quedaron por debajo del umbral de la pobreza extrema a nivel mundial.</w:t>
      </w:r>
    </w:p>
    <w:p w14:paraId="506DA5BA" w14:textId="77777777" w:rsidR="00205C68" w:rsidRPr="007D2F06" w:rsidRDefault="00205C68" w:rsidP="00205C68">
      <w:pPr>
        <w:spacing w:after="0" w:line="240" w:lineRule="auto"/>
        <w:jc w:val="both"/>
        <w:rPr>
          <w:rFonts w:ascii="Arial" w:hAnsi="Arial" w:cs="Arial"/>
          <w:sz w:val="20"/>
          <w:szCs w:val="20"/>
        </w:rPr>
      </w:pPr>
    </w:p>
    <w:p w14:paraId="197BA970" w14:textId="2D82D3AB"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 xml:space="preserve">De igual manera, la economía de México tuvo una contracción de -8.5% de acuerdo </w:t>
      </w:r>
      <w:r w:rsidR="00260D59">
        <w:rPr>
          <w:rFonts w:ascii="Arial" w:hAnsi="Arial" w:cs="Arial"/>
          <w:sz w:val="20"/>
          <w:szCs w:val="20"/>
        </w:rPr>
        <w:t>con</w:t>
      </w:r>
      <w:r w:rsidRPr="007D2F06">
        <w:rPr>
          <w:rFonts w:ascii="Arial" w:hAnsi="Arial" w:cs="Arial"/>
          <w:sz w:val="20"/>
          <w:szCs w:val="20"/>
        </w:rPr>
        <w:t xml:space="preserve"> los datos del INEGI.</w:t>
      </w:r>
    </w:p>
    <w:p w14:paraId="381FF180" w14:textId="77777777" w:rsidR="00205C68" w:rsidRPr="007D2F06" w:rsidRDefault="00205C68" w:rsidP="00205C68">
      <w:pPr>
        <w:spacing w:after="0" w:line="240" w:lineRule="auto"/>
        <w:jc w:val="both"/>
        <w:rPr>
          <w:rFonts w:ascii="Arial" w:hAnsi="Arial" w:cs="Arial"/>
          <w:sz w:val="20"/>
          <w:szCs w:val="20"/>
        </w:rPr>
      </w:pPr>
    </w:p>
    <w:p w14:paraId="3C807DBD"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Contexto Local</w:t>
      </w:r>
    </w:p>
    <w:p w14:paraId="28648504" w14:textId="77777777" w:rsidR="00205C68" w:rsidRPr="007D2F06" w:rsidRDefault="00205C68" w:rsidP="00205C68">
      <w:pPr>
        <w:spacing w:after="0" w:line="240" w:lineRule="auto"/>
        <w:jc w:val="both"/>
        <w:rPr>
          <w:rFonts w:ascii="Arial" w:hAnsi="Arial" w:cs="Arial"/>
          <w:sz w:val="20"/>
          <w:szCs w:val="20"/>
        </w:rPr>
      </w:pPr>
    </w:p>
    <w:p w14:paraId="334FBDA0"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Guanajuato por su parte, ha enfrentado una reducción en los ingresos provenientes de la federación. De acuerdo con el Paquete Fiscal 2021, se espera una reducción de más de 4 mil millones de pesos con respecto al año 2020.</w:t>
      </w:r>
    </w:p>
    <w:p w14:paraId="152A6E6E" w14:textId="77777777" w:rsidR="00205C68" w:rsidRPr="007D2F06" w:rsidRDefault="00205C68" w:rsidP="00205C68">
      <w:pPr>
        <w:spacing w:after="0" w:line="240" w:lineRule="auto"/>
        <w:jc w:val="both"/>
        <w:rPr>
          <w:rFonts w:ascii="Arial" w:hAnsi="Arial" w:cs="Arial"/>
          <w:sz w:val="20"/>
          <w:szCs w:val="20"/>
        </w:rPr>
      </w:pPr>
    </w:p>
    <w:p w14:paraId="17DB3A7F"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No obstante, lo anterior, existen oportunidades en el entorno que pueden ser capitalizadas como el T-MEC, que entró en vigor el pasado 1 de julio de 2020, el cual representa la posibilidad de impulsar el comercio internacional y aprovechar las ventajas competitivas de Guanajuato.</w:t>
      </w:r>
    </w:p>
    <w:p w14:paraId="505FC705" w14:textId="77777777" w:rsidR="00205C68" w:rsidRPr="007D2F06" w:rsidRDefault="00205C68" w:rsidP="00205C68">
      <w:pPr>
        <w:spacing w:after="0" w:line="240" w:lineRule="auto"/>
        <w:jc w:val="both"/>
        <w:rPr>
          <w:rFonts w:ascii="Arial" w:hAnsi="Arial" w:cs="Arial"/>
          <w:sz w:val="20"/>
          <w:szCs w:val="20"/>
        </w:rPr>
      </w:pPr>
    </w:p>
    <w:p w14:paraId="3A6643AF" w14:textId="77777777" w:rsidR="00B3369A" w:rsidRPr="007D2F06" w:rsidRDefault="00B3369A" w:rsidP="00B3369A">
      <w:pPr>
        <w:spacing w:after="0" w:line="240" w:lineRule="auto"/>
        <w:jc w:val="both"/>
        <w:rPr>
          <w:rFonts w:ascii="Arial" w:hAnsi="Arial" w:cs="Arial"/>
          <w:sz w:val="20"/>
          <w:szCs w:val="20"/>
        </w:rPr>
      </w:pPr>
      <w:r w:rsidRPr="007D2F06">
        <w:rPr>
          <w:rFonts w:ascii="Arial" w:hAnsi="Arial" w:cs="Arial"/>
          <w:sz w:val="20"/>
          <w:szCs w:val="20"/>
        </w:rPr>
        <w:t>Actualización del Programa de Gobierno</w:t>
      </w:r>
    </w:p>
    <w:p w14:paraId="003F7655" w14:textId="77777777" w:rsidR="00B3369A" w:rsidRPr="007D2F06" w:rsidRDefault="00B3369A" w:rsidP="00B3369A">
      <w:pPr>
        <w:spacing w:after="0" w:line="240" w:lineRule="auto"/>
        <w:jc w:val="both"/>
        <w:rPr>
          <w:rFonts w:ascii="Arial" w:hAnsi="Arial" w:cs="Arial"/>
          <w:sz w:val="20"/>
          <w:szCs w:val="20"/>
        </w:rPr>
      </w:pPr>
    </w:p>
    <w:p w14:paraId="1DAB419F" w14:textId="77777777" w:rsidR="00B3369A" w:rsidRPr="007D2F06" w:rsidRDefault="00B3369A" w:rsidP="00B3369A">
      <w:pPr>
        <w:spacing w:after="0" w:line="240" w:lineRule="auto"/>
        <w:jc w:val="both"/>
        <w:rPr>
          <w:rFonts w:ascii="Arial" w:hAnsi="Arial" w:cs="Arial"/>
          <w:sz w:val="20"/>
        </w:rPr>
      </w:pPr>
      <w:r w:rsidRPr="007D2F06">
        <w:rPr>
          <w:rFonts w:ascii="Arial" w:hAnsi="Arial" w:cs="Arial"/>
          <w:sz w:val="20"/>
        </w:rPr>
        <w:t xml:space="preserve">En el marco de su administración 2024-2030 y bajo el concepto de </w:t>
      </w:r>
      <w:r w:rsidRPr="007D2F06">
        <w:rPr>
          <w:rFonts w:ascii="Arial" w:hAnsi="Arial" w:cs="Arial"/>
          <w:b/>
          <w:sz w:val="20"/>
        </w:rPr>
        <w:t>«Nuevo Comienzo»</w:t>
      </w:r>
      <w:r w:rsidRPr="007D2F06">
        <w:rPr>
          <w:rFonts w:ascii="Arial" w:hAnsi="Arial" w:cs="Arial"/>
          <w:sz w:val="20"/>
        </w:rPr>
        <w:t>, se ha reconocido la importancia de abordar esta problemática estructural. Uno de los compromisos prioritarios de la presente administración estatal es promover una economía más inclusiva, que fomente la igualdad de oportunidades para toda la ciudadanía y potencie el desarrollo de aquellos sectores que históricamente han sido desatendidos por las entidades financieras tradicionales.</w:t>
      </w:r>
    </w:p>
    <w:p w14:paraId="4E0120B7" w14:textId="77777777" w:rsidR="00B3369A" w:rsidRPr="007D2F06" w:rsidRDefault="00B3369A" w:rsidP="00B3369A">
      <w:pPr>
        <w:spacing w:after="0" w:line="240" w:lineRule="auto"/>
        <w:jc w:val="both"/>
        <w:rPr>
          <w:rFonts w:ascii="Arial" w:hAnsi="Arial" w:cs="Arial"/>
          <w:sz w:val="20"/>
        </w:rPr>
      </w:pPr>
    </w:p>
    <w:p w14:paraId="6A388013" w14:textId="77777777" w:rsidR="00B3369A" w:rsidRPr="007D2F06" w:rsidRDefault="00B3369A" w:rsidP="00B3369A">
      <w:pPr>
        <w:jc w:val="both"/>
        <w:rPr>
          <w:rFonts w:ascii="Arial" w:hAnsi="Arial" w:cs="Arial"/>
          <w:sz w:val="20"/>
        </w:rPr>
      </w:pPr>
      <w:r w:rsidRPr="007D2F06">
        <w:rPr>
          <w:rFonts w:ascii="Arial" w:hAnsi="Arial" w:cs="Arial"/>
          <w:sz w:val="20"/>
        </w:rPr>
        <w:t>Lo anterior, se encuentra alineado con el Plan Estatal de Desarrollo (PED) visión 2050, en el cual se definió un nuevo modelo de desarrollo a partir de cinco pilares para responder a las circunstancias locales, nacionales y globales, actuales y con prospectiva de futuro.</w:t>
      </w:r>
    </w:p>
    <w:p w14:paraId="14964A46" w14:textId="77777777" w:rsidR="00B3369A" w:rsidRPr="007D2F06" w:rsidRDefault="00B3369A" w:rsidP="00B3369A">
      <w:pPr>
        <w:jc w:val="both"/>
        <w:rPr>
          <w:rFonts w:ascii="Arial" w:hAnsi="Arial" w:cs="Arial"/>
          <w:sz w:val="20"/>
        </w:rPr>
      </w:pPr>
      <w:r w:rsidRPr="007D2F06">
        <w:rPr>
          <w:rFonts w:ascii="Arial" w:hAnsi="Arial" w:cs="Arial"/>
          <w:sz w:val="20"/>
        </w:rPr>
        <w:lastRenderedPageBreak/>
        <w:t>Este nuevo modelo y sus cinco pilares se alinean a las orientaciones internacionales plasmadas en la Agenda 2030 para que los gobiernos se anticipen con acciones y estrategias, a las consecuencias de las problemáticas presentes en el mundo y que son factores clave para el desarrollo de las sociedades de manera más inclusiva, equitativa, próspera, sostenible y resiliente.</w:t>
      </w:r>
    </w:p>
    <w:p w14:paraId="64AC0C16" w14:textId="77777777" w:rsidR="00B3369A" w:rsidRPr="007D2F06" w:rsidRDefault="00B3369A" w:rsidP="00B3369A">
      <w:pPr>
        <w:jc w:val="both"/>
        <w:rPr>
          <w:rFonts w:ascii="Arial" w:hAnsi="Arial" w:cs="Arial"/>
          <w:sz w:val="20"/>
        </w:rPr>
      </w:pPr>
      <w:r w:rsidRPr="007D2F06">
        <w:rPr>
          <w:rFonts w:ascii="Arial" w:hAnsi="Arial" w:cs="Arial"/>
          <w:sz w:val="20"/>
        </w:rPr>
        <w:t>Lo anterior, en atención al Pilar 2. Economía dinámica y sustentable, Objetivo 2.2 Fortalecer el desarrollo económico de la entidad con visión sustentable, estrategias 2.1.2 Generación de oportunidades para participar en la economía formal con base a las vocaciones regionales, 2.2.3 Impulso a la articulación productiva de impacto amplio en las cadenas de suministro. Aunado a los Pilares 1. Sociedad incluyente, resiliente y solidaria, Objetivo 1.1 Incrementar la calidad de vida de la población y Pilar 3. Nueva gobernanza, a través del Objetivo 3.1 Asegurar la eficacia, eficiencia y transparencia de la gestión gubernamental, Estrategia 3.1.1 Fortalecimiento de las capacidades de gestión de la administración pública estatal.</w:t>
      </w:r>
    </w:p>
    <w:p w14:paraId="37588BB9" w14:textId="77777777" w:rsidR="00B3369A" w:rsidRPr="007D2F06" w:rsidRDefault="00B3369A" w:rsidP="00B3369A">
      <w:pPr>
        <w:spacing w:after="0" w:line="240" w:lineRule="auto"/>
        <w:jc w:val="both"/>
        <w:rPr>
          <w:rFonts w:ascii="Arial" w:hAnsi="Arial" w:cs="Arial"/>
          <w:sz w:val="20"/>
          <w:szCs w:val="20"/>
        </w:rPr>
      </w:pPr>
      <w:r w:rsidRPr="007D2F06">
        <w:rPr>
          <w:rFonts w:ascii="Arial" w:hAnsi="Arial" w:cs="Arial"/>
          <w:sz w:val="20"/>
          <w:szCs w:val="20"/>
        </w:rPr>
        <w:t>Meta</w:t>
      </w:r>
    </w:p>
    <w:p w14:paraId="020CD587" w14:textId="244B67AE" w:rsidR="00205C68" w:rsidRPr="007D2F06" w:rsidRDefault="00B3369A" w:rsidP="00B3369A">
      <w:pPr>
        <w:spacing w:after="0" w:line="240" w:lineRule="auto"/>
        <w:jc w:val="both"/>
        <w:rPr>
          <w:rFonts w:ascii="Arial" w:hAnsi="Arial" w:cs="Arial"/>
          <w:sz w:val="20"/>
          <w:szCs w:val="20"/>
        </w:rPr>
      </w:pPr>
      <w:r w:rsidRPr="007D2F06">
        <w:rPr>
          <w:rFonts w:ascii="Arial" w:hAnsi="Arial" w:cs="Arial"/>
          <w:sz w:val="20"/>
          <w:szCs w:val="20"/>
        </w:rPr>
        <w:t>Por lo anterior, la meta de Fondos Guanajuato de Financiamiento es restituir los recursos públicos a la Secretar</w:t>
      </w:r>
      <w:r w:rsidR="00071812">
        <w:rPr>
          <w:rFonts w:ascii="Arial" w:hAnsi="Arial" w:cs="Arial"/>
          <w:sz w:val="20"/>
          <w:szCs w:val="20"/>
        </w:rPr>
        <w:t>í</w:t>
      </w:r>
      <w:r w:rsidRPr="007D2F06">
        <w:rPr>
          <w:rFonts w:ascii="Arial" w:hAnsi="Arial" w:cs="Arial"/>
          <w:sz w:val="20"/>
          <w:szCs w:val="20"/>
        </w:rPr>
        <w:t xml:space="preserve">a de Finanzas sin afectar para ello a las </w:t>
      </w:r>
      <w:proofErr w:type="spellStart"/>
      <w:r w:rsidRPr="007D2F06">
        <w:rPr>
          <w:rFonts w:ascii="Arial" w:hAnsi="Arial" w:cs="Arial"/>
          <w:sz w:val="20"/>
          <w:szCs w:val="20"/>
        </w:rPr>
        <w:t>Mipymes</w:t>
      </w:r>
      <w:proofErr w:type="spellEnd"/>
      <w:r w:rsidRPr="007D2F06">
        <w:rPr>
          <w:rFonts w:ascii="Arial" w:hAnsi="Arial" w:cs="Arial"/>
          <w:sz w:val="20"/>
          <w:szCs w:val="20"/>
        </w:rPr>
        <w:t xml:space="preserve"> que en su momento fueron beneficiadas con algunos de los financiamientos que estuvieron vigentes hasta el momento de creación de la nueva Financiera.</w:t>
      </w:r>
    </w:p>
    <w:p w14:paraId="11CB65A3" w14:textId="77777777" w:rsidR="00B3369A" w:rsidRPr="007D2F06" w:rsidRDefault="00B3369A" w:rsidP="00B3369A">
      <w:pPr>
        <w:spacing w:after="0" w:line="240" w:lineRule="auto"/>
        <w:jc w:val="both"/>
        <w:rPr>
          <w:rFonts w:ascii="Arial" w:hAnsi="Arial" w:cs="Arial"/>
          <w:sz w:val="20"/>
          <w:szCs w:val="20"/>
        </w:rPr>
      </w:pPr>
    </w:p>
    <w:p w14:paraId="41685E94"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Responsable</w:t>
      </w:r>
    </w:p>
    <w:p w14:paraId="5C0138FF"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FONDOSGTO-SDES</w:t>
      </w:r>
    </w:p>
    <w:p w14:paraId="35F46854" w14:textId="77777777" w:rsidR="00205C68" w:rsidRPr="007D2F06" w:rsidRDefault="00205C68" w:rsidP="00205C68">
      <w:pPr>
        <w:spacing w:after="0" w:line="240" w:lineRule="auto"/>
        <w:jc w:val="both"/>
        <w:rPr>
          <w:rFonts w:ascii="Arial" w:hAnsi="Arial" w:cs="Arial"/>
          <w:sz w:val="20"/>
          <w:szCs w:val="20"/>
        </w:rPr>
      </w:pPr>
    </w:p>
    <w:p w14:paraId="7C53223F" w14:textId="77777777" w:rsidR="00205C68" w:rsidRPr="007D2F06" w:rsidRDefault="00205C68" w:rsidP="00205C68">
      <w:pPr>
        <w:spacing w:after="0" w:line="240" w:lineRule="auto"/>
        <w:jc w:val="both"/>
        <w:rPr>
          <w:rFonts w:ascii="Arial" w:hAnsi="Arial" w:cs="Arial"/>
          <w:sz w:val="20"/>
          <w:szCs w:val="20"/>
        </w:rPr>
      </w:pPr>
      <w:r w:rsidRPr="007D2F06">
        <w:rPr>
          <w:rFonts w:ascii="Arial" w:hAnsi="Arial" w:cs="Arial"/>
          <w:sz w:val="20"/>
          <w:szCs w:val="20"/>
        </w:rPr>
        <w:t>Líneas de acción</w:t>
      </w:r>
    </w:p>
    <w:p w14:paraId="6E6CAA17" w14:textId="77777777" w:rsidR="002635CA" w:rsidRPr="007D2F06" w:rsidRDefault="002635CA" w:rsidP="002635CA">
      <w:pPr>
        <w:jc w:val="both"/>
        <w:rPr>
          <w:rFonts w:ascii="Tahoma" w:eastAsia="Arial Unicode MS" w:hAnsi="Tahoma" w:cs="Tahoma"/>
          <w:sz w:val="20"/>
          <w:szCs w:val="20"/>
        </w:rPr>
      </w:pPr>
      <w:r w:rsidRPr="007D2F06">
        <w:rPr>
          <w:rFonts w:ascii="Tahoma" w:eastAsia="Arial Unicode MS" w:hAnsi="Tahoma" w:cs="Tahoma"/>
          <w:sz w:val="20"/>
          <w:szCs w:val="20"/>
        </w:rPr>
        <w:t>De conformidad a lo señalado en líneas que anteceden Fondos Guanajuato, no cuenta con facultades para poder seguir otorgando financiamientos, por lo que actualmente realiza el seguimiento y cobranza de los financiamientos vigentes y hasta su total liquidación llevando para ello las gestiones necesarias para su cabal cumplimiento.</w:t>
      </w:r>
    </w:p>
    <w:p w14:paraId="59C6383A" w14:textId="6DCC83F1" w:rsidR="002635CA" w:rsidRPr="007D2F06" w:rsidRDefault="002635CA" w:rsidP="002635CA">
      <w:pPr>
        <w:jc w:val="both"/>
        <w:rPr>
          <w:rFonts w:ascii="Tahoma" w:hAnsi="Tahoma" w:cs="Tahoma"/>
          <w:sz w:val="20"/>
          <w:szCs w:val="20"/>
          <w:lang w:val="es-ES"/>
        </w:rPr>
      </w:pPr>
      <w:r w:rsidRPr="007D2F06">
        <w:rPr>
          <w:rFonts w:ascii="Tahoma" w:hAnsi="Tahoma" w:cs="Tahoma"/>
          <w:sz w:val="20"/>
          <w:szCs w:val="20"/>
          <w:lang w:val="es-ES"/>
        </w:rPr>
        <w:t>Al 3</w:t>
      </w:r>
      <w:r w:rsidR="00CF3378">
        <w:rPr>
          <w:rFonts w:ascii="Tahoma" w:hAnsi="Tahoma" w:cs="Tahoma"/>
          <w:sz w:val="20"/>
          <w:szCs w:val="20"/>
          <w:lang w:val="es-ES"/>
        </w:rPr>
        <w:t>0</w:t>
      </w:r>
      <w:r w:rsidR="00492D2E" w:rsidRPr="007D2F06">
        <w:rPr>
          <w:rFonts w:ascii="Tahoma" w:hAnsi="Tahoma" w:cs="Tahoma"/>
          <w:sz w:val="20"/>
          <w:szCs w:val="20"/>
          <w:lang w:val="es-ES"/>
        </w:rPr>
        <w:t xml:space="preserve"> </w:t>
      </w:r>
      <w:r w:rsidRPr="007D2F06">
        <w:rPr>
          <w:rFonts w:ascii="Tahoma" w:hAnsi="Tahoma" w:cs="Tahoma"/>
          <w:sz w:val="20"/>
          <w:szCs w:val="20"/>
          <w:lang w:val="es-ES"/>
        </w:rPr>
        <w:t xml:space="preserve">de </w:t>
      </w:r>
      <w:r w:rsidR="00CF3378">
        <w:rPr>
          <w:rFonts w:ascii="Tahoma" w:hAnsi="Tahoma" w:cs="Tahoma"/>
          <w:sz w:val="20"/>
          <w:szCs w:val="20"/>
          <w:lang w:val="es-ES"/>
        </w:rPr>
        <w:t>junio</w:t>
      </w:r>
      <w:r w:rsidRPr="007D2F06">
        <w:rPr>
          <w:rFonts w:ascii="Tahoma" w:hAnsi="Tahoma" w:cs="Tahoma"/>
          <w:sz w:val="20"/>
          <w:szCs w:val="20"/>
          <w:lang w:val="es-ES"/>
        </w:rPr>
        <w:t xml:space="preserve"> del ejercicio fiscal 202</w:t>
      </w:r>
      <w:r w:rsidR="00CF3378">
        <w:rPr>
          <w:rFonts w:ascii="Tahoma" w:hAnsi="Tahoma" w:cs="Tahoma"/>
          <w:sz w:val="20"/>
          <w:szCs w:val="20"/>
          <w:lang w:val="es-ES"/>
        </w:rPr>
        <w:t>6</w:t>
      </w:r>
      <w:r w:rsidRPr="007D2F06">
        <w:rPr>
          <w:rFonts w:ascii="Tahoma" w:hAnsi="Tahoma" w:cs="Tahoma"/>
          <w:sz w:val="20"/>
          <w:szCs w:val="20"/>
          <w:lang w:val="es-ES"/>
        </w:rPr>
        <w:t xml:space="preserve">, el fideicomiso </w:t>
      </w:r>
      <w:r w:rsidRPr="007D2F06">
        <w:rPr>
          <w:rFonts w:ascii="Arial" w:hAnsi="Arial" w:cs="Arial"/>
          <w:sz w:val="20"/>
          <w:szCs w:val="20"/>
        </w:rPr>
        <w:t>Fondo</w:t>
      </w:r>
      <w:r w:rsidR="00492D2E" w:rsidRPr="007D2F06">
        <w:rPr>
          <w:rFonts w:ascii="Arial" w:hAnsi="Arial" w:cs="Arial"/>
          <w:sz w:val="20"/>
          <w:szCs w:val="20"/>
        </w:rPr>
        <w:t>s Guanajuato de Financiamiento</w:t>
      </w:r>
      <w:r w:rsidRPr="007D2F06">
        <w:rPr>
          <w:rFonts w:ascii="Tahoma" w:hAnsi="Tahoma" w:cs="Tahoma"/>
          <w:sz w:val="20"/>
          <w:szCs w:val="20"/>
          <w:lang w:val="es-ES"/>
        </w:rPr>
        <w:t>, cuenta con los créditos activos para gestión de cobro en cartera administrativa, extrajudicial o judicial los siguientes:</w:t>
      </w:r>
    </w:p>
    <w:p w14:paraId="5EA0B4EF" w14:textId="60E85796" w:rsidR="00071812" w:rsidRDefault="002635CA" w:rsidP="002635CA">
      <w:pPr>
        <w:spacing w:after="160" w:line="259" w:lineRule="auto"/>
        <w:jc w:val="both"/>
      </w:pPr>
      <w:r w:rsidRPr="007D2F06">
        <w:rPr>
          <w:rFonts w:ascii="Tahoma" w:hAnsi="Tahoma" w:cs="Tahoma"/>
          <w:sz w:val="20"/>
          <w:szCs w:val="20"/>
          <w:lang w:val="es-ES"/>
        </w:rPr>
        <w:t>Créditos totales:</w:t>
      </w:r>
      <w:r w:rsidR="00B60FC3" w:rsidRPr="00B60FC3">
        <w:t xml:space="preserve"> </w:t>
      </w:r>
      <w:r w:rsidR="00CF3378" w:rsidRPr="00CF3378">
        <w:rPr>
          <w:rFonts w:ascii="Tahoma" w:eastAsia="Times New Roman" w:hAnsi="Tahoma" w:cs="Tahoma"/>
          <w:sz w:val="20"/>
          <w:szCs w:val="20"/>
          <w:lang w:val="es-ES" w:eastAsia="es-ES"/>
        </w:rPr>
        <w:t>2,855 por un monto financiado de $ 956,219,185.87 (Novecientos cincuenta y seis millones doscientos diecinueve mil ciento ochenta y cinco pesos 87/100 M.N.)</w:t>
      </w:r>
      <w:r w:rsidR="00CF3378">
        <w:rPr>
          <w:rFonts w:ascii="Tahoma" w:eastAsia="Times New Roman" w:hAnsi="Tahoma" w:cs="Tahoma"/>
          <w:sz w:val="20"/>
          <w:szCs w:val="20"/>
          <w:lang w:val="es-ES" w:eastAsia="es-ES"/>
        </w:rPr>
        <w:t xml:space="preserve"> </w:t>
      </w:r>
    </w:p>
    <w:p w14:paraId="446CA8CB"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p>
    <w:p w14:paraId="17945455"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r w:rsidRPr="007D2F06">
        <w:rPr>
          <w:rFonts w:ascii="Arial" w:hAnsi="Arial" w:cs="Arial"/>
          <w:sz w:val="20"/>
          <w:szCs w:val="20"/>
        </w:rPr>
        <w:t>De esta forma enfrenta una compleja disyuntiva al realizar gestiones de cobro sin afectar al segmento de mercado, tendiente a proteger a la planta productiva, sobre todo a los empresarios y emprendedores de las Micro y Pequeñas Empresas, aplicando prácticas de cobranza menos agresivas evitando que resulten perjudiciales para las empresas.</w:t>
      </w:r>
    </w:p>
    <w:p w14:paraId="3073F987"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p>
    <w:p w14:paraId="6C386FCE"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p>
    <w:p w14:paraId="4C2621C7" w14:textId="77777777" w:rsidR="002635CA" w:rsidRPr="007D2F06" w:rsidRDefault="002635CA" w:rsidP="002635CA">
      <w:pPr>
        <w:pStyle w:val="Ttulo2"/>
        <w:rPr>
          <w:rFonts w:ascii="Arial" w:hAnsi="Arial" w:cs="Arial"/>
          <w:b/>
          <w:color w:val="auto"/>
          <w:sz w:val="20"/>
          <w:szCs w:val="20"/>
        </w:rPr>
      </w:pPr>
      <w:bookmarkStart w:id="2" w:name="_Toc136601509"/>
      <w:r w:rsidRPr="007D2F06">
        <w:rPr>
          <w:rFonts w:ascii="Arial" w:hAnsi="Arial" w:cs="Arial"/>
          <w:b/>
          <w:color w:val="auto"/>
          <w:sz w:val="20"/>
          <w:szCs w:val="20"/>
        </w:rPr>
        <w:t>3. Organización y Objeto Social:</w:t>
      </w:r>
      <w:bookmarkEnd w:id="2"/>
    </w:p>
    <w:p w14:paraId="6DEAB784"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p>
    <w:p w14:paraId="608F3631"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r w:rsidRPr="007D2F06">
        <w:rPr>
          <w:rFonts w:ascii="Arial" w:hAnsi="Arial" w:cs="Arial"/>
          <w:sz w:val="20"/>
          <w:szCs w:val="20"/>
        </w:rPr>
        <w:t>Se informará sobre:</w:t>
      </w:r>
    </w:p>
    <w:p w14:paraId="711EDDB9"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p>
    <w:p w14:paraId="482CFFF0"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r w:rsidRPr="007D2F06">
        <w:rPr>
          <w:rFonts w:ascii="Arial" w:hAnsi="Arial" w:cs="Arial"/>
          <w:b/>
          <w:sz w:val="20"/>
          <w:szCs w:val="20"/>
        </w:rPr>
        <w:t>a)</w:t>
      </w:r>
      <w:r w:rsidRPr="007D2F06">
        <w:rPr>
          <w:rFonts w:ascii="Arial" w:hAnsi="Arial" w:cs="Arial"/>
          <w:sz w:val="20"/>
          <w:szCs w:val="20"/>
        </w:rPr>
        <w:t xml:space="preserve"> Objeto social.</w:t>
      </w:r>
    </w:p>
    <w:p w14:paraId="01636C3D"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p>
    <w:p w14:paraId="5E3C0FAA" w14:textId="559C8094" w:rsidR="002635CA" w:rsidRPr="007D2F06" w:rsidRDefault="002635CA" w:rsidP="002635CA">
      <w:pPr>
        <w:tabs>
          <w:tab w:val="left" w:leader="underscore" w:pos="9639"/>
        </w:tabs>
        <w:spacing w:after="0" w:line="240" w:lineRule="auto"/>
        <w:jc w:val="both"/>
        <w:rPr>
          <w:rFonts w:ascii="Arial" w:hAnsi="Arial" w:cs="Arial"/>
          <w:sz w:val="20"/>
          <w:szCs w:val="20"/>
        </w:rPr>
      </w:pPr>
      <w:r w:rsidRPr="007D2F06">
        <w:rPr>
          <w:rFonts w:ascii="Arial" w:hAnsi="Arial" w:cs="Arial"/>
          <w:sz w:val="20"/>
          <w:szCs w:val="20"/>
        </w:rPr>
        <w:t>Tiene como objeto</w:t>
      </w:r>
      <w:r w:rsidR="00492D2E" w:rsidRPr="007D2F06">
        <w:rPr>
          <w:rFonts w:ascii="Arial" w:hAnsi="Arial" w:cs="Arial"/>
          <w:sz w:val="20"/>
          <w:szCs w:val="20"/>
        </w:rPr>
        <w:t xml:space="preserve"> dar seguimiento a los créditos vigentes otorgados en </w:t>
      </w:r>
      <w:r w:rsidRPr="007D2F06">
        <w:rPr>
          <w:rFonts w:ascii="Arial" w:eastAsia="Times New Roman" w:hAnsi="Arial" w:cs="Arial"/>
          <w:sz w:val="20"/>
          <w:szCs w:val="20"/>
        </w:rPr>
        <w:t>el Estado de Guanajuato.</w:t>
      </w:r>
    </w:p>
    <w:p w14:paraId="4131CCBE"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p>
    <w:p w14:paraId="2E886E1D" w14:textId="77777777" w:rsidR="002635CA" w:rsidRPr="007D2F06" w:rsidRDefault="002635CA" w:rsidP="002635CA">
      <w:pPr>
        <w:tabs>
          <w:tab w:val="left" w:leader="underscore" w:pos="9639"/>
        </w:tabs>
        <w:spacing w:after="0" w:line="240" w:lineRule="auto"/>
        <w:jc w:val="both"/>
        <w:rPr>
          <w:rFonts w:ascii="Arial" w:hAnsi="Arial" w:cs="Arial"/>
          <w:sz w:val="20"/>
          <w:szCs w:val="20"/>
        </w:rPr>
      </w:pPr>
      <w:r w:rsidRPr="007D2F06">
        <w:rPr>
          <w:rFonts w:ascii="Arial" w:hAnsi="Arial" w:cs="Arial"/>
          <w:b/>
          <w:sz w:val="20"/>
          <w:szCs w:val="20"/>
        </w:rPr>
        <w:t>b)</w:t>
      </w:r>
      <w:r w:rsidRPr="007D2F06">
        <w:rPr>
          <w:rFonts w:ascii="Arial" w:hAnsi="Arial" w:cs="Arial"/>
          <w:sz w:val="20"/>
          <w:szCs w:val="20"/>
        </w:rPr>
        <w:t xml:space="preserve"> Principal actividad.</w:t>
      </w:r>
    </w:p>
    <w:p w14:paraId="42F52740" w14:textId="77777777" w:rsidR="002635CA" w:rsidRPr="007D2F06" w:rsidRDefault="002635CA" w:rsidP="002635CA">
      <w:pPr>
        <w:spacing w:after="0" w:line="240" w:lineRule="auto"/>
        <w:jc w:val="both"/>
        <w:rPr>
          <w:rFonts w:ascii="Arial" w:hAnsi="Arial" w:cs="Arial"/>
          <w:sz w:val="20"/>
          <w:szCs w:val="20"/>
        </w:rPr>
      </w:pPr>
    </w:p>
    <w:p w14:paraId="51EF9E7C" w14:textId="540854FB" w:rsidR="002635CA" w:rsidRPr="007D2F06" w:rsidRDefault="002635CA" w:rsidP="002635CA">
      <w:pPr>
        <w:spacing w:after="0" w:line="240" w:lineRule="auto"/>
        <w:jc w:val="both"/>
        <w:rPr>
          <w:rFonts w:ascii="Arial" w:hAnsi="Arial" w:cs="Arial"/>
          <w:sz w:val="20"/>
          <w:szCs w:val="20"/>
        </w:rPr>
      </w:pPr>
      <w:r w:rsidRPr="007D2F06">
        <w:rPr>
          <w:rFonts w:ascii="Arial" w:hAnsi="Arial" w:cs="Arial"/>
          <w:sz w:val="20"/>
          <w:szCs w:val="20"/>
        </w:rPr>
        <w:t xml:space="preserve">Denominado comercialmente como </w:t>
      </w:r>
      <w:r w:rsidR="00492D2E" w:rsidRPr="007D2F06">
        <w:rPr>
          <w:rFonts w:ascii="Arial" w:hAnsi="Arial" w:cs="Arial"/>
          <w:sz w:val="20"/>
          <w:szCs w:val="20"/>
        </w:rPr>
        <w:t>Fondos Guanajuato de Financiamiento</w:t>
      </w:r>
      <w:r w:rsidRPr="007D2F06">
        <w:rPr>
          <w:rFonts w:ascii="Arial" w:hAnsi="Arial" w:cs="Arial"/>
          <w:sz w:val="20"/>
          <w:szCs w:val="20"/>
        </w:rPr>
        <w:t xml:space="preserve">, se desempeñan funciones y actividades de recuperación de los Financiamiento en apoyo que fueron objeto las Micro, Pequeña y Mediana empresa mediante las gestiones de seguimiento y cobranza administrativa, extrajudicial y judicial y que dichos </w:t>
      </w:r>
      <w:r w:rsidRPr="007D2F06">
        <w:rPr>
          <w:rFonts w:ascii="Arial" w:hAnsi="Arial" w:cs="Arial"/>
          <w:sz w:val="20"/>
          <w:szCs w:val="20"/>
        </w:rPr>
        <w:lastRenderedPageBreak/>
        <w:t xml:space="preserve">recursos sean reintegrados a la </w:t>
      </w:r>
      <w:proofErr w:type="gramStart"/>
      <w:r w:rsidR="00FB08BA">
        <w:rPr>
          <w:rFonts w:ascii="Arial" w:hAnsi="Arial" w:cs="Arial"/>
          <w:sz w:val="20"/>
          <w:szCs w:val="20"/>
        </w:rPr>
        <w:t>S</w:t>
      </w:r>
      <w:r w:rsidR="00FB08BA" w:rsidRPr="007D2F06">
        <w:rPr>
          <w:rFonts w:ascii="Arial" w:hAnsi="Arial" w:cs="Arial"/>
          <w:sz w:val="20"/>
          <w:szCs w:val="20"/>
        </w:rPr>
        <w:t>ecretaria</w:t>
      </w:r>
      <w:proofErr w:type="gramEnd"/>
      <w:r w:rsidRPr="007D2F06">
        <w:rPr>
          <w:rFonts w:ascii="Arial" w:hAnsi="Arial" w:cs="Arial"/>
          <w:sz w:val="20"/>
          <w:szCs w:val="20"/>
        </w:rPr>
        <w:t xml:space="preserve"> de Finanzas, así como a los entes con lo que se cuenta con Convenios de Colaboración.</w:t>
      </w:r>
    </w:p>
    <w:p w14:paraId="709FEBE3" w14:textId="77777777" w:rsidR="002635CA" w:rsidRPr="007D2F06" w:rsidRDefault="002635CA" w:rsidP="002635CA">
      <w:pPr>
        <w:spacing w:after="0" w:line="240" w:lineRule="auto"/>
        <w:jc w:val="both"/>
        <w:rPr>
          <w:rFonts w:ascii="Arial" w:hAnsi="Arial" w:cs="Arial"/>
          <w:sz w:val="20"/>
          <w:szCs w:val="20"/>
        </w:rPr>
      </w:pPr>
    </w:p>
    <w:p w14:paraId="45382E6D" w14:textId="77777777" w:rsidR="00264535" w:rsidRPr="007D2F06" w:rsidRDefault="00264535" w:rsidP="008B439C">
      <w:pPr>
        <w:spacing w:after="0" w:line="240" w:lineRule="auto"/>
        <w:jc w:val="both"/>
        <w:rPr>
          <w:rFonts w:ascii="Arial" w:hAnsi="Arial" w:cs="Arial"/>
          <w:sz w:val="20"/>
          <w:szCs w:val="20"/>
        </w:rPr>
      </w:pPr>
    </w:p>
    <w:p w14:paraId="1759EC55" w14:textId="04DACCB4" w:rsidR="008B439C" w:rsidRPr="007D2F06" w:rsidRDefault="008B439C" w:rsidP="008B439C">
      <w:pPr>
        <w:spacing w:after="0" w:line="240" w:lineRule="auto"/>
        <w:jc w:val="both"/>
        <w:rPr>
          <w:rFonts w:ascii="Arial" w:hAnsi="Arial" w:cs="Arial"/>
          <w:sz w:val="20"/>
          <w:szCs w:val="20"/>
        </w:rPr>
      </w:pPr>
      <w:r w:rsidRPr="007D2F06">
        <w:rPr>
          <w:rFonts w:ascii="Arial" w:hAnsi="Arial" w:cs="Arial"/>
          <w:sz w:val="20"/>
          <w:szCs w:val="20"/>
        </w:rPr>
        <w:t>Los financiamientos (programas) que se refieren a la operación</w:t>
      </w:r>
      <w:r w:rsidR="002635CA" w:rsidRPr="007D2F06">
        <w:rPr>
          <w:rFonts w:ascii="Arial" w:hAnsi="Arial" w:cs="Arial"/>
          <w:sz w:val="20"/>
          <w:szCs w:val="20"/>
        </w:rPr>
        <w:t xml:space="preserve"> y que estuvieron vigentes hasta el ejercicio fiscal 2024</w:t>
      </w:r>
      <w:r w:rsidRPr="007D2F06">
        <w:rPr>
          <w:rFonts w:ascii="Arial" w:hAnsi="Arial" w:cs="Arial"/>
          <w:sz w:val="20"/>
          <w:szCs w:val="20"/>
        </w:rPr>
        <w:t>, son como sigue:</w:t>
      </w:r>
    </w:p>
    <w:p w14:paraId="6FCC3F75" w14:textId="77777777" w:rsidR="00C82F63" w:rsidRPr="007D2F06" w:rsidRDefault="00C82F63" w:rsidP="008B439C">
      <w:pPr>
        <w:spacing w:after="0" w:line="240" w:lineRule="auto"/>
        <w:jc w:val="both"/>
        <w:rPr>
          <w:rFonts w:ascii="Arial" w:hAnsi="Arial" w:cs="Arial"/>
          <w:sz w:val="20"/>
          <w:szCs w:val="20"/>
        </w:rPr>
      </w:pPr>
    </w:p>
    <w:p w14:paraId="09AB6FC2" w14:textId="77777777" w:rsidR="008D6298" w:rsidRPr="007D2F06" w:rsidRDefault="008D6298" w:rsidP="00CB1D5E">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 xml:space="preserve">Crédito </w:t>
      </w:r>
      <w:proofErr w:type="spellStart"/>
      <w:r w:rsidRPr="007D2F06">
        <w:rPr>
          <w:rFonts w:ascii="Arial" w:hAnsi="Arial" w:cs="Arial"/>
          <w:sz w:val="20"/>
          <w:szCs w:val="20"/>
        </w:rPr>
        <w:t>Fofies</w:t>
      </w:r>
      <w:proofErr w:type="spellEnd"/>
      <w:r w:rsidRPr="007D2F06">
        <w:rPr>
          <w:rFonts w:ascii="Arial" w:hAnsi="Arial" w:cs="Arial"/>
          <w:sz w:val="20"/>
          <w:szCs w:val="20"/>
        </w:rPr>
        <w:t xml:space="preserve"> </w:t>
      </w:r>
      <w:r w:rsidR="00DC5CF7" w:rsidRPr="007D2F06">
        <w:rPr>
          <w:rFonts w:ascii="Arial" w:hAnsi="Arial" w:cs="Arial"/>
          <w:sz w:val="20"/>
          <w:szCs w:val="20"/>
        </w:rPr>
        <w:t>de $500,000.01 a $3,000,000.00 Plazo hasta 60 meses</w:t>
      </w:r>
      <w:r w:rsidRPr="007D2F06">
        <w:rPr>
          <w:rFonts w:ascii="Arial" w:hAnsi="Arial" w:cs="Arial"/>
          <w:sz w:val="20"/>
          <w:szCs w:val="20"/>
        </w:rPr>
        <w:t>.</w:t>
      </w:r>
    </w:p>
    <w:p w14:paraId="10EB0985" w14:textId="77777777" w:rsidR="008D6298" w:rsidRPr="007D2F06" w:rsidRDefault="008D6298" w:rsidP="008D6298">
      <w:pPr>
        <w:spacing w:after="0" w:line="240" w:lineRule="auto"/>
        <w:jc w:val="both"/>
        <w:rPr>
          <w:rFonts w:ascii="Arial" w:hAnsi="Arial" w:cs="Arial"/>
          <w:sz w:val="20"/>
          <w:szCs w:val="20"/>
        </w:rPr>
      </w:pPr>
    </w:p>
    <w:p w14:paraId="23D8F4F5" w14:textId="77777777" w:rsidR="008D6298" w:rsidRPr="007D2F06" w:rsidRDefault="00DC5CF7" w:rsidP="00CB1D5E">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Programa Sector Primario hasta $500,000.00 Plazo hasta 24 meses</w:t>
      </w:r>
      <w:r w:rsidR="008D6298" w:rsidRPr="007D2F06">
        <w:rPr>
          <w:rFonts w:ascii="Arial" w:hAnsi="Arial" w:cs="Arial"/>
          <w:sz w:val="20"/>
          <w:szCs w:val="20"/>
        </w:rPr>
        <w:t>.</w:t>
      </w:r>
    </w:p>
    <w:p w14:paraId="553A12F9" w14:textId="77777777" w:rsidR="008D6298" w:rsidRPr="007D2F06" w:rsidRDefault="008D6298" w:rsidP="008D6298">
      <w:pPr>
        <w:spacing w:after="0" w:line="240" w:lineRule="auto"/>
        <w:jc w:val="both"/>
        <w:rPr>
          <w:rFonts w:ascii="Arial" w:hAnsi="Arial" w:cs="Arial"/>
          <w:sz w:val="20"/>
          <w:szCs w:val="20"/>
        </w:rPr>
      </w:pPr>
    </w:p>
    <w:p w14:paraId="2FF6CE99" w14:textId="77777777" w:rsidR="008D6298" w:rsidRPr="007D2F06" w:rsidRDefault="00DC5CF7" w:rsidP="00CB1D5E">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Programa Sector Agroindustrial hasta $2,000,000.00 Plazo hasta 60 meses</w:t>
      </w:r>
      <w:r w:rsidR="008D6298" w:rsidRPr="007D2F06">
        <w:rPr>
          <w:rFonts w:ascii="Arial" w:hAnsi="Arial" w:cs="Arial"/>
          <w:sz w:val="20"/>
          <w:szCs w:val="20"/>
        </w:rPr>
        <w:t>.</w:t>
      </w:r>
    </w:p>
    <w:p w14:paraId="2A608BE4" w14:textId="77777777" w:rsidR="008D6298" w:rsidRPr="007D2F06" w:rsidRDefault="008D6298" w:rsidP="008D6298">
      <w:pPr>
        <w:spacing w:after="0" w:line="240" w:lineRule="auto"/>
        <w:jc w:val="both"/>
        <w:rPr>
          <w:rFonts w:ascii="Arial" w:hAnsi="Arial" w:cs="Arial"/>
          <w:sz w:val="20"/>
          <w:szCs w:val="20"/>
        </w:rPr>
      </w:pPr>
    </w:p>
    <w:p w14:paraId="54E3682B" w14:textId="77777777" w:rsidR="008D6298" w:rsidRPr="007D2F06" w:rsidRDefault="001A7578" w:rsidP="00CB1D5E">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Ladrilleras Guanajuato de $150,000.00 y $245,000.00 Plazo hasta 60 meses</w:t>
      </w:r>
      <w:r w:rsidR="008D6298" w:rsidRPr="007D2F06">
        <w:rPr>
          <w:rFonts w:ascii="Arial" w:hAnsi="Arial" w:cs="Arial"/>
          <w:sz w:val="20"/>
          <w:szCs w:val="20"/>
        </w:rPr>
        <w:t>.</w:t>
      </w:r>
    </w:p>
    <w:p w14:paraId="33201842" w14:textId="77777777" w:rsidR="008D6298" w:rsidRPr="007D2F06" w:rsidRDefault="008D6298" w:rsidP="008D6298">
      <w:pPr>
        <w:spacing w:after="0" w:line="240" w:lineRule="auto"/>
        <w:jc w:val="both"/>
        <w:rPr>
          <w:rFonts w:ascii="Arial" w:hAnsi="Arial" w:cs="Arial"/>
          <w:sz w:val="20"/>
          <w:szCs w:val="20"/>
        </w:rPr>
      </w:pPr>
    </w:p>
    <w:p w14:paraId="714F5F42" w14:textId="77777777" w:rsidR="008D6298" w:rsidRPr="007D2F06" w:rsidRDefault="001A7578" w:rsidP="00CB1D5E">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Renovación de Parque Vehicular hasta $300,000.00 Plazo hasta 60 meses</w:t>
      </w:r>
      <w:r w:rsidR="008D6298" w:rsidRPr="007D2F06">
        <w:rPr>
          <w:rFonts w:ascii="Arial" w:hAnsi="Arial" w:cs="Arial"/>
          <w:sz w:val="20"/>
          <w:szCs w:val="20"/>
        </w:rPr>
        <w:t>.</w:t>
      </w:r>
    </w:p>
    <w:p w14:paraId="0D066B87" w14:textId="77777777" w:rsidR="008D6298" w:rsidRPr="007D2F06" w:rsidRDefault="008D6298" w:rsidP="008D6298">
      <w:pPr>
        <w:spacing w:after="0" w:line="240" w:lineRule="auto"/>
        <w:jc w:val="both"/>
        <w:rPr>
          <w:rFonts w:ascii="Arial" w:hAnsi="Arial" w:cs="Arial"/>
          <w:sz w:val="20"/>
          <w:szCs w:val="20"/>
        </w:rPr>
      </w:pPr>
    </w:p>
    <w:p w14:paraId="4A57D9F5" w14:textId="77777777" w:rsidR="008D6298" w:rsidRPr="007D2F06" w:rsidRDefault="001A7578" w:rsidP="00373463">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MÁS Obras para GTO $7,000,000.00 Plazo hasta 12 meses</w:t>
      </w:r>
      <w:r w:rsidR="008D6298" w:rsidRPr="007D2F06">
        <w:rPr>
          <w:rFonts w:ascii="Arial" w:hAnsi="Arial" w:cs="Arial"/>
          <w:sz w:val="20"/>
          <w:szCs w:val="20"/>
        </w:rPr>
        <w:t>.</w:t>
      </w:r>
    </w:p>
    <w:p w14:paraId="27516386" w14:textId="77777777" w:rsidR="008D6298" w:rsidRPr="007D2F06" w:rsidRDefault="008D6298" w:rsidP="008D6298">
      <w:pPr>
        <w:spacing w:after="0" w:line="240" w:lineRule="auto"/>
        <w:jc w:val="both"/>
        <w:rPr>
          <w:rFonts w:ascii="Arial" w:hAnsi="Arial" w:cs="Arial"/>
          <w:sz w:val="20"/>
          <w:szCs w:val="20"/>
        </w:rPr>
      </w:pPr>
    </w:p>
    <w:p w14:paraId="7863C526" w14:textId="77777777" w:rsidR="008D6298" w:rsidRPr="007D2F06" w:rsidRDefault="001A7578" w:rsidP="00373463">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Apoyo a emprendedores de $15,000.00 a $500,000.00 Plazo hasta 60 meses</w:t>
      </w:r>
      <w:r w:rsidR="008D6298" w:rsidRPr="007D2F06">
        <w:rPr>
          <w:rFonts w:ascii="Arial" w:hAnsi="Arial" w:cs="Arial"/>
          <w:sz w:val="20"/>
          <w:szCs w:val="20"/>
        </w:rPr>
        <w:t>.</w:t>
      </w:r>
    </w:p>
    <w:p w14:paraId="268F28DC" w14:textId="77777777" w:rsidR="008D6298" w:rsidRPr="007D2F06" w:rsidRDefault="008D6298" w:rsidP="008D6298">
      <w:pPr>
        <w:spacing w:after="0" w:line="240" w:lineRule="auto"/>
        <w:jc w:val="both"/>
        <w:rPr>
          <w:rFonts w:ascii="Arial" w:hAnsi="Arial" w:cs="Arial"/>
          <w:sz w:val="20"/>
          <w:szCs w:val="20"/>
        </w:rPr>
      </w:pPr>
    </w:p>
    <w:p w14:paraId="5D1F42AE" w14:textId="77777777" w:rsidR="008D6298" w:rsidRPr="007D2F06" w:rsidRDefault="001A7578" w:rsidP="00373463">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Bolsa de Garantía FIRA $1,300,000.00 a $31,000,000.00</w:t>
      </w:r>
    </w:p>
    <w:p w14:paraId="134E0759" w14:textId="77777777" w:rsidR="008B439C" w:rsidRPr="007D2F06" w:rsidRDefault="008B439C" w:rsidP="008B439C">
      <w:pPr>
        <w:spacing w:after="0" w:line="240" w:lineRule="auto"/>
        <w:jc w:val="both"/>
        <w:rPr>
          <w:rFonts w:ascii="Arial" w:hAnsi="Arial" w:cs="Arial"/>
          <w:sz w:val="20"/>
          <w:szCs w:val="20"/>
        </w:rPr>
      </w:pPr>
    </w:p>
    <w:p w14:paraId="337C97A8" w14:textId="77777777" w:rsidR="0085679A" w:rsidRPr="007D2F06" w:rsidRDefault="001A7578" w:rsidP="00373463">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Programa de Garantía NAFIN+GTO Contigo SI $5,000,000.00 Plazo hasta 60 meses</w:t>
      </w:r>
      <w:r w:rsidR="0085679A" w:rsidRPr="007D2F06">
        <w:rPr>
          <w:rFonts w:ascii="Arial" w:hAnsi="Arial" w:cs="Arial"/>
          <w:sz w:val="20"/>
          <w:szCs w:val="20"/>
        </w:rPr>
        <w:t>.</w:t>
      </w:r>
    </w:p>
    <w:p w14:paraId="4DD2D5F5" w14:textId="77777777" w:rsidR="004A3A40" w:rsidRPr="007D2F06" w:rsidRDefault="004A3A40" w:rsidP="004A3A40">
      <w:pPr>
        <w:pStyle w:val="Prrafodelista"/>
        <w:rPr>
          <w:rFonts w:ascii="Arial" w:hAnsi="Arial" w:cs="Arial"/>
          <w:sz w:val="20"/>
          <w:szCs w:val="20"/>
        </w:rPr>
      </w:pPr>
    </w:p>
    <w:p w14:paraId="2C66EE3F" w14:textId="77777777" w:rsidR="004A3A40" w:rsidRPr="007D2F06" w:rsidRDefault="001A7578" w:rsidP="00373463">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Programa de garantías con la banca comercial hasta $4,434,000.00 Plazo de 1 a 3 años</w:t>
      </w:r>
      <w:r w:rsidR="004A3A40" w:rsidRPr="007D2F06">
        <w:rPr>
          <w:rFonts w:ascii="Arial" w:hAnsi="Arial" w:cs="Arial"/>
          <w:sz w:val="20"/>
          <w:szCs w:val="20"/>
        </w:rPr>
        <w:t xml:space="preserve">. </w:t>
      </w:r>
    </w:p>
    <w:p w14:paraId="03CEC35A" w14:textId="77777777" w:rsidR="004A3A40" w:rsidRPr="007D2F06" w:rsidRDefault="004A3A40" w:rsidP="004A3A40">
      <w:pPr>
        <w:pStyle w:val="Prrafodelista"/>
        <w:rPr>
          <w:rFonts w:ascii="Arial" w:hAnsi="Arial" w:cs="Arial"/>
          <w:sz w:val="20"/>
          <w:szCs w:val="20"/>
        </w:rPr>
      </w:pPr>
    </w:p>
    <w:p w14:paraId="2E290CB8" w14:textId="77777777" w:rsidR="004A3A40" w:rsidRPr="007D2F06" w:rsidRDefault="001A7578" w:rsidP="00373463">
      <w:pPr>
        <w:pStyle w:val="Prrafodelista"/>
        <w:numPr>
          <w:ilvl w:val="0"/>
          <w:numId w:val="13"/>
        </w:numPr>
        <w:spacing w:after="0" w:line="240" w:lineRule="auto"/>
        <w:jc w:val="both"/>
        <w:rPr>
          <w:rFonts w:ascii="Arial" w:hAnsi="Arial" w:cs="Arial"/>
          <w:sz w:val="20"/>
          <w:szCs w:val="20"/>
        </w:rPr>
      </w:pPr>
      <w:r w:rsidRPr="007D2F06">
        <w:rPr>
          <w:rFonts w:ascii="Arial" w:hAnsi="Arial" w:cs="Arial"/>
          <w:sz w:val="20"/>
          <w:szCs w:val="20"/>
        </w:rPr>
        <w:t xml:space="preserve">Programa </w:t>
      </w:r>
      <w:proofErr w:type="spellStart"/>
      <w:r w:rsidRPr="007D2F06">
        <w:rPr>
          <w:rFonts w:ascii="Arial" w:hAnsi="Arial" w:cs="Arial"/>
          <w:sz w:val="20"/>
          <w:szCs w:val="20"/>
        </w:rPr>
        <w:t>Gto</w:t>
      </w:r>
      <w:proofErr w:type="spellEnd"/>
      <w:r w:rsidRPr="007D2F06">
        <w:rPr>
          <w:rFonts w:ascii="Arial" w:hAnsi="Arial" w:cs="Arial"/>
          <w:sz w:val="20"/>
          <w:szCs w:val="20"/>
        </w:rPr>
        <w:t xml:space="preserve"> Sustentable desde $50,000.00 hasta $6,000,000.00 Plazo hasta 72 meses</w:t>
      </w:r>
      <w:r w:rsidR="00D63E65" w:rsidRPr="007D2F06">
        <w:rPr>
          <w:rFonts w:ascii="Arial" w:hAnsi="Arial" w:cs="Arial"/>
          <w:sz w:val="20"/>
          <w:szCs w:val="20"/>
        </w:rPr>
        <w:t>.</w:t>
      </w:r>
    </w:p>
    <w:p w14:paraId="77D9AB15" w14:textId="77777777" w:rsidR="0085679A" w:rsidRPr="007D2F06" w:rsidRDefault="0085679A" w:rsidP="008B439C">
      <w:pPr>
        <w:spacing w:after="0" w:line="240" w:lineRule="auto"/>
        <w:jc w:val="both"/>
        <w:rPr>
          <w:rFonts w:ascii="Arial" w:hAnsi="Arial" w:cs="Arial"/>
          <w:sz w:val="20"/>
          <w:szCs w:val="20"/>
        </w:rPr>
      </w:pPr>
    </w:p>
    <w:p w14:paraId="74854654" w14:textId="60B7CE5C" w:rsidR="008B439C" w:rsidRPr="007D2F06" w:rsidRDefault="008B439C" w:rsidP="008B439C">
      <w:pPr>
        <w:spacing w:after="0" w:line="240" w:lineRule="auto"/>
        <w:jc w:val="both"/>
        <w:rPr>
          <w:rFonts w:ascii="Arial" w:hAnsi="Arial" w:cs="Arial"/>
          <w:sz w:val="20"/>
          <w:szCs w:val="20"/>
        </w:rPr>
      </w:pPr>
      <w:r w:rsidRPr="007D2F06">
        <w:rPr>
          <w:rFonts w:ascii="Arial" w:hAnsi="Arial" w:cs="Arial"/>
          <w:sz w:val="20"/>
          <w:szCs w:val="20"/>
        </w:rPr>
        <w:t xml:space="preserve">Cada uno de los programas </w:t>
      </w:r>
      <w:r w:rsidR="002635CA" w:rsidRPr="007D2F06">
        <w:rPr>
          <w:rFonts w:ascii="Arial" w:hAnsi="Arial" w:cs="Arial"/>
          <w:sz w:val="20"/>
          <w:szCs w:val="20"/>
        </w:rPr>
        <w:t>fueron</w:t>
      </w:r>
      <w:r w:rsidRPr="007D2F06">
        <w:rPr>
          <w:rFonts w:ascii="Arial" w:hAnsi="Arial" w:cs="Arial"/>
          <w:sz w:val="20"/>
          <w:szCs w:val="20"/>
        </w:rPr>
        <w:t xml:space="preserve"> aprobado</w:t>
      </w:r>
      <w:r w:rsidR="002635CA" w:rsidRPr="007D2F06">
        <w:rPr>
          <w:rFonts w:ascii="Arial" w:hAnsi="Arial" w:cs="Arial"/>
          <w:sz w:val="20"/>
          <w:szCs w:val="20"/>
        </w:rPr>
        <w:t>s</w:t>
      </w:r>
      <w:r w:rsidRPr="007D2F06">
        <w:rPr>
          <w:rFonts w:ascii="Arial" w:hAnsi="Arial" w:cs="Arial"/>
          <w:sz w:val="20"/>
          <w:szCs w:val="20"/>
        </w:rPr>
        <w:t xml:space="preserve"> por el Comité Técnico en apego a las Reglas de Operación de la Entidad, así como </w:t>
      </w:r>
      <w:r w:rsidR="00373463" w:rsidRPr="007D2F06">
        <w:rPr>
          <w:rFonts w:ascii="Arial" w:hAnsi="Arial" w:cs="Arial"/>
          <w:sz w:val="20"/>
          <w:szCs w:val="20"/>
        </w:rPr>
        <w:t xml:space="preserve">a lo </w:t>
      </w:r>
      <w:r w:rsidRPr="007D2F06">
        <w:rPr>
          <w:rFonts w:ascii="Arial" w:hAnsi="Arial" w:cs="Arial"/>
          <w:sz w:val="20"/>
          <w:szCs w:val="20"/>
        </w:rPr>
        <w:t>establecido en los fines del Fideicomiso en los convenios modificatorios.</w:t>
      </w:r>
    </w:p>
    <w:p w14:paraId="37E7EE8A" w14:textId="77777777" w:rsidR="0085679A" w:rsidRPr="007D2F06" w:rsidRDefault="0085679A" w:rsidP="00CB41C4">
      <w:pPr>
        <w:tabs>
          <w:tab w:val="left" w:leader="underscore" w:pos="9639"/>
        </w:tabs>
        <w:spacing w:after="0" w:line="240" w:lineRule="auto"/>
        <w:jc w:val="both"/>
        <w:rPr>
          <w:rFonts w:ascii="Arial" w:hAnsi="Arial" w:cs="Arial"/>
          <w:b/>
          <w:sz w:val="20"/>
          <w:szCs w:val="20"/>
        </w:rPr>
      </w:pPr>
    </w:p>
    <w:p w14:paraId="57B6FEDF" w14:textId="77777777" w:rsidR="007D1E76" w:rsidRPr="007D2F06" w:rsidRDefault="007D1E76" w:rsidP="00CB41C4">
      <w:pPr>
        <w:tabs>
          <w:tab w:val="left" w:leader="underscore" w:pos="9639"/>
        </w:tabs>
        <w:spacing w:after="0" w:line="240" w:lineRule="auto"/>
        <w:jc w:val="both"/>
        <w:rPr>
          <w:rFonts w:ascii="Arial" w:hAnsi="Arial" w:cs="Arial"/>
          <w:sz w:val="20"/>
          <w:szCs w:val="20"/>
        </w:rPr>
      </w:pPr>
      <w:r w:rsidRPr="007D2F06">
        <w:rPr>
          <w:rFonts w:ascii="Arial" w:hAnsi="Arial" w:cs="Arial"/>
          <w:b/>
          <w:sz w:val="20"/>
          <w:szCs w:val="20"/>
        </w:rPr>
        <w:t>c)</w:t>
      </w:r>
      <w:r w:rsidRPr="007D2F06">
        <w:rPr>
          <w:rFonts w:ascii="Arial" w:hAnsi="Arial" w:cs="Arial"/>
          <w:sz w:val="20"/>
          <w:szCs w:val="20"/>
        </w:rPr>
        <w:t xml:space="preserve"> E</w:t>
      </w:r>
      <w:r w:rsidR="003E2E8A" w:rsidRPr="007D2F06">
        <w:rPr>
          <w:rFonts w:ascii="Arial" w:hAnsi="Arial" w:cs="Arial"/>
          <w:sz w:val="20"/>
          <w:szCs w:val="20"/>
        </w:rPr>
        <w:t>jercicio fiscal</w:t>
      </w:r>
      <w:r w:rsidRPr="007D2F06">
        <w:rPr>
          <w:rFonts w:ascii="Arial" w:hAnsi="Arial" w:cs="Arial"/>
          <w:sz w:val="20"/>
          <w:szCs w:val="20"/>
        </w:rPr>
        <w:t>.</w:t>
      </w:r>
    </w:p>
    <w:p w14:paraId="225C8994" w14:textId="77777777" w:rsidR="007D1E76" w:rsidRPr="007D2F06" w:rsidRDefault="00D25233" w:rsidP="00CB41C4">
      <w:pPr>
        <w:tabs>
          <w:tab w:val="left" w:leader="underscore" w:pos="9639"/>
        </w:tabs>
        <w:spacing w:after="0" w:line="240" w:lineRule="auto"/>
        <w:jc w:val="both"/>
        <w:rPr>
          <w:rFonts w:ascii="Arial" w:hAnsi="Arial" w:cs="Arial"/>
          <w:sz w:val="20"/>
          <w:szCs w:val="20"/>
        </w:rPr>
      </w:pPr>
      <w:r w:rsidRPr="007D2F06">
        <w:rPr>
          <w:rFonts w:ascii="Arial" w:eastAsia="Times New Roman" w:hAnsi="Arial" w:cs="Arial"/>
          <w:color w:val="000000"/>
          <w:sz w:val="20"/>
          <w:szCs w:val="20"/>
        </w:rPr>
        <w:t>En</w:t>
      </w:r>
      <w:r w:rsidR="007B7BF7" w:rsidRPr="007D2F06">
        <w:rPr>
          <w:rFonts w:ascii="Arial" w:eastAsia="Times New Roman" w:hAnsi="Arial" w:cs="Arial"/>
          <w:color w:val="000000"/>
          <w:sz w:val="20"/>
          <w:szCs w:val="20"/>
        </w:rPr>
        <w:t xml:space="preserve"> e</w:t>
      </w:r>
      <w:r w:rsidR="00097BDF" w:rsidRPr="007D2F06">
        <w:rPr>
          <w:rFonts w:ascii="Arial" w:eastAsia="Times New Roman" w:hAnsi="Arial" w:cs="Arial"/>
          <w:color w:val="000000"/>
          <w:sz w:val="20"/>
          <w:szCs w:val="20"/>
        </w:rPr>
        <w:t xml:space="preserve">l ejercicio fiscal </w:t>
      </w:r>
      <w:r w:rsidRPr="007D2F06">
        <w:rPr>
          <w:rFonts w:ascii="Arial" w:eastAsia="Times New Roman" w:hAnsi="Arial" w:cs="Arial"/>
          <w:color w:val="000000"/>
          <w:sz w:val="20"/>
          <w:szCs w:val="20"/>
        </w:rPr>
        <w:t xml:space="preserve">que </w:t>
      </w:r>
      <w:r w:rsidR="00097BDF" w:rsidRPr="007D2F06">
        <w:rPr>
          <w:rFonts w:ascii="Arial" w:eastAsia="Times New Roman" w:hAnsi="Arial" w:cs="Arial"/>
          <w:color w:val="000000"/>
          <w:sz w:val="20"/>
          <w:szCs w:val="20"/>
        </w:rPr>
        <w:t xml:space="preserve">corresponde al año natural, </w:t>
      </w:r>
      <w:r w:rsidRPr="007D2F06">
        <w:rPr>
          <w:rFonts w:ascii="Arial" w:eastAsia="Times New Roman" w:hAnsi="Arial" w:cs="Arial"/>
          <w:color w:val="000000"/>
          <w:sz w:val="20"/>
          <w:szCs w:val="20"/>
        </w:rPr>
        <w:t xml:space="preserve">el Fideicomiso presenta </w:t>
      </w:r>
      <w:r w:rsidR="00F43B8C" w:rsidRPr="007D2F06">
        <w:rPr>
          <w:rFonts w:ascii="Arial" w:eastAsia="Times New Roman" w:hAnsi="Arial" w:cs="Arial"/>
          <w:color w:val="000000"/>
          <w:sz w:val="20"/>
          <w:szCs w:val="20"/>
        </w:rPr>
        <w:t xml:space="preserve">y realiza el pago </w:t>
      </w:r>
      <w:r w:rsidRPr="007D2F06">
        <w:rPr>
          <w:rFonts w:ascii="Arial" w:eastAsia="Times New Roman" w:hAnsi="Arial" w:cs="Arial"/>
          <w:color w:val="000000"/>
          <w:sz w:val="20"/>
          <w:szCs w:val="20"/>
        </w:rPr>
        <w:t>de forma mensual la “Declaración provisional o definitiva de impuestos federales” así como la “Declaración definitiva de impuestos estatales</w:t>
      </w:r>
      <w:r w:rsidR="00F43B8C" w:rsidRPr="007D2F06">
        <w:rPr>
          <w:rFonts w:ascii="Arial" w:eastAsia="Times New Roman" w:hAnsi="Arial" w:cs="Arial"/>
          <w:color w:val="000000"/>
          <w:sz w:val="20"/>
          <w:szCs w:val="20"/>
        </w:rPr>
        <w:t>”</w:t>
      </w:r>
      <w:r w:rsidR="00883759" w:rsidRPr="007D2F06">
        <w:rPr>
          <w:rFonts w:ascii="Arial" w:eastAsia="Times New Roman" w:hAnsi="Arial" w:cs="Arial"/>
          <w:color w:val="000000"/>
          <w:sz w:val="20"/>
          <w:szCs w:val="20"/>
        </w:rPr>
        <w:t xml:space="preserve">, también </w:t>
      </w:r>
      <w:r w:rsidR="00AA0CBB" w:rsidRPr="007D2F06">
        <w:rPr>
          <w:rFonts w:ascii="Arial" w:eastAsia="Times New Roman" w:hAnsi="Arial" w:cs="Arial"/>
          <w:color w:val="000000"/>
          <w:sz w:val="20"/>
          <w:szCs w:val="20"/>
        </w:rPr>
        <w:t xml:space="preserve">de forma anual </w:t>
      </w:r>
      <w:r w:rsidR="00883759" w:rsidRPr="007D2F06">
        <w:rPr>
          <w:rFonts w:ascii="Arial" w:eastAsia="Times New Roman" w:hAnsi="Arial" w:cs="Arial"/>
          <w:color w:val="000000"/>
          <w:sz w:val="20"/>
          <w:szCs w:val="20"/>
        </w:rPr>
        <w:t xml:space="preserve">se </w:t>
      </w:r>
      <w:r w:rsidR="00AA0CBB" w:rsidRPr="007D2F06">
        <w:rPr>
          <w:rFonts w:ascii="Arial" w:eastAsia="Times New Roman" w:hAnsi="Arial" w:cs="Arial"/>
          <w:color w:val="000000"/>
          <w:sz w:val="20"/>
          <w:szCs w:val="20"/>
        </w:rPr>
        <w:t xml:space="preserve">presenta </w:t>
      </w:r>
      <w:r w:rsidR="00883759" w:rsidRPr="007D2F06">
        <w:rPr>
          <w:rFonts w:ascii="Arial" w:eastAsia="Times New Roman" w:hAnsi="Arial" w:cs="Arial"/>
          <w:color w:val="000000"/>
          <w:sz w:val="20"/>
          <w:szCs w:val="20"/>
        </w:rPr>
        <w:t>la “Declaración</w:t>
      </w:r>
      <w:r w:rsidR="00AA0CBB" w:rsidRPr="007D2F06">
        <w:rPr>
          <w:rFonts w:ascii="Arial" w:eastAsia="Times New Roman" w:hAnsi="Arial" w:cs="Arial"/>
          <w:color w:val="000000"/>
          <w:sz w:val="20"/>
          <w:szCs w:val="20"/>
        </w:rPr>
        <w:t xml:space="preserve"> </w:t>
      </w:r>
      <w:r w:rsidR="00D1471F" w:rsidRPr="007D2F06">
        <w:rPr>
          <w:rFonts w:ascii="Arial" w:eastAsia="Times New Roman" w:hAnsi="Arial" w:cs="Arial"/>
          <w:color w:val="000000"/>
          <w:sz w:val="20"/>
          <w:szCs w:val="20"/>
        </w:rPr>
        <w:t xml:space="preserve">del Ejercicio </w:t>
      </w:r>
      <w:r w:rsidR="00AA0CBB" w:rsidRPr="007D2F06">
        <w:rPr>
          <w:rFonts w:ascii="Arial" w:eastAsia="Times New Roman" w:hAnsi="Arial" w:cs="Arial"/>
          <w:color w:val="000000"/>
          <w:sz w:val="20"/>
          <w:szCs w:val="20"/>
        </w:rPr>
        <w:t>de Personas</w:t>
      </w:r>
      <w:r w:rsidR="007420BC" w:rsidRPr="007D2F06">
        <w:rPr>
          <w:rFonts w:ascii="Arial" w:eastAsia="Times New Roman" w:hAnsi="Arial" w:cs="Arial"/>
          <w:color w:val="000000"/>
          <w:sz w:val="20"/>
          <w:szCs w:val="20"/>
        </w:rPr>
        <w:t xml:space="preserve"> </w:t>
      </w:r>
      <w:r w:rsidR="00AA0CBB" w:rsidRPr="007D2F06">
        <w:rPr>
          <w:rFonts w:ascii="Arial" w:eastAsia="Times New Roman" w:hAnsi="Arial" w:cs="Arial"/>
          <w:color w:val="000000"/>
          <w:sz w:val="20"/>
          <w:szCs w:val="20"/>
        </w:rPr>
        <w:t>Morales</w:t>
      </w:r>
      <w:r w:rsidR="00D1471F" w:rsidRPr="007D2F06">
        <w:rPr>
          <w:rFonts w:ascii="Arial" w:eastAsia="Times New Roman" w:hAnsi="Arial" w:cs="Arial"/>
          <w:color w:val="000000"/>
          <w:sz w:val="20"/>
          <w:szCs w:val="20"/>
        </w:rPr>
        <w:t xml:space="preserve"> con Fines No Lucrativos</w:t>
      </w:r>
      <w:r w:rsidR="00AA0CBB" w:rsidRPr="007D2F06">
        <w:rPr>
          <w:rFonts w:ascii="Arial" w:eastAsia="Times New Roman" w:hAnsi="Arial" w:cs="Arial"/>
          <w:color w:val="000000"/>
          <w:sz w:val="20"/>
          <w:szCs w:val="20"/>
        </w:rPr>
        <w:t>” y</w:t>
      </w:r>
      <w:r w:rsidR="00AA1066" w:rsidRPr="007D2F06">
        <w:rPr>
          <w:rFonts w:ascii="Arial" w:eastAsia="Times New Roman" w:hAnsi="Arial" w:cs="Arial"/>
          <w:color w:val="000000"/>
          <w:sz w:val="20"/>
          <w:szCs w:val="20"/>
        </w:rPr>
        <w:t>,</w:t>
      </w:r>
      <w:r w:rsidR="00AA0CBB" w:rsidRPr="007D2F06">
        <w:rPr>
          <w:rFonts w:ascii="Arial" w:eastAsia="Times New Roman" w:hAnsi="Arial" w:cs="Arial"/>
          <w:color w:val="000000"/>
          <w:sz w:val="20"/>
          <w:szCs w:val="20"/>
        </w:rPr>
        <w:t xml:space="preserve"> por un despacho externo</w:t>
      </w:r>
      <w:r w:rsidR="00AA1066" w:rsidRPr="007D2F06">
        <w:rPr>
          <w:rFonts w:ascii="Arial" w:eastAsia="Times New Roman" w:hAnsi="Arial" w:cs="Arial"/>
          <w:color w:val="000000"/>
          <w:sz w:val="20"/>
          <w:szCs w:val="20"/>
        </w:rPr>
        <w:t>,</w:t>
      </w:r>
      <w:r w:rsidR="00AA0CBB" w:rsidRPr="007D2F06">
        <w:rPr>
          <w:rFonts w:ascii="Arial" w:eastAsia="Times New Roman" w:hAnsi="Arial" w:cs="Arial"/>
          <w:color w:val="000000"/>
          <w:sz w:val="20"/>
          <w:szCs w:val="20"/>
        </w:rPr>
        <w:t xml:space="preserve"> realiza la Auditoría para efectos de la presentación del Dictamen de los Estados Financieros. Por otro lado, el fideicomiso </w:t>
      </w:r>
      <w:r w:rsidR="00097BDF" w:rsidRPr="007D2F06">
        <w:rPr>
          <w:rFonts w:ascii="Arial" w:eastAsia="Times New Roman" w:hAnsi="Arial" w:cs="Arial"/>
          <w:color w:val="000000"/>
          <w:sz w:val="20"/>
          <w:szCs w:val="20"/>
        </w:rPr>
        <w:t>realiza cortes mensuales</w:t>
      </w:r>
      <w:r w:rsidR="003E2E8A" w:rsidRPr="007D2F06">
        <w:rPr>
          <w:rFonts w:ascii="Arial" w:eastAsia="Times New Roman" w:hAnsi="Arial" w:cs="Arial"/>
          <w:color w:val="000000"/>
          <w:sz w:val="20"/>
          <w:szCs w:val="20"/>
        </w:rPr>
        <w:t>, trimestrales y anual</w:t>
      </w:r>
      <w:r w:rsidR="00097BDF" w:rsidRPr="007D2F06">
        <w:rPr>
          <w:rFonts w:ascii="Arial" w:eastAsia="Times New Roman" w:hAnsi="Arial" w:cs="Arial"/>
          <w:color w:val="000000"/>
          <w:sz w:val="20"/>
          <w:szCs w:val="20"/>
        </w:rPr>
        <w:t xml:space="preserve"> para la </w:t>
      </w:r>
      <w:r w:rsidR="00AA0CBB" w:rsidRPr="007D2F06">
        <w:rPr>
          <w:rFonts w:ascii="Arial" w:eastAsia="Times New Roman" w:hAnsi="Arial" w:cs="Arial"/>
          <w:color w:val="000000"/>
          <w:sz w:val="20"/>
          <w:szCs w:val="20"/>
        </w:rPr>
        <w:t xml:space="preserve">integración y </w:t>
      </w:r>
      <w:r w:rsidR="00097BDF" w:rsidRPr="007D2F06">
        <w:rPr>
          <w:rFonts w:ascii="Arial" w:eastAsia="Times New Roman" w:hAnsi="Arial" w:cs="Arial"/>
          <w:color w:val="000000"/>
          <w:sz w:val="20"/>
          <w:szCs w:val="20"/>
        </w:rPr>
        <w:t xml:space="preserve">presentación de </w:t>
      </w:r>
      <w:r w:rsidR="003E2E8A" w:rsidRPr="007D2F06">
        <w:rPr>
          <w:rFonts w:ascii="Arial" w:eastAsia="Times New Roman" w:hAnsi="Arial" w:cs="Arial"/>
          <w:color w:val="000000"/>
          <w:sz w:val="20"/>
          <w:szCs w:val="20"/>
        </w:rPr>
        <w:t>Información Financiera y C</w:t>
      </w:r>
      <w:r w:rsidR="00097BDF" w:rsidRPr="007D2F06">
        <w:rPr>
          <w:rFonts w:ascii="Arial" w:eastAsia="Times New Roman" w:hAnsi="Arial" w:cs="Arial"/>
          <w:color w:val="000000"/>
          <w:sz w:val="20"/>
          <w:szCs w:val="20"/>
        </w:rPr>
        <w:t>uenta</w:t>
      </w:r>
      <w:r w:rsidR="003E2E8A" w:rsidRPr="007D2F06">
        <w:rPr>
          <w:rFonts w:ascii="Arial" w:eastAsia="Times New Roman" w:hAnsi="Arial" w:cs="Arial"/>
          <w:color w:val="000000"/>
          <w:sz w:val="20"/>
          <w:szCs w:val="20"/>
        </w:rPr>
        <w:t xml:space="preserve"> P</w:t>
      </w:r>
      <w:r w:rsidR="00097BDF" w:rsidRPr="007D2F06">
        <w:rPr>
          <w:rFonts w:ascii="Arial" w:eastAsia="Times New Roman" w:hAnsi="Arial" w:cs="Arial"/>
          <w:color w:val="000000"/>
          <w:sz w:val="20"/>
          <w:szCs w:val="20"/>
        </w:rPr>
        <w:t>ública</w:t>
      </w:r>
      <w:r w:rsidR="00AA0CBB" w:rsidRPr="007D2F06">
        <w:rPr>
          <w:rFonts w:ascii="Arial" w:eastAsia="Times New Roman" w:hAnsi="Arial" w:cs="Arial"/>
          <w:color w:val="000000"/>
          <w:sz w:val="20"/>
          <w:szCs w:val="20"/>
        </w:rPr>
        <w:t xml:space="preserve"> en materia de </w:t>
      </w:r>
      <w:r w:rsidR="00D1471F" w:rsidRPr="007D2F06">
        <w:rPr>
          <w:rFonts w:ascii="Arial" w:eastAsia="Times New Roman" w:hAnsi="Arial" w:cs="Arial"/>
          <w:color w:val="000000"/>
          <w:sz w:val="20"/>
          <w:szCs w:val="20"/>
        </w:rPr>
        <w:t xml:space="preserve">la Ley General de </w:t>
      </w:r>
      <w:r w:rsidR="00AA0CBB" w:rsidRPr="007D2F06">
        <w:rPr>
          <w:rFonts w:ascii="Arial" w:eastAsia="Times New Roman" w:hAnsi="Arial" w:cs="Arial"/>
          <w:color w:val="000000"/>
          <w:sz w:val="20"/>
          <w:szCs w:val="20"/>
        </w:rPr>
        <w:t>Contabilidad Gubernamental</w:t>
      </w:r>
      <w:r w:rsidR="00D1471F" w:rsidRPr="007D2F06">
        <w:rPr>
          <w:rFonts w:ascii="Arial" w:eastAsia="Times New Roman" w:hAnsi="Arial" w:cs="Arial"/>
          <w:color w:val="000000"/>
          <w:sz w:val="20"/>
          <w:szCs w:val="20"/>
        </w:rPr>
        <w:t>.</w:t>
      </w:r>
    </w:p>
    <w:p w14:paraId="5316C111" w14:textId="77777777" w:rsidR="007D1E76" w:rsidRPr="007D2F06" w:rsidRDefault="007D1E76" w:rsidP="00CB41C4">
      <w:pPr>
        <w:tabs>
          <w:tab w:val="left" w:leader="underscore" w:pos="9639"/>
        </w:tabs>
        <w:spacing w:after="0" w:line="240" w:lineRule="auto"/>
        <w:jc w:val="both"/>
        <w:rPr>
          <w:rFonts w:ascii="Arial" w:hAnsi="Arial" w:cs="Arial"/>
          <w:sz w:val="20"/>
          <w:szCs w:val="20"/>
        </w:rPr>
      </w:pPr>
    </w:p>
    <w:p w14:paraId="2AF97BE6" w14:textId="77777777" w:rsidR="008B439C" w:rsidRPr="007D2F06" w:rsidRDefault="007D1E76" w:rsidP="00CB41C4">
      <w:pPr>
        <w:tabs>
          <w:tab w:val="left" w:leader="underscore" w:pos="9639"/>
        </w:tabs>
        <w:spacing w:after="0" w:line="240" w:lineRule="auto"/>
        <w:jc w:val="both"/>
        <w:rPr>
          <w:rFonts w:ascii="Arial" w:hAnsi="Arial" w:cs="Arial"/>
          <w:sz w:val="20"/>
          <w:szCs w:val="20"/>
        </w:rPr>
      </w:pPr>
      <w:r w:rsidRPr="007D2F06">
        <w:rPr>
          <w:rFonts w:ascii="Arial" w:hAnsi="Arial" w:cs="Arial"/>
          <w:b/>
          <w:sz w:val="20"/>
          <w:szCs w:val="20"/>
        </w:rPr>
        <w:t>d)</w:t>
      </w:r>
      <w:r w:rsidRPr="007D2F06">
        <w:rPr>
          <w:rFonts w:ascii="Arial" w:hAnsi="Arial" w:cs="Arial"/>
          <w:sz w:val="20"/>
          <w:szCs w:val="20"/>
        </w:rPr>
        <w:t xml:space="preserve"> Régimen jurídico (Forma como está dada de alta la entidad ante la S.H.C.P., ejemplos: S.C., S.A., Personas mo</w:t>
      </w:r>
      <w:r w:rsidR="00B12279" w:rsidRPr="007D2F06">
        <w:rPr>
          <w:rFonts w:ascii="Arial" w:hAnsi="Arial" w:cs="Arial"/>
          <w:sz w:val="20"/>
          <w:szCs w:val="20"/>
        </w:rPr>
        <w:t>rales sin fines de lucro, etc.)</w:t>
      </w:r>
    </w:p>
    <w:p w14:paraId="4012EE69" w14:textId="77777777" w:rsidR="00B12279" w:rsidRPr="007D2F06" w:rsidRDefault="00B12279" w:rsidP="00CB41C4">
      <w:pPr>
        <w:tabs>
          <w:tab w:val="left" w:leader="underscore" w:pos="9639"/>
        </w:tabs>
        <w:spacing w:after="0" w:line="240" w:lineRule="auto"/>
        <w:jc w:val="both"/>
        <w:rPr>
          <w:rFonts w:ascii="Arial" w:hAnsi="Arial" w:cs="Arial"/>
          <w:sz w:val="20"/>
          <w:szCs w:val="20"/>
        </w:rPr>
      </w:pPr>
    </w:p>
    <w:p w14:paraId="31511367" w14:textId="77777777" w:rsidR="00554E9E" w:rsidRPr="007D2F06" w:rsidRDefault="00B12279" w:rsidP="00CB41C4">
      <w:pPr>
        <w:tabs>
          <w:tab w:val="left" w:leader="underscore" w:pos="9639"/>
        </w:tabs>
        <w:spacing w:after="0" w:line="240" w:lineRule="auto"/>
        <w:jc w:val="both"/>
        <w:rPr>
          <w:rFonts w:ascii="Arial" w:hAnsi="Arial" w:cs="Arial"/>
          <w:sz w:val="20"/>
          <w:szCs w:val="20"/>
        </w:rPr>
      </w:pPr>
      <w:r w:rsidRPr="007D2F06">
        <w:rPr>
          <w:rFonts w:ascii="Arial" w:hAnsi="Arial" w:cs="Arial"/>
          <w:sz w:val="20"/>
          <w:szCs w:val="20"/>
        </w:rPr>
        <w:t xml:space="preserve">Fondos Guanajuato de Financiamiento está </w:t>
      </w:r>
      <w:r w:rsidR="00554E9E" w:rsidRPr="007D2F06">
        <w:rPr>
          <w:rFonts w:ascii="Arial" w:hAnsi="Arial" w:cs="Arial"/>
          <w:sz w:val="20"/>
          <w:szCs w:val="20"/>
        </w:rPr>
        <w:t>registrado</w:t>
      </w:r>
      <w:r w:rsidRPr="007D2F06">
        <w:rPr>
          <w:rFonts w:ascii="Arial" w:hAnsi="Arial" w:cs="Arial"/>
          <w:sz w:val="20"/>
          <w:szCs w:val="20"/>
        </w:rPr>
        <w:t xml:space="preserve"> </w:t>
      </w:r>
      <w:r w:rsidR="007B7BF7" w:rsidRPr="007D2F06">
        <w:rPr>
          <w:rFonts w:ascii="Arial" w:hAnsi="Arial" w:cs="Arial"/>
          <w:sz w:val="20"/>
          <w:szCs w:val="20"/>
        </w:rPr>
        <w:t xml:space="preserve">ante la SHCP mediante el SAT </w:t>
      </w:r>
      <w:r w:rsidR="00554E9E" w:rsidRPr="007D2F06">
        <w:rPr>
          <w:rFonts w:ascii="Arial" w:hAnsi="Arial" w:cs="Arial"/>
          <w:sz w:val="20"/>
          <w:szCs w:val="20"/>
        </w:rPr>
        <w:t>de la siguiente forma:</w:t>
      </w:r>
    </w:p>
    <w:p w14:paraId="0E62276B" w14:textId="77777777" w:rsidR="00554E9E" w:rsidRPr="007D2F06" w:rsidRDefault="00554E9E" w:rsidP="00CB41C4">
      <w:pPr>
        <w:tabs>
          <w:tab w:val="left" w:leader="underscore" w:pos="9639"/>
        </w:tabs>
        <w:spacing w:after="0" w:line="240" w:lineRule="auto"/>
        <w:jc w:val="both"/>
        <w:rPr>
          <w:rFonts w:ascii="Arial" w:hAnsi="Arial" w:cs="Arial"/>
          <w:sz w:val="20"/>
          <w:szCs w:val="20"/>
        </w:rPr>
      </w:pPr>
      <w:r w:rsidRPr="007D2F06">
        <w:rPr>
          <w:rFonts w:ascii="Arial" w:hAnsi="Arial" w:cs="Arial"/>
          <w:sz w:val="20"/>
          <w:szCs w:val="20"/>
        </w:rPr>
        <w:t>RFC: NFF9204099T4</w:t>
      </w:r>
    </w:p>
    <w:p w14:paraId="668EF4E8" w14:textId="77777777" w:rsidR="00554E9E" w:rsidRPr="007D2F06" w:rsidRDefault="00554E9E" w:rsidP="00CB41C4">
      <w:pPr>
        <w:tabs>
          <w:tab w:val="left" w:leader="underscore" w:pos="9639"/>
        </w:tabs>
        <w:spacing w:after="0" w:line="240" w:lineRule="auto"/>
        <w:jc w:val="both"/>
        <w:rPr>
          <w:rFonts w:ascii="Arial" w:hAnsi="Arial" w:cs="Arial"/>
          <w:sz w:val="20"/>
          <w:szCs w:val="20"/>
        </w:rPr>
      </w:pPr>
      <w:r w:rsidRPr="007D2F06">
        <w:rPr>
          <w:rFonts w:ascii="Arial" w:hAnsi="Arial" w:cs="Arial"/>
          <w:sz w:val="20"/>
          <w:szCs w:val="20"/>
        </w:rPr>
        <w:t>Denominación/Razón Social: Fondos Guanajuato de Financiamiento</w:t>
      </w:r>
    </w:p>
    <w:p w14:paraId="15565B99" w14:textId="77777777" w:rsidR="00B12279" w:rsidRPr="007D2F06" w:rsidRDefault="00B12279" w:rsidP="00CB41C4">
      <w:pPr>
        <w:tabs>
          <w:tab w:val="left" w:leader="underscore" w:pos="9639"/>
        </w:tabs>
        <w:spacing w:after="0" w:line="240" w:lineRule="auto"/>
        <w:jc w:val="both"/>
        <w:rPr>
          <w:rFonts w:ascii="Arial" w:hAnsi="Arial" w:cs="Arial"/>
          <w:sz w:val="20"/>
          <w:szCs w:val="20"/>
        </w:rPr>
      </w:pPr>
      <w:r w:rsidRPr="007D2F06">
        <w:rPr>
          <w:rFonts w:ascii="Arial" w:hAnsi="Arial" w:cs="Arial"/>
          <w:sz w:val="20"/>
          <w:szCs w:val="20"/>
        </w:rPr>
        <w:t>Régimen Fiscal</w:t>
      </w:r>
      <w:r w:rsidR="00554E9E" w:rsidRPr="007D2F06">
        <w:rPr>
          <w:rFonts w:ascii="Arial" w:hAnsi="Arial" w:cs="Arial"/>
          <w:sz w:val="20"/>
          <w:szCs w:val="20"/>
        </w:rPr>
        <w:t>:</w:t>
      </w:r>
      <w:r w:rsidRPr="007D2F06">
        <w:rPr>
          <w:rFonts w:ascii="Arial" w:hAnsi="Arial" w:cs="Arial"/>
          <w:sz w:val="20"/>
          <w:szCs w:val="20"/>
        </w:rPr>
        <w:t xml:space="preserve"> 603 Personas Morales con Fines No Lucrativos</w:t>
      </w:r>
      <w:r w:rsidR="007B7BF7" w:rsidRPr="007D2F06">
        <w:rPr>
          <w:rFonts w:ascii="Arial" w:hAnsi="Arial" w:cs="Arial"/>
          <w:sz w:val="20"/>
          <w:szCs w:val="20"/>
        </w:rPr>
        <w:t>.</w:t>
      </w:r>
    </w:p>
    <w:p w14:paraId="2D04C4F7" w14:textId="77777777" w:rsidR="00554E9E" w:rsidRPr="007D2F06" w:rsidRDefault="00554E9E" w:rsidP="00554E9E">
      <w:pPr>
        <w:pStyle w:val="Prrafodelista"/>
        <w:spacing w:after="0" w:line="240" w:lineRule="auto"/>
        <w:ind w:left="0"/>
        <w:jc w:val="both"/>
        <w:rPr>
          <w:rFonts w:ascii="Arial" w:eastAsia="Times New Roman" w:hAnsi="Arial" w:cs="Arial"/>
          <w:color w:val="000000"/>
          <w:sz w:val="20"/>
          <w:szCs w:val="20"/>
        </w:rPr>
      </w:pPr>
      <w:r w:rsidRPr="007D2F06">
        <w:rPr>
          <w:rFonts w:ascii="Arial" w:eastAsia="Times New Roman" w:hAnsi="Arial" w:cs="Arial"/>
          <w:color w:val="000000"/>
          <w:sz w:val="20"/>
          <w:szCs w:val="20"/>
        </w:rPr>
        <w:t>Régimen Capital: Sin tipo de sociedad.</w:t>
      </w:r>
    </w:p>
    <w:p w14:paraId="2B04FD0A" w14:textId="77777777" w:rsidR="00554E9E" w:rsidRPr="007D2F06" w:rsidRDefault="00554E9E" w:rsidP="00554E9E">
      <w:pPr>
        <w:pStyle w:val="Prrafodelista"/>
        <w:spacing w:after="0" w:line="240" w:lineRule="auto"/>
        <w:ind w:left="0"/>
        <w:jc w:val="both"/>
        <w:rPr>
          <w:rFonts w:ascii="Arial" w:eastAsia="Times New Roman" w:hAnsi="Arial" w:cs="Arial"/>
          <w:color w:val="000000"/>
          <w:sz w:val="20"/>
          <w:szCs w:val="20"/>
        </w:rPr>
      </w:pPr>
      <w:r w:rsidRPr="007D2F06">
        <w:rPr>
          <w:rFonts w:ascii="Arial" w:eastAsia="Times New Roman" w:hAnsi="Arial" w:cs="Arial"/>
          <w:color w:val="000000"/>
          <w:sz w:val="20"/>
          <w:szCs w:val="20"/>
        </w:rPr>
        <w:t>Actividad económica: Fondos y fideicomisos financieros para el desarrollo.</w:t>
      </w:r>
    </w:p>
    <w:p w14:paraId="796C4325" w14:textId="77777777" w:rsidR="00B869D6" w:rsidRPr="007D2F06" w:rsidRDefault="00B869D6" w:rsidP="00554E9E">
      <w:pPr>
        <w:tabs>
          <w:tab w:val="left" w:leader="underscore" w:pos="9639"/>
        </w:tabs>
        <w:spacing w:after="0" w:line="240" w:lineRule="auto"/>
        <w:jc w:val="both"/>
        <w:rPr>
          <w:rFonts w:ascii="Arial" w:hAnsi="Arial" w:cs="Arial"/>
          <w:sz w:val="20"/>
          <w:szCs w:val="20"/>
        </w:rPr>
      </w:pPr>
    </w:p>
    <w:p w14:paraId="4958CC77" w14:textId="77777777" w:rsidR="00554E9E" w:rsidRPr="007D2F06" w:rsidRDefault="00554E9E" w:rsidP="00CB41C4">
      <w:pPr>
        <w:tabs>
          <w:tab w:val="left" w:leader="underscore" w:pos="9639"/>
        </w:tabs>
        <w:spacing w:after="0" w:line="240" w:lineRule="auto"/>
        <w:jc w:val="both"/>
        <w:rPr>
          <w:rFonts w:ascii="Arial" w:hAnsi="Arial" w:cs="Arial"/>
          <w:sz w:val="20"/>
          <w:szCs w:val="20"/>
        </w:rPr>
      </w:pPr>
    </w:p>
    <w:p w14:paraId="6EA8CBF7" w14:textId="77777777" w:rsidR="008B439C" w:rsidRPr="007D2F06" w:rsidRDefault="008B439C" w:rsidP="008B439C">
      <w:pPr>
        <w:numPr>
          <w:ilvl w:val="0"/>
          <w:numId w:val="9"/>
        </w:numPr>
        <w:spacing w:after="0" w:line="240" w:lineRule="auto"/>
        <w:ind w:left="0" w:firstLine="0"/>
        <w:rPr>
          <w:rFonts w:ascii="Arial" w:hAnsi="Arial" w:cs="Arial"/>
          <w:color w:val="000000"/>
          <w:sz w:val="20"/>
          <w:szCs w:val="20"/>
        </w:rPr>
      </w:pPr>
      <w:r w:rsidRPr="007D2F06">
        <w:rPr>
          <w:rFonts w:ascii="Arial" w:hAnsi="Arial" w:cs="Arial"/>
          <w:b/>
          <w:bCs/>
          <w:sz w:val="20"/>
          <w:szCs w:val="20"/>
        </w:rPr>
        <w:t>Introducción, antecedentes y estructura básica del ente</w:t>
      </w:r>
    </w:p>
    <w:p w14:paraId="5CA5C1A8" w14:textId="77777777" w:rsidR="008B439C" w:rsidRPr="007D2F06" w:rsidRDefault="008B439C" w:rsidP="008B439C">
      <w:pPr>
        <w:spacing w:line="240" w:lineRule="exact"/>
        <w:jc w:val="both"/>
        <w:rPr>
          <w:rFonts w:ascii="Arial" w:hAnsi="Arial" w:cs="Arial"/>
          <w:sz w:val="20"/>
          <w:szCs w:val="20"/>
        </w:rPr>
      </w:pPr>
      <w:r w:rsidRPr="007D2F06">
        <w:rPr>
          <w:rFonts w:ascii="Arial" w:hAnsi="Arial" w:cs="Arial"/>
          <w:b/>
          <w:i/>
          <w:sz w:val="20"/>
          <w:szCs w:val="20"/>
        </w:rPr>
        <w:t>Creación, objeto social, régimen jurídico, principal actividad y entorno financiero</w:t>
      </w:r>
      <w:r w:rsidRPr="007D2F06">
        <w:rPr>
          <w:rFonts w:ascii="Arial" w:hAnsi="Arial" w:cs="Arial"/>
          <w:sz w:val="20"/>
          <w:szCs w:val="20"/>
        </w:rPr>
        <w:t xml:space="preserve"> – Fondo para el Financiamiento de las Empresas de Solidaridad del Estado de Guanajuato  (el “Fondo”) fue constituido el día </w:t>
      </w:r>
      <w:r w:rsidRPr="007D2F06">
        <w:rPr>
          <w:rFonts w:ascii="Arial" w:hAnsi="Arial" w:cs="Arial"/>
          <w:sz w:val="20"/>
          <w:szCs w:val="20"/>
        </w:rPr>
        <w:lastRenderedPageBreak/>
        <w:t>4 de abril de 1992 a través del contrato de fideicomiso celebrado por una parte por el Gobierno del Estado de Guanajuato, en su carácter de fideicomitente y por otra parte en su carácter de fiduciaria, Nacional Financiera, S.N.C., dicho contrato fue celebrado en comparecencia del Gobierno Federal por conducto de la Secretaria de Hacienda y Crédito Público, a través del órgano desconcentrado denominado Coordinación General del Programa Nacional de Apoyo para las Empresas de Solidaridad. Esta última realizó una aportación inicial de manera solidaria por $2,000,000.00 por la cual renuncia a la recuperación de la inversión antes mencionada.</w:t>
      </w:r>
    </w:p>
    <w:p w14:paraId="5E033ED8" w14:textId="77777777" w:rsidR="008B439C" w:rsidRPr="007D2F06" w:rsidRDefault="008B439C" w:rsidP="008B439C">
      <w:pPr>
        <w:spacing w:line="240" w:lineRule="exact"/>
        <w:jc w:val="both"/>
        <w:rPr>
          <w:rFonts w:ascii="Arial" w:hAnsi="Arial" w:cs="Arial"/>
          <w:sz w:val="20"/>
          <w:szCs w:val="20"/>
        </w:rPr>
      </w:pPr>
      <w:r w:rsidRPr="007D2F06">
        <w:rPr>
          <w:rFonts w:ascii="Arial" w:hAnsi="Arial" w:cs="Arial"/>
          <w:sz w:val="20"/>
          <w:szCs w:val="20"/>
        </w:rPr>
        <w:t>De igual manera el contrato de fideicomiso establece que Gobierno del Estado de Guanajuato en su figura de fideicomitente, en los términos del artículo 80 de la Ley de Instituciones de Crédito, constituyó un Comité Técnico, entre cuyas facultades se encuentran establecer las reglas de operación del fideicomiso para desarrollo de su objeto.</w:t>
      </w:r>
    </w:p>
    <w:p w14:paraId="3D8EC520" w14:textId="77777777" w:rsidR="008B439C" w:rsidRPr="007D2F06" w:rsidRDefault="008B439C" w:rsidP="008B439C">
      <w:pPr>
        <w:pStyle w:val="INCISO"/>
        <w:spacing w:line="226" w:lineRule="exact"/>
        <w:rPr>
          <w:sz w:val="20"/>
          <w:szCs w:val="20"/>
        </w:rPr>
      </w:pPr>
    </w:p>
    <w:p w14:paraId="292D429B" w14:textId="77777777" w:rsidR="008B439C" w:rsidRPr="007D2F06" w:rsidRDefault="002565EE" w:rsidP="008B439C">
      <w:pPr>
        <w:pStyle w:val="Prrafodelista1"/>
        <w:numPr>
          <w:ilvl w:val="0"/>
          <w:numId w:val="10"/>
        </w:numPr>
        <w:tabs>
          <w:tab w:val="clear" w:pos="720"/>
        </w:tabs>
        <w:spacing w:after="0" w:line="240" w:lineRule="auto"/>
        <w:ind w:left="567" w:hanging="567"/>
        <w:jc w:val="both"/>
        <w:rPr>
          <w:rFonts w:ascii="Arial" w:hAnsi="Arial" w:cs="Arial"/>
          <w:color w:val="000000"/>
          <w:sz w:val="20"/>
          <w:szCs w:val="20"/>
          <w:lang w:val="es-MX"/>
        </w:rPr>
      </w:pPr>
      <w:r w:rsidRPr="007D2F06">
        <w:rPr>
          <w:rFonts w:ascii="Arial" w:hAnsi="Arial" w:cs="Arial"/>
          <w:color w:val="000000"/>
          <w:sz w:val="20"/>
          <w:szCs w:val="20"/>
          <w:lang w:val="es-MX"/>
        </w:rPr>
        <w:t>El Contrato</w:t>
      </w:r>
      <w:r w:rsidR="008B439C" w:rsidRPr="007D2F06">
        <w:rPr>
          <w:rFonts w:ascii="Arial" w:hAnsi="Arial" w:cs="Arial"/>
          <w:color w:val="000000"/>
          <w:sz w:val="20"/>
          <w:szCs w:val="20"/>
          <w:lang w:val="es-MX"/>
        </w:rPr>
        <w:t xml:space="preserve"> de FIDEICOMISO el cual tiene asignado el número 80082 en los registros de la FIDUCIARIA.</w:t>
      </w:r>
    </w:p>
    <w:p w14:paraId="4860EFF4" w14:textId="77777777" w:rsidR="008B439C" w:rsidRPr="007D2F06" w:rsidRDefault="008B439C" w:rsidP="008B439C">
      <w:pPr>
        <w:tabs>
          <w:tab w:val="num" w:pos="480"/>
        </w:tabs>
        <w:ind w:left="480" w:hanging="480"/>
        <w:jc w:val="both"/>
        <w:rPr>
          <w:rFonts w:ascii="Arial" w:hAnsi="Arial" w:cs="Arial"/>
          <w:color w:val="000000"/>
          <w:sz w:val="20"/>
          <w:szCs w:val="20"/>
        </w:rPr>
      </w:pPr>
    </w:p>
    <w:p w14:paraId="49E22D98" w14:textId="77777777" w:rsidR="008B439C" w:rsidRPr="007D2F06" w:rsidRDefault="008B439C" w:rsidP="0019454A">
      <w:pPr>
        <w:pStyle w:val="Prrafodelista1"/>
        <w:numPr>
          <w:ilvl w:val="0"/>
          <w:numId w:val="10"/>
        </w:numPr>
        <w:tabs>
          <w:tab w:val="clear" w:pos="720"/>
        </w:tabs>
        <w:spacing w:after="0" w:line="240" w:lineRule="auto"/>
        <w:ind w:left="567" w:hanging="567"/>
        <w:jc w:val="both"/>
        <w:rPr>
          <w:rFonts w:ascii="Arial" w:hAnsi="Arial" w:cs="Arial"/>
          <w:color w:val="000000"/>
          <w:sz w:val="20"/>
          <w:szCs w:val="20"/>
          <w:lang w:val="es-MX"/>
        </w:rPr>
      </w:pPr>
      <w:r w:rsidRPr="007D2F06">
        <w:rPr>
          <w:rFonts w:ascii="Arial" w:hAnsi="Arial" w:cs="Arial"/>
          <w:color w:val="000000"/>
          <w:sz w:val="20"/>
          <w:szCs w:val="20"/>
          <w:lang w:val="es-MX"/>
        </w:rPr>
        <w:t>Asimismo, al constituirse el FIDEICOMISO la Coordinación General del Programa Nacional de Apoyo para las Empresas de Solidaridad (FONAES), realizó una aportación por la cantidad de $2’000,000.00 (Dos millones de pesos, 00/100 Moneda Nacional) con el fin de impulsar la productividad, fortaleciendo el fondo revolvente formado por el Fideicomitente. Dicha aportación se integró al patrimonio fideicomitido para financiamiento, capacitación y asistencia técnica. Asimismo, con fecha 7 de julio de 1993 el Fideicomiso restituyó a FONAES la cantidad de $500,000.00 (Quinientos mil pesos, 00/100 Moneda Nacional), subsistiendo una aportación total de FONAES por $1’500,000.00 (Un millón quinientos mil pesos, 00/100 Moneda Nacional).</w:t>
      </w:r>
    </w:p>
    <w:p w14:paraId="04FC04C7" w14:textId="77777777" w:rsidR="008B439C" w:rsidRPr="007D2F06" w:rsidRDefault="008B439C" w:rsidP="0019454A">
      <w:pPr>
        <w:pStyle w:val="Prrafodelista"/>
        <w:ind w:left="567"/>
        <w:jc w:val="both"/>
        <w:rPr>
          <w:rFonts w:ascii="Arial" w:eastAsia="Times New Roman" w:hAnsi="Arial" w:cs="Arial"/>
          <w:color w:val="000000"/>
          <w:sz w:val="20"/>
          <w:szCs w:val="20"/>
        </w:rPr>
      </w:pPr>
    </w:p>
    <w:p w14:paraId="534FF0A0" w14:textId="77777777" w:rsidR="008B439C" w:rsidRPr="007D2F06" w:rsidRDefault="008B439C" w:rsidP="0019454A">
      <w:pPr>
        <w:pStyle w:val="Prrafodelista"/>
        <w:ind w:left="567"/>
        <w:jc w:val="both"/>
        <w:rPr>
          <w:rFonts w:ascii="Arial" w:eastAsia="Times New Roman" w:hAnsi="Arial" w:cs="Arial"/>
          <w:color w:val="000000"/>
          <w:sz w:val="20"/>
          <w:szCs w:val="20"/>
        </w:rPr>
      </w:pPr>
      <w:r w:rsidRPr="007D2F06">
        <w:rPr>
          <w:rFonts w:ascii="Arial" w:eastAsia="Times New Roman" w:hAnsi="Arial" w:cs="Arial"/>
          <w:color w:val="000000"/>
          <w:sz w:val="20"/>
          <w:szCs w:val="20"/>
        </w:rPr>
        <w:t>Posteriormente, el 10 de marzo de 1998, FONAES y el Gobierno del Estado de Guanajuato constituyeron el Fondo en cuenta bancaria denominado “Fondo de Inversión y Reinversión” para la creación y apoyo de microempresas en el Estado de Guanajuato (FOIR), aportando cada una de las partes $3’000,000 (tres millones de pesos, 00/100 Moneda Nacional), acordándose que el Fideicomiso sería el administrador de dichos recursos.</w:t>
      </w:r>
    </w:p>
    <w:p w14:paraId="3CCF1C04" w14:textId="77777777" w:rsidR="008B439C" w:rsidRPr="007D2F06" w:rsidRDefault="008B439C" w:rsidP="008B439C">
      <w:pPr>
        <w:pStyle w:val="Prrafodelista1"/>
        <w:numPr>
          <w:ilvl w:val="0"/>
          <w:numId w:val="10"/>
        </w:numPr>
        <w:tabs>
          <w:tab w:val="clear" w:pos="720"/>
        </w:tabs>
        <w:spacing w:after="0" w:line="240" w:lineRule="auto"/>
        <w:ind w:left="567" w:hanging="567"/>
        <w:jc w:val="both"/>
        <w:rPr>
          <w:rFonts w:ascii="Arial" w:hAnsi="Arial" w:cs="Arial"/>
          <w:color w:val="000000"/>
          <w:sz w:val="20"/>
          <w:szCs w:val="20"/>
          <w:lang w:val="es-MX"/>
        </w:rPr>
      </w:pPr>
      <w:r w:rsidRPr="007D2F06">
        <w:rPr>
          <w:rFonts w:ascii="Arial" w:hAnsi="Arial" w:cs="Arial"/>
          <w:color w:val="000000"/>
          <w:sz w:val="20"/>
          <w:szCs w:val="20"/>
          <w:lang w:val="es-MX"/>
        </w:rPr>
        <w:t>Con fecha 13 de junio del 2001, el FIDEICOMITENTE y la FIDUCIARIA, mediante la suscripción del convenio respectivo, con la intervención del FONDO PARA LA PARTICIPACIÓN DE RIESGOS, modificaron el FIDEICOMISO, con el objeto de fomentar y fortalecer las actividades productivas de la microempresa en el Estado de Guanajuato, mediante la adición a los fines del FIDEICOMISO de la posibilidad de participar en el riesgo crediticio con el FONDO PARA LA PARTICIPACIÓN DE RIESGOS.</w:t>
      </w:r>
    </w:p>
    <w:p w14:paraId="7072A2E3" w14:textId="77777777" w:rsidR="008B439C" w:rsidRPr="007D2F06" w:rsidRDefault="008B439C" w:rsidP="008B439C">
      <w:pPr>
        <w:pStyle w:val="Prrafodelista1"/>
        <w:tabs>
          <w:tab w:val="num" w:pos="567"/>
        </w:tabs>
        <w:spacing w:after="0" w:line="240" w:lineRule="auto"/>
        <w:ind w:left="567" w:hanging="567"/>
        <w:rPr>
          <w:rFonts w:ascii="Arial" w:hAnsi="Arial" w:cs="Arial"/>
          <w:color w:val="000000"/>
          <w:sz w:val="20"/>
          <w:szCs w:val="20"/>
          <w:lang w:val="es-MX"/>
        </w:rPr>
      </w:pPr>
    </w:p>
    <w:p w14:paraId="78DFCBB5" w14:textId="77777777" w:rsidR="008B439C" w:rsidRPr="007D2F06" w:rsidRDefault="008B439C" w:rsidP="008B439C">
      <w:pPr>
        <w:pStyle w:val="Prrafodelista1"/>
        <w:numPr>
          <w:ilvl w:val="0"/>
          <w:numId w:val="10"/>
        </w:numPr>
        <w:tabs>
          <w:tab w:val="clear" w:pos="720"/>
        </w:tabs>
        <w:spacing w:after="0" w:line="240" w:lineRule="auto"/>
        <w:ind w:left="567" w:hanging="567"/>
        <w:jc w:val="both"/>
        <w:rPr>
          <w:rFonts w:ascii="Arial" w:hAnsi="Arial" w:cs="Arial"/>
          <w:color w:val="000000"/>
          <w:sz w:val="20"/>
          <w:szCs w:val="20"/>
          <w:lang w:val="es-MX"/>
        </w:rPr>
      </w:pPr>
      <w:r w:rsidRPr="007D2F06">
        <w:rPr>
          <w:rFonts w:ascii="Arial" w:hAnsi="Arial" w:cs="Arial"/>
          <w:color w:val="000000"/>
          <w:sz w:val="20"/>
          <w:szCs w:val="20"/>
          <w:lang w:val="es-MX"/>
        </w:rPr>
        <w:t>Con fecha 17 de julio de 2003, se celebró un convenio modificatorio al FIDEICOMISO, por medio del cual se estableció con el FONDO PARA LA PARTICIPACIÓN DE RIESGOS un nuevo esquema de garantías.</w:t>
      </w:r>
    </w:p>
    <w:p w14:paraId="3C96D8AA" w14:textId="77777777" w:rsidR="008B439C" w:rsidRPr="007D2F06" w:rsidRDefault="008B439C" w:rsidP="008B439C">
      <w:pPr>
        <w:pStyle w:val="Prrafodelista1"/>
        <w:tabs>
          <w:tab w:val="num" w:pos="567"/>
        </w:tabs>
        <w:spacing w:after="0" w:line="240" w:lineRule="auto"/>
        <w:ind w:left="567" w:hanging="567"/>
        <w:rPr>
          <w:rFonts w:ascii="Arial" w:hAnsi="Arial" w:cs="Arial"/>
          <w:color w:val="000000"/>
          <w:sz w:val="20"/>
          <w:szCs w:val="20"/>
          <w:lang w:val="es-MX"/>
        </w:rPr>
      </w:pPr>
    </w:p>
    <w:p w14:paraId="0202B99E" w14:textId="77777777" w:rsidR="008B439C" w:rsidRPr="007D2F06" w:rsidRDefault="008B439C" w:rsidP="008B439C">
      <w:pPr>
        <w:pStyle w:val="Prrafodelista1"/>
        <w:numPr>
          <w:ilvl w:val="0"/>
          <w:numId w:val="10"/>
        </w:numPr>
        <w:tabs>
          <w:tab w:val="clear" w:pos="720"/>
        </w:tabs>
        <w:spacing w:after="0" w:line="240" w:lineRule="auto"/>
        <w:ind w:left="567" w:hanging="567"/>
        <w:jc w:val="both"/>
        <w:rPr>
          <w:rFonts w:ascii="Arial" w:hAnsi="Arial" w:cs="Arial"/>
          <w:color w:val="000000"/>
          <w:sz w:val="20"/>
          <w:szCs w:val="20"/>
          <w:lang w:val="es-MX"/>
        </w:rPr>
      </w:pPr>
      <w:r w:rsidRPr="007D2F06">
        <w:rPr>
          <w:rFonts w:ascii="Arial" w:hAnsi="Arial" w:cs="Arial"/>
          <w:color w:val="000000"/>
          <w:sz w:val="20"/>
          <w:szCs w:val="20"/>
          <w:lang w:val="es-MX"/>
        </w:rPr>
        <w:t>Con fecha 4 de noviembre de 2005, se celebró un convenio modificatorio al FIDEICOMISO, por medio del cual se buscó incentivar de mayor manera el apoyo a emprendedores y empresas de micro, pequeñas y medianas empresas del Estado de Guanajuato.</w:t>
      </w:r>
    </w:p>
    <w:p w14:paraId="3D979D4B" w14:textId="77777777" w:rsidR="008B439C" w:rsidRPr="007D2F06" w:rsidRDefault="008B439C" w:rsidP="008B439C">
      <w:pPr>
        <w:pStyle w:val="Prrafodelista1"/>
        <w:tabs>
          <w:tab w:val="num" w:pos="567"/>
        </w:tabs>
        <w:spacing w:after="0" w:line="240" w:lineRule="auto"/>
        <w:ind w:left="567" w:hanging="567"/>
        <w:rPr>
          <w:rFonts w:ascii="Arial" w:hAnsi="Arial" w:cs="Arial"/>
          <w:color w:val="000000"/>
          <w:sz w:val="20"/>
          <w:szCs w:val="20"/>
          <w:lang w:val="es-MX"/>
        </w:rPr>
      </w:pPr>
    </w:p>
    <w:p w14:paraId="7C7A173E" w14:textId="77777777" w:rsidR="008B439C" w:rsidRPr="00977706" w:rsidRDefault="008B439C" w:rsidP="0019454A">
      <w:pPr>
        <w:pStyle w:val="Prrafodelista1"/>
        <w:numPr>
          <w:ilvl w:val="0"/>
          <w:numId w:val="10"/>
        </w:numPr>
        <w:tabs>
          <w:tab w:val="clear" w:pos="720"/>
        </w:tabs>
        <w:spacing w:after="0" w:line="240" w:lineRule="auto"/>
        <w:ind w:left="567" w:hanging="567"/>
        <w:jc w:val="both"/>
        <w:rPr>
          <w:rFonts w:ascii="Arial" w:hAnsi="Arial" w:cs="Arial"/>
          <w:color w:val="000000"/>
          <w:sz w:val="20"/>
          <w:szCs w:val="20"/>
          <w:lang w:val="es-MX"/>
        </w:rPr>
      </w:pPr>
      <w:r w:rsidRPr="007D2F06">
        <w:rPr>
          <w:rFonts w:ascii="Arial" w:hAnsi="Arial" w:cs="Arial"/>
          <w:color w:val="000000"/>
          <w:sz w:val="20"/>
          <w:szCs w:val="20"/>
          <w:lang w:val="es-MX"/>
        </w:rPr>
        <w:t>Con fecha 31 de julio de 2008, se celebró un convenio modificatorio al contrato de FIDEICOMISO, a efecto de habilitarlo como Intermediario Financiero Especializado con el Fideicomiso de Fomento Minero de la Secretaría de Economía del Gobierno Federal (FIFOMI) para el apoyo financiero a las mic</w:t>
      </w:r>
      <w:r w:rsidRPr="00977706">
        <w:rPr>
          <w:rFonts w:ascii="Arial" w:hAnsi="Arial" w:cs="Arial"/>
          <w:color w:val="000000"/>
          <w:sz w:val="20"/>
          <w:szCs w:val="20"/>
          <w:lang w:val="es-MX"/>
        </w:rPr>
        <w:t>ro, pequeñas y medianas empresas de la cadena productiva de los minerales en el Estado de Guanajuato.</w:t>
      </w:r>
    </w:p>
    <w:p w14:paraId="72DAA3ED" w14:textId="77777777" w:rsidR="008B439C" w:rsidRPr="00AA1066" w:rsidRDefault="008B439C" w:rsidP="0019454A">
      <w:pPr>
        <w:pStyle w:val="Prrafodelista"/>
        <w:ind w:left="567"/>
        <w:jc w:val="both"/>
        <w:rPr>
          <w:rFonts w:ascii="Arial" w:eastAsia="Times New Roman" w:hAnsi="Arial" w:cs="Arial"/>
          <w:color w:val="000000"/>
          <w:sz w:val="20"/>
          <w:szCs w:val="20"/>
        </w:rPr>
      </w:pPr>
    </w:p>
    <w:p w14:paraId="48CFA56C" w14:textId="77777777" w:rsidR="008B439C" w:rsidRDefault="008B439C" w:rsidP="0019454A">
      <w:pPr>
        <w:pStyle w:val="Prrafodelista"/>
        <w:ind w:left="567"/>
        <w:jc w:val="both"/>
        <w:rPr>
          <w:rFonts w:ascii="Arial" w:eastAsia="Times New Roman" w:hAnsi="Arial" w:cs="Arial"/>
          <w:color w:val="000000"/>
          <w:sz w:val="20"/>
          <w:szCs w:val="20"/>
        </w:rPr>
      </w:pPr>
      <w:r w:rsidRPr="00AA1066">
        <w:rPr>
          <w:rFonts w:ascii="Arial" w:eastAsia="Times New Roman" w:hAnsi="Arial" w:cs="Arial"/>
          <w:color w:val="000000"/>
          <w:sz w:val="20"/>
          <w:szCs w:val="20"/>
        </w:rPr>
        <w:t xml:space="preserve">En el FIDEICOMISO existió la participación directa del organismo público denominado «Sistema Estatal de Financiamiento al Desarrollo (SEFIDE)», el cual, en virtud de sus atribuciones tenía vinculación </w:t>
      </w:r>
      <w:r w:rsidRPr="00AA1066">
        <w:rPr>
          <w:rFonts w:ascii="Arial" w:eastAsia="Times New Roman" w:hAnsi="Arial" w:cs="Arial"/>
          <w:color w:val="000000"/>
          <w:sz w:val="20"/>
          <w:szCs w:val="20"/>
        </w:rPr>
        <w:lastRenderedPageBreak/>
        <w:t>directa con la operación de tal entidad paraestatal, a través de su presencia en el Comité Técnico de "EL FIDEICOMISO".</w:t>
      </w:r>
    </w:p>
    <w:p w14:paraId="6109F07B" w14:textId="77777777" w:rsidR="0019454A" w:rsidRPr="002320EE" w:rsidRDefault="0019454A" w:rsidP="0019454A">
      <w:pPr>
        <w:pStyle w:val="Prrafodelista"/>
        <w:ind w:left="567"/>
        <w:jc w:val="both"/>
        <w:rPr>
          <w:rFonts w:ascii="Arial" w:hAnsi="Arial" w:cs="Arial"/>
          <w:sz w:val="20"/>
          <w:szCs w:val="20"/>
        </w:rPr>
      </w:pPr>
    </w:p>
    <w:p w14:paraId="555B8D20" w14:textId="77777777" w:rsidR="008B439C" w:rsidRDefault="008B439C" w:rsidP="0019454A">
      <w:pPr>
        <w:pStyle w:val="Prrafodelista"/>
        <w:ind w:left="567"/>
        <w:jc w:val="both"/>
        <w:rPr>
          <w:rFonts w:ascii="Arial" w:eastAsia="Times New Roman" w:hAnsi="Arial" w:cs="Arial"/>
          <w:color w:val="000000"/>
          <w:sz w:val="20"/>
          <w:szCs w:val="20"/>
        </w:rPr>
      </w:pPr>
      <w:r w:rsidRPr="00AA1066">
        <w:rPr>
          <w:rFonts w:ascii="Arial" w:eastAsia="Times New Roman" w:hAnsi="Arial" w:cs="Arial"/>
          <w:color w:val="000000"/>
          <w:sz w:val="20"/>
          <w:szCs w:val="20"/>
        </w:rPr>
        <w:t xml:space="preserve">Con fecha 19 de Noviembre de 2010 fue publicado en el Periódico Oficial del Gobierno del Estado de Guanajuato número 185 segunda parte, el Decreto Gubernativo número 155 mediante el cual se extingue el organismo público descentralizado, denominado </w:t>
      </w:r>
      <w:r w:rsidR="0019454A">
        <w:rPr>
          <w:rFonts w:ascii="Arial" w:eastAsia="Times New Roman" w:hAnsi="Arial" w:cs="Arial"/>
          <w:color w:val="000000"/>
          <w:sz w:val="20"/>
          <w:szCs w:val="20"/>
        </w:rPr>
        <w:t>“</w:t>
      </w:r>
      <w:r w:rsidRPr="00AA1066">
        <w:rPr>
          <w:rFonts w:ascii="Arial" w:eastAsia="Times New Roman" w:hAnsi="Arial" w:cs="Arial"/>
          <w:color w:val="000000"/>
          <w:sz w:val="20"/>
          <w:szCs w:val="20"/>
        </w:rPr>
        <w:t>Sistema Estatal de Financiamiento al Desarrollo del Estado de Guanajuato</w:t>
      </w:r>
      <w:r w:rsidR="0019454A">
        <w:rPr>
          <w:rFonts w:ascii="Arial" w:eastAsia="Times New Roman" w:hAnsi="Arial" w:cs="Arial"/>
          <w:color w:val="000000"/>
          <w:sz w:val="20"/>
          <w:szCs w:val="20"/>
        </w:rPr>
        <w:t>”</w:t>
      </w:r>
      <w:r w:rsidRPr="00AA1066">
        <w:rPr>
          <w:rFonts w:ascii="Arial" w:eastAsia="Times New Roman" w:hAnsi="Arial" w:cs="Arial"/>
          <w:color w:val="000000"/>
          <w:sz w:val="20"/>
          <w:szCs w:val="20"/>
        </w:rPr>
        <w:t xml:space="preserve">, conocido por sus siglas como SEFIDE, la cual ocupaba el cargo de Presidente del Comité Técnico del FIDEICOMISO, y conforme al artículo 5 del mismo decreto, la Secretaría de Desarrollo Económico Sustentable, la sustituye en todos sus derechos y obligaciones y asume los compromisos adquiridos por el </w:t>
      </w:r>
      <w:r w:rsidR="0019454A">
        <w:rPr>
          <w:rFonts w:ascii="Arial" w:eastAsia="Times New Roman" w:hAnsi="Arial" w:cs="Arial"/>
          <w:color w:val="000000"/>
          <w:sz w:val="20"/>
          <w:szCs w:val="20"/>
        </w:rPr>
        <w:t>“</w:t>
      </w:r>
      <w:r w:rsidRPr="00AA1066">
        <w:rPr>
          <w:rFonts w:ascii="Arial" w:eastAsia="Times New Roman" w:hAnsi="Arial" w:cs="Arial"/>
          <w:color w:val="000000"/>
          <w:sz w:val="20"/>
          <w:szCs w:val="20"/>
        </w:rPr>
        <w:t>Sistema Estatal de Financiamiento al Desarrollo del Estado de Guanajuato</w:t>
      </w:r>
      <w:r w:rsidR="0019454A">
        <w:rPr>
          <w:rFonts w:ascii="Arial" w:eastAsia="Times New Roman" w:hAnsi="Arial" w:cs="Arial"/>
          <w:color w:val="000000"/>
          <w:sz w:val="20"/>
          <w:szCs w:val="20"/>
        </w:rPr>
        <w:t>”</w:t>
      </w:r>
      <w:r w:rsidRPr="00AA1066">
        <w:rPr>
          <w:rFonts w:ascii="Arial" w:eastAsia="Times New Roman" w:hAnsi="Arial" w:cs="Arial"/>
          <w:color w:val="000000"/>
          <w:sz w:val="20"/>
          <w:szCs w:val="20"/>
        </w:rPr>
        <w:t>, debiendo cumplir íntegramente con ellos.</w:t>
      </w:r>
    </w:p>
    <w:p w14:paraId="3441FACA" w14:textId="77777777" w:rsidR="0019454A" w:rsidRPr="00AA1066" w:rsidRDefault="0019454A" w:rsidP="0019454A">
      <w:pPr>
        <w:pStyle w:val="Prrafodelista"/>
        <w:ind w:left="567"/>
        <w:jc w:val="both"/>
        <w:rPr>
          <w:rFonts w:ascii="Arial" w:eastAsia="Times New Roman" w:hAnsi="Arial" w:cs="Arial"/>
          <w:color w:val="000000"/>
          <w:sz w:val="20"/>
          <w:szCs w:val="20"/>
        </w:rPr>
      </w:pPr>
    </w:p>
    <w:p w14:paraId="623EDC04" w14:textId="77777777" w:rsidR="008B439C" w:rsidRPr="0019454A" w:rsidRDefault="008B439C" w:rsidP="0019454A">
      <w:pPr>
        <w:pStyle w:val="Prrafodelista"/>
        <w:ind w:left="567"/>
        <w:jc w:val="both"/>
        <w:rPr>
          <w:rFonts w:ascii="Arial" w:eastAsia="Times New Roman" w:hAnsi="Arial" w:cs="Arial"/>
          <w:color w:val="000000"/>
          <w:sz w:val="20"/>
          <w:szCs w:val="20"/>
        </w:rPr>
      </w:pPr>
      <w:r w:rsidRPr="0019454A">
        <w:rPr>
          <w:rFonts w:ascii="Arial" w:eastAsia="Times New Roman" w:hAnsi="Arial" w:cs="Arial"/>
          <w:color w:val="000000"/>
          <w:sz w:val="20"/>
          <w:szCs w:val="20"/>
        </w:rPr>
        <w:t>De igual manera, en el artículo Segundo Transitorio del mismo instrumento administrativo, se establece que la entonces Secretaría de Finanzas y Administración determinaría las reestructuras conducentes y realizaría los ajustes necesarios a los instrumentos jurídicos de los fideicomisos que operaba el SEFIDE, con el fin de garantizar su continuidad y funcionamiento, para lo cual se estableció la debida coordinación con la Secretaría de Desarrollo Económico Sustentable</w:t>
      </w:r>
      <w:r w:rsidR="00BA12FC" w:rsidRPr="0019454A">
        <w:rPr>
          <w:rFonts w:ascii="Arial" w:eastAsia="Times New Roman" w:hAnsi="Arial" w:cs="Arial"/>
          <w:color w:val="000000"/>
          <w:sz w:val="20"/>
          <w:szCs w:val="20"/>
        </w:rPr>
        <w:t>.</w:t>
      </w:r>
    </w:p>
    <w:p w14:paraId="208B6DFB" w14:textId="77777777" w:rsidR="008B439C" w:rsidRPr="00977706" w:rsidRDefault="008B439C" w:rsidP="008B439C">
      <w:pPr>
        <w:pStyle w:val="Prrafodelista1"/>
        <w:numPr>
          <w:ilvl w:val="0"/>
          <w:numId w:val="10"/>
        </w:numPr>
        <w:tabs>
          <w:tab w:val="clear" w:pos="720"/>
        </w:tabs>
        <w:spacing w:after="0" w:line="240" w:lineRule="auto"/>
        <w:ind w:left="567" w:hanging="567"/>
        <w:jc w:val="both"/>
        <w:rPr>
          <w:rFonts w:ascii="Arial" w:hAnsi="Arial" w:cs="Arial"/>
          <w:color w:val="000000"/>
          <w:sz w:val="20"/>
          <w:szCs w:val="20"/>
          <w:lang w:val="es-MX"/>
        </w:rPr>
      </w:pPr>
      <w:r w:rsidRPr="00977706">
        <w:rPr>
          <w:rFonts w:ascii="Arial" w:hAnsi="Arial" w:cs="Arial"/>
          <w:color w:val="000000"/>
          <w:sz w:val="20"/>
          <w:szCs w:val="20"/>
          <w:lang w:val="es-MX"/>
        </w:rPr>
        <w:t>En cumplimiento a lo anterior, se determinó la procedencia de adecuar el contenido del presente Contrato de Fideicomiso y el marco normativo de "EL FIDEICOMISO", a efecto de reestructurar su órgano de gobierno, sectorizando dicha entidad paraestatal a la Secretaría de Desarrollo Económico Sustentable.</w:t>
      </w:r>
    </w:p>
    <w:p w14:paraId="2006F893" w14:textId="77777777" w:rsidR="008B439C" w:rsidRPr="00977706" w:rsidRDefault="008B439C" w:rsidP="008B439C">
      <w:pPr>
        <w:pStyle w:val="Prrafodelista1"/>
        <w:spacing w:after="0" w:line="240" w:lineRule="auto"/>
        <w:jc w:val="both"/>
        <w:rPr>
          <w:rFonts w:ascii="Arial" w:hAnsi="Arial" w:cs="Arial"/>
          <w:color w:val="000000"/>
          <w:sz w:val="20"/>
          <w:szCs w:val="20"/>
          <w:lang w:val="es-MX"/>
        </w:rPr>
      </w:pPr>
    </w:p>
    <w:p w14:paraId="467AD055" w14:textId="77777777" w:rsidR="008B439C" w:rsidRDefault="008B439C" w:rsidP="008B439C">
      <w:pPr>
        <w:pStyle w:val="Prrafodelista1"/>
        <w:numPr>
          <w:ilvl w:val="0"/>
          <w:numId w:val="10"/>
        </w:numPr>
        <w:tabs>
          <w:tab w:val="clear" w:pos="720"/>
        </w:tabs>
        <w:spacing w:after="0" w:line="240" w:lineRule="auto"/>
        <w:ind w:left="567" w:hanging="567"/>
        <w:jc w:val="both"/>
        <w:rPr>
          <w:rFonts w:ascii="Arial" w:hAnsi="Arial" w:cs="Arial"/>
          <w:color w:val="000000"/>
          <w:sz w:val="20"/>
          <w:szCs w:val="20"/>
          <w:lang w:val="es-MX"/>
        </w:rPr>
      </w:pPr>
      <w:r w:rsidRPr="00977706">
        <w:rPr>
          <w:rFonts w:ascii="Arial" w:hAnsi="Arial" w:cs="Arial"/>
          <w:color w:val="000000"/>
          <w:sz w:val="20"/>
          <w:szCs w:val="20"/>
          <w:lang w:val="es-MX"/>
        </w:rPr>
        <w:t>Aunado a lo anterior, el Gobierno del Estado ha determinado un redimensionamiento en cuanto a la operación del FIDEICOMISO, para eficientar la administración de los programas de apoyo y el uso de sus recursos, se decidió modificar la estructura del patrimonio sin detrimento de la integración del mismo, mismo que al 25 de Octubre de 2013 ascendió a $104,636,232.50 (Ciento cuatro millones seiscientos treinta y seis mil, doscientos treinta y dos pesos 50/100 Moneda Nacional), así como un cambio en su denominación de “Fondo para el Financiamiento de las Empresas de Solidaridad del Estado de Guanajuato” a la de “Fondos Guanajuato de Financiamiento”, entre otros aspectos.</w:t>
      </w:r>
    </w:p>
    <w:p w14:paraId="709717CE" w14:textId="77777777" w:rsidR="00BA12FC" w:rsidRPr="00977706" w:rsidRDefault="00BA12FC" w:rsidP="00BA12FC">
      <w:pPr>
        <w:pStyle w:val="Prrafodelista1"/>
        <w:spacing w:after="0" w:line="240" w:lineRule="auto"/>
        <w:ind w:left="0"/>
        <w:jc w:val="both"/>
        <w:rPr>
          <w:rFonts w:ascii="Arial" w:hAnsi="Arial" w:cs="Arial"/>
          <w:color w:val="000000"/>
          <w:sz w:val="20"/>
          <w:szCs w:val="20"/>
          <w:lang w:val="es-MX"/>
        </w:rPr>
      </w:pPr>
    </w:p>
    <w:p w14:paraId="6F792C40" w14:textId="77777777" w:rsidR="007D1E76" w:rsidRPr="008A1738" w:rsidRDefault="008B439C" w:rsidP="00877DC1">
      <w:pPr>
        <w:pStyle w:val="Prrafodelista"/>
        <w:ind w:left="567"/>
        <w:jc w:val="both"/>
        <w:rPr>
          <w:rFonts w:ascii="Arial" w:hAnsi="Arial" w:cs="Arial"/>
          <w:sz w:val="20"/>
          <w:szCs w:val="20"/>
        </w:rPr>
      </w:pPr>
      <w:r w:rsidRPr="00877DC1">
        <w:rPr>
          <w:rFonts w:ascii="Arial" w:eastAsia="Times New Roman" w:hAnsi="Arial" w:cs="Arial"/>
          <w:color w:val="000000"/>
          <w:sz w:val="20"/>
          <w:szCs w:val="20"/>
        </w:rPr>
        <w:t xml:space="preserve">Por lo anterior, con fecha 15 de </w:t>
      </w:r>
      <w:r w:rsidR="002565EE" w:rsidRPr="00877DC1">
        <w:rPr>
          <w:rFonts w:ascii="Arial" w:eastAsia="Times New Roman" w:hAnsi="Arial" w:cs="Arial"/>
          <w:color w:val="000000"/>
          <w:sz w:val="20"/>
          <w:szCs w:val="20"/>
        </w:rPr>
        <w:t>octubre</w:t>
      </w:r>
      <w:r w:rsidRPr="00877DC1">
        <w:rPr>
          <w:rFonts w:ascii="Arial" w:eastAsia="Times New Roman" w:hAnsi="Arial" w:cs="Arial"/>
          <w:color w:val="000000"/>
          <w:sz w:val="20"/>
          <w:szCs w:val="20"/>
        </w:rPr>
        <w:t xml:space="preserve"> de 2013, mediante el Acuerdo 2013-10-15-02, el Comité Técnico del FIDEICOMISO acordó se realicen las modificaciones al FIDEICOMISO que se contienen en el presente convenio.</w:t>
      </w:r>
    </w:p>
    <w:p w14:paraId="16A37B2E" w14:textId="77777777" w:rsidR="00BA12FC" w:rsidRPr="008A1738" w:rsidRDefault="00BA12FC" w:rsidP="008B439C">
      <w:pPr>
        <w:tabs>
          <w:tab w:val="left" w:leader="underscore" w:pos="9639"/>
        </w:tabs>
        <w:spacing w:after="0" w:line="240" w:lineRule="auto"/>
        <w:jc w:val="both"/>
        <w:rPr>
          <w:rFonts w:ascii="Arial" w:hAnsi="Arial" w:cs="Arial"/>
          <w:sz w:val="20"/>
          <w:szCs w:val="20"/>
        </w:rPr>
      </w:pPr>
    </w:p>
    <w:p w14:paraId="18B944CB" w14:textId="77777777" w:rsidR="007D1E76"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e)</w:t>
      </w:r>
      <w:r w:rsidRPr="008A1738">
        <w:rPr>
          <w:rFonts w:ascii="Arial" w:hAnsi="Arial" w:cs="Arial"/>
          <w:sz w:val="20"/>
          <w:szCs w:val="20"/>
        </w:rPr>
        <w:t xml:space="preserve"> Consideraciones fiscales del ente: </w:t>
      </w:r>
      <w:r w:rsidR="00657009" w:rsidRPr="008A1738">
        <w:rPr>
          <w:rFonts w:ascii="Arial" w:hAnsi="Arial" w:cs="Arial"/>
          <w:sz w:val="20"/>
          <w:szCs w:val="20"/>
        </w:rPr>
        <w:t>R</w:t>
      </w:r>
      <w:r w:rsidRPr="008A1738">
        <w:rPr>
          <w:rFonts w:ascii="Arial" w:hAnsi="Arial" w:cs="Arial"/>
          <w:sz w:val="20"/>
          <w:szCs w:val="20"/>
        </w:rPr>
        <w:t>evelar el tipo de contribuciones que esté obligado a pagar o retener.</w:t>
      </w:r>
    </w:p>
    <w:p w14:paraId="1690D240" w14:textId="77777777" w:rsidR="0019454A" w:rsidRPr="008A1738" w:rsidRDefault="0019454A" w:rsidP="00CB41C4">
      <w:pPr>
        <w:tabs>
          <w:tab w:val="left" w:leader="underscore" w:pos="9639"/>
        </w:tabs>
        <w:spacing w:after="0" w:line="240" w:lineRule="auto"/>
        <w:jc w:val="both"/>
        <w:rPr>
          <w:rFonts w:ascii="Arial" w:hAnsi="Arial" w:cs="Arial"/>
          <w:sz w:val="20"/>
          <w:szCs w:val="20"/>
        </w:rPr>
      </w:pPr>
    </w:p>
    <w:p w14:paraId="4CDEA50F" w14:textId="77777777" w:rsidR="00410785" w:rsidRPr="008A1738" w:rsidRDefault="00410785" w:rsidP="00410785">
      <w:pPr>
        <w:pStyle w:val="Prrafodelista"/>
        <w:spacing w:after="0" w:line="240" w:lineRule="auto"/>
        <w:ind w:left="0"/>
        <w:jc w:val="both"/>
        <w:rPr>
          <w:rFonts w:ascii="Arial" w:eastAsia="Times New Roman" w:hAnsi="Arial" w:cs="Arial"/>
          <w:color w:val="000000"/>
          <w:sz w:val="20"/>
          <w:szCs w:val="20"/>
        </w:rPr>
      </w:pPr>
      <w:r w:rsidRPr="008A1738">
        <w:rPr>
          <w:rFonts w:ascii="Arial" w:eastAsia="Times New Roman" w:hAnsi="Arial" w:cs="Arial"/>
          <w:color w:val="000000"/>
          <w:sz w:val="20"/>
          <w:szCs w:val="20"/>
        </w:rPr>
        <w:t>El régimen fiscal del Fondo se ubica en el marco del Título III de la Ley del Impuesto Sobre la Renta (LISR) como persona moral no contribuyente, sector gobierno.</w:t>
      </w:r>
    </w:p>
    <w:p w14:paraId="146F190D" w14:textId="77777777" w:rsidR="00410785" w:rsidRPr="008A1738" w:rsidRDefault="00410785" w:rsidP="00410785">
      <w:pPr>
        <w:pStyle w:val="Prrafodelista"/>
        <w:spacing w:after="0" w:line="240" w:lineRule="auto"/>
        <w:ind w:left="0"/>
        <w:jc w:val="both"/>
        <w:rPr>
          <w:rFonts w:ascii="Arial" w:eastAsia="Times New Roman" w:hAnsi="Arial" w:cs="Arial"/>
          <w:color w:val="000000"/>
          <w:sz w:val="20"/>
          <w:szCs w:val="20"/>
        </w:rPr>
      </w:pPr>
      <w:r w:rsidRPr="008A1738">
        <w:rPr>
          <w:rFonts w:ascii="Arial" w:eastAsia="Times New Roman" w:hAnsi="Arial" w:cs="Arial"/>
          <w:color w:val="000000"/>
          <w:sz w:val="20"/>
          <w:szCs w:val="20"/>
        </w:rPr>
        <w:t xml:space="preserve">Conforme al cual se considera como remanente sujeto al pago del ISR, el importe de las erogaciones que efectúa y no reúnen los requisitos fiscales para su deducibilidad. </w:t>
      </w:r>
    </w:p>
    <w:p w14:paraId="0520D115" w14:textId="77777777" w:rsidR="008D6298" w:rsidRDefault="008D6298" w:rsidP="006A5AC6">
      <w:pPr>
        <w:pStyle w:val="Prrafodelista"/>
        <w:spacing w:after="0" w:line="240" w:lineRule="auto"/>
        <w:ind w:left="0"/>
        <w:jc w:val="both"/>
        <w:rPr>
          <w:rFonts w:ascii="Arial" w:eastAsia="Times New Roman" w:hAnsi="Arial" w:cs="Arial"/>
          <w:color w:val="000000"/>
          <w:sz w:val="20"/>
          <w:szCs w:val="20"/>
        </w:rPr>
      </w:pPr>
    </w:p>
    <w:p w14:paraId="5701BF6F" w14:textId="77777777" w:rsidR="00410785" w:rsidRPr="00977706" w:rsidRDefault="00410785" w:rsidP="006A5AC6">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OBLIGACIONES FISCALES:</w:t>
      </w:r>
    </w:p>
    <w:p w14:paraId="7919F6FD" w14:textId="77777777" w:rsidR="008D6298" w:rsidRDefault="008D6298" w:rsidP="006A5AC6">
      <w:pPr>
        <w:pStyle w:val="Prrafodelista"/>
        <w:spacing w:after="0" w:line="240" w:lineRule="auto"/>
        <w:ind w:left="0"/>
        <w:jc w:val="both"/>
        <w:rPr>
          <w:rFonts w:ascii="Arial" w:eastAsia="Times New Roman" w:hAnsi="Arial" w:cs="Arial"/>
          <w:color w:val="000000"/>
          <w:sz w:val="20"/>
          <w:szCs w:val="20"/>
        </w:rPr>
      </w:pPr>
    </w:p>
    <w:p w14:paraId="742536CD"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IMPUESTOS FEDERALES</w:t>
      </w:r>
    </w:p>
    <w:p w14:paraId="52B45015"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Entero de retenciones mensuales de ISR por sueldos y salarios</w:t>
      </w:r>
    </w:p>
    <w:p w14:paraId="6A7107F9"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Entero mensual de retención de ISR por servicios profesionales</w:t>
      </w:r>
    </w:p>
    <w:p w14:paraId="0D4BCD34"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Entero mensual de retenciones de ISR de ingresos por arrendamiento</w:t>
      </w:r>
    </w:p>
    <w:p w14:paraId="300BED07"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 xml:space="preserve">Declaración informativa anual de Ingresos y Erogaciones </w:t>
      </w:r>
    </w:p>
    <w:p w14:paraId="5490F4AB"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Declaración informativa anual de retenciones de ISR por sueldos y salarios e ingresos asimilados a salarios.</w:t>
      </w:r>
    </w:p>
    <w:p w14:paraId="580716C4"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Declaración Informativa anual del subsidio para el empleo</w:t>
      </w:r>
    </w:p>
    <w:p w14:paraId="23014475"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 xml:space="preserve">Declaración informativa anual de pagos y retenciones de servicios profesionales. </w:t>
      </w:r>
    </w:p>
    <w:p w14:paraId="02ABFB86" w14:textId="77777777" w:rsidR="00410785" w:rsidRPr="00977706" w:rsidRDefault="00410785" w:rsidP="006A5AC6">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lastRenderedPageBreak/>
        <w:t>Declaración informativa anual de retenciones de ISR por arrendamiento de inmuebles</w:t>
      </w:r>
    </w:p>
    <w:p w14:paraId="1ADCEDF1" w14:textId="77777777" w:rsidR="00410785" w:rsidRPr="00977706" w:rsidRDefault="00410785" w:rsidP="006A5AC6">
      <w:pPr>
        <w:pStyle w:val="Prrafodelista"/>
        <w:spacing w:after="0" w:line="240" w:lineRule="auto"/>
        <w:ind w:left="0"/>
        <w:jc w:val="both"/>
        <w:rPr>
          <w:rFonts w:ascii="Arial" w:eastAsia="Times New Roman" w:hAnsi="Arial" w:cs="Arial"/>
          <w:color w:val="000000"/>
          <w:sz w:val="20"/>
          <w:szCs w:val="20"/>
        </w:rPr>
      </w:pPr>
    </w:p>
    <w:p w14:paraId="28A0FB1D" w14:textId="77777777" w:rsidR="00410785" w:rsidRPr="00977706" w:rsidRDefault="00410785" w:rsidP="006A5AC6">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IMPUESTOS ESTATALES</w:t>
      </w:r>
    </w:p>
    <w:p w14:paraId="42CE59BB" w14:textId="77777777" w:rsidR="00410785" w:rsidRPr="00977706" w:rsidRDefault="00410785" w:rsidP="006A5AC6">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Mensuales:</w:t>
      </w:r>
    </w:p>
    <w:p w14:paraId="01553EBE" w14:textId="77777777" w:rsidR="00410785" w:rsidRPr="00977706" w:rsidRDefault="00410785" w:rsidP="006A5AC6">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 xml:space="preserve">Cedular </w:t>
      </w:r>
      <w:r w:rsidR="009730A7">
        <w:rPr>
          <w:rFonts w:ascii="Arial" w:eastAsia="Times New Roman" w:hAnsi="Arial" w:cs="Arial"/>
          <w:color w:val="000000"/>
          <w:sz w:val="20"/>
          <w:szCs w:val="20"/>
        </w:rPr>
        <w:t>3</w:t>
      </w:r>
      <w:r w:rsidRPr="00977706">
        <w:rPr>
          <w:rFonts w:ascii="Arial" w:eastAsia="Times New Roman" w:hAnsi="Arial" w:cs="Arial"/>
          <w:color w:val="000000"/>
          <w:sz w:val="20"/>
          <w:szCs w:val="20"/>
        </w:rPr>
        <w:t>% sobre nómina</w:t>
      </w:r>
    </w:p>
    <w:p w14:paraId="3E54B067"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Entero de retenciones sobre servicios profesionales</w:t>
      </w:r>
    </w:p>
    <w:p w14:paraId="52002DCB" w14:textId="77777777" w:rsidR="00410785" w:rsidRPr="00977706" w:rsidRDefault="00410785" w:rsidP="00410785">
      <w:pPr>
        <w:pStyle w:val="Prrafodelista"/>
        <w:spacing w:after="0" w:line="240" w:lineRule="auto"/>
        <w:ind w:left="0"/>
        <w:jc w:val="both"/>
        <w:rPr>
          <w:rFonts w:ascii="Arial" w:eastAsia="Times New Roman" w:hAnsi="Arial" w:cs="Arial"/>
          <w:color w:val="000000"/>
          <w:sz w:val="20"/>
          <w:szCs w:val="20"/>
        </w:rPr>
      </w:pPr>
      <w:r w:rsidRPr="00977706">
        <w:rPr>
          <w:rFonts w:ascii="Arial" w:eastAsia="Times New Roman" w:hAnsi="Arial" w:cs="Arial"/>
          <w:color w:val="000000"/>
          <w:sz w:val="20"/>
          <w:szCs w:val="20"/>
        </w:rPr>
        <w:t>Entero de retenciones sobre arrendamiento de bienes inmuebles</w:t>
      </w:r>
    </w:p>
    <w:p w14:paraId="6BE9A9E6" w14:textId="77777777" w:rsidR="009B7F8C" w:rsidRDefault="009B7F8C" w:rsidP="00410785">
      <w:pPr>
        <w:pStyle w:val="Prrafodelista"/>
        <w:spacing w:after="0" w:line="240" w:lineRule="auto"/>
        <w:ind w:hanging="720"/>
        <w:jc w:val="both"/>
        <w:rPr>
          <w:rFonts w:ascii="Arial" w:eastAsia="Times New Roman" w:hAnsi="Arial" w:cs="Arial"/>
          <w:color w:val="000000"/>
          <w:sz w:val="20"/>
          <w:szCs w:val="20"/>
        </w:rPr>
      </w:pPr>
    </w:p>
    <w:p w14:paraId="7E27BEA2" w14:textId="77777777" w:rsidR="00410785" w:rsidRPr="00977706" w:rsidRDefault="00410785" w:rsidP="00410785">
      <w:pPr>
        <w:pStyle w:val="Prrafodelista"/>
        <w:spacing w:after="0" w:line="240" w:lineRule="auto"/>
        <w:ind w:hanging="720"/>
        <w:jc w:val="both"/>
        <w:rPr>
          <w:rFonts w:ascii="Arial" w:eastAsia="Times New Roman" w:hAnsi="Arial" w:cs="Arial"/>
          <w:color w:val="000000"/>
          <w:sz w:val="20"/>
          <w:szCs w:val="20"/>
        </w:rPr>
      </w:pPr>
      <w:r w:rsidRPr="00977706">
        <w:rPr>
          <w:rFonts w:ascii="Arial" w:eastAsia="Times New Roman" w:hAnsi="Arial" w:cs="Arial"/>
          <w:color w:val="000000"/>
          <w:sz w:val="20"/>
          <w:szCs w:val="20"/>
        </w:rPr>
        <w:t>Anuales:</w:t>
      </w:r>
    </w:p>
    <w:p w14:paraId="55C94436" w14:textId="77777777" w:rsidR="00410785" w:rsidRPr="00977706" w:rsidRDefault="00410785" w:rsidP="00410785">
      <w:pPr>
        <w:pStyle w:val="Prrafodelista"/>
        <w:spacing w:after="0" w:line="240" w:lineRule="auto"/>
        <w:ind w:hanging="720"/>
        <w:jc w:val="both"/>
        <w:rPr>
          <w:rFonts w:ascii="Arial" w:eastAsia="Times New Roman" w:hAnsi="Arial" w:cs="Arial"/>
          <w:color w:val="000000"/>
          <w:sz w:val="20"/>
          <w:szCs w:val="20"/>
        </w:rPr>
      </w:pPr>
      <w:r w:rsidRPr="00977706">
        <w:rPr>
          <w:rFonts w:ascii="Arial" w:eastAsia="Times New Roman" w:hAnsi="Arial" w:cs="Arial"/>
          <w:color w:val="000000"/>
          <w:sz w:val="20"/>
          <w:szCs w:val="20"/>
        </w:rPr>
        <w:t>Informativa sobre nómina</w:t>
      </w:r>
    </w:p>
    <w:p w14:paraId="254AB318" w14:textId="77777777" w:rsidR="00410785" w:rsidRPr="00977706" w:rsidRDefault="00410785" w:rsidP="00410785">
      <w:pPr>
        <w:pStyle w:val="Prrafodelista"/>
        <w:spacing w:after="0" w:line="240" w:lineRule="auto"/>
        <w:ind w:hanging="720"/>
        <w:jc w:val="both"/>
        <w:rPr>
          <w:rFonts w:ascii="Arial" w:eastAsia="Times New Roman" w:hAnsi="Arial" w:cs="Arial"/>
          <w:color w:val="000000"/>
          <w:sz w:val="20"/>
          <w:szCs w:val="20"/>
        </w:rPr>
      </w:pPr>
      <w:r w:rsidRPr="00977706">
        <w:rPr>
          <w:rFonts w:ascii="Arial" w:eastAsia="Times New Roman" w:hAnsi="Arial" w:cs="Arial"/>
          <w:color w:val="000000"/>
          <w:sz w:val="20"/>
          <w:szCs w:val="20"/>
        </w:rPr>
        <w:t>Informativa sobre pagos efectuados por concepto de servicios profesionales</w:t>
      </w:r>
    </w:p>
    <w:p w14:paraId="3DC573A4" w14:textId="77777777" w:rsidR="00410785" w:rsidRPr="00977706" w:rsidRDefault="00410785" w:rsidP="00410785">
      <w:pPr>
        <w:pStyle w:val="Prrafodelista"/>
        <w:spacing w:after="0" w:line="240" w:lineRule="auto"/>
        <w:ind w:hanging="720"/>
        <w:jc w:val="both"/>
        <w:rPr>
          <w:rFonts w:ascii="Arial" w:eastAsia="Times New Roman" w:hAnsi="Arial" w:cs="Arial"/>
          <w:color w:val="000000"/>
          <w:sz w:val="20"/>
          <w:szCs w:val="20"/>
        </w:rPr>
      </w:pPr>
      <w:r w:rsidRPr="00977706">
        <w:rPr>
          <w:rFonts w:ascii="Arial" w:eastAsia="Times New Roman" w:hAnsi="Arial" w:cs="Arial"/>
          <w:color w:val="000000"/>
          <w:sz w:val="20"/>
          <w:szCs w:val="20"/>
        </w:rPr>
        <w:t>Informativa sobre pagos efectuados por concepto de arrendamiento de bienes inmuebles</w:t>
      </w:r>
    </w:p>
    <w:p w14:paraId="5AF21ED6" w14:textId="77777777" w:rsidR="00410785" w:rsidRPr="00BA12FC" w:rsidRDefault="00410785" w:rsidP="00410785">
      <w:pPr>
        <w:spacing w:after="0" w:line="240" w:lineRule="auto"/>
        <w:jc w:val="both"/>
        <w:rPr>
          <w:rFonts w:ascii="Arial" w:hAnsi="Arial" w:cs="Arial"/>
          <w:sz w:val="20"/>
          <w:szCs w:val="20"/>
        </w:rPr>
      </w:pPr>
    </w:p>
    <w:p w14:paraId="1595E3CB" w14:textId="77777777" w:rsidR="00410785" w:rsidRPr="00BA12FC" w:rsidRDefault="00410785" w:rsidP="00410785">
      <w:pPr>
        <w:spacing w:after="0" w:line="240" w:lineRule="auto"/>
        <w:jc w:val="both"/>
        <w:rPr>
          <w:rFonts w:ascii="Arial" w:hAnsi="Arial" w:cs="Arial"/>
          <w:sz w:val="20"/>
          <w:szCs w:val="20"/>
        </w:rPr>
      </w:pPr>
      <w:r w:rsidRPr="00BA12FC">
        <w:rPr>
          <w:rFonts w:ascii="Arial" w:hAnsi="Arial" w:cs="Arial"/>
          <w:sz w:val="20"/>
          <w:szCs w:val="20"/>
        </w:rPr>
        <w:t xml:space="preserve">Con fecha 02 de </w:t>
      </w:r>
      <w:r w:rsidR="002565EE" w:rsidRPr="00BA12FC">
        <w:rPr>
          <w:rFonts w:ascii="Arial" w:hAnsi="Arial" w:cs="Arial"/>
          <w:sz w:val="20"/>
          <w:szCs w:val="20"/>
        </w:rPr>
        <w:t>junio</w:t>
      </w:r>
      <w:r w:rsidRPr="00BA12FC">
        <w:rPr>
          <w:rFonts w:ascii="Arial" w:hAnsi="Arial" w:cs="Arial"/>
          <w:sz w:val="20"/>
          <w:szCs w:val="20"/>
        </w:rPr>
        <w:t xml:space="preserve"> de 2015 confirma el Servicio de Administración Tributaria, mediante acuse de movimientos de actualización de situación fiscal, el cambio de Denominación/Razón social de NACIONAL FINANCIERA FONDO PARA EL FINANCIAMIENTO DE LAS EMP DE SOL DEL EDO GTO, por FONDOS GUANAJUATO DE FINANCIAMIENTO.</w:t>
      </w:r>
    </w:p>
    <w:p w14:paraId="32509360" w14:textId="77777777" w:rsidR="00C82F63" w:rsidRPr="00BA12FC" w:rsidRDefault="00C82F63" w:rsidP="006A5AC6">
      <w:pPr>
        <w:spacing w:after="0" w:line="240" w:lineRule="auto"/>
        <w:jc w:val="both"/>
        <w:rPr>
          <w:rFonts w:ascii="Arial" w:hAnsi="Arial" w:cs="Arial"/>
          <w:sz w:val="20"/>
          <w:szCs w:val="20"/>
        </w:rPr>
      </w:pPr>
    </w:p>
    <w:p w14:paraId="58329F4B" w14:textId="77777777" w:rsidR="00410785" w:rsidRPr="00BF5B9D" w:rsidRDefault="00AF34B0" w:rsidP="006A5AC6">
      <w:pPr>
        <w:pStyle w:val="Prrafodelista"/>
        <w:spacing w:after="0" w:line="240" w:lineRule="auto"/>
        <w:ind w:left="0"/>
        <w:jc w:val="both"/>
        <w:rPr>
          <w:rFonts w:ascii="Arial" w:eastAsia="Times New Roman" w:hAnsi="Arial" w:cs="Arial"/>
          <w:color w:val="000000"/>
          <w:sz w:val="20"/>
          <w:szCs w:val="20"/>
        </w:rPr>
      </w:pPr>
      <w:r>
        <w:rPr>
          <w:rFonts w:ascii="Arial" w:eastAsia="Times New Roman" w:hAnsi="Arial" w:cs="Arial"/>
          <w:color w:val="000000"/>
          <w:sz w:val="20"/>
          <w:szCs w:val="20"/>
        </w:rPr>
        <w:t>Régimen C</w:t>
      </w:r>
      <w:r w:rsidR="00410785" w:rsidRPr="00BF5B9D">
        <w:rPr>
          <w:rFonts w:ascii="Arial" w:eastAsia="Times New Roman" w:hAnsi="Arial" w:cs="Arial"/>
          <w:color w:val="000000"/>
          <w:sz w:val="20"/>
          <w:szCs w:val="20"/>
        </w:rPr>
        <w:t>apital: Sin tipo de sociedad.</w:t>
      </w:r>
    </w:p>
    <w:p w14:paraId="2915DCC9" w14:textId="77777777" w:rsidR="00410785" w:rsidRPr="00BF5B9D" w:rsidRDefault="00410785" w:rsidP="006A5AC6">
      <w:pPr>
        <w:pStyle w:val="Prrafodelista"/>
        <w:spacing w:after="0" w:line="240" w:lineRule="auto"/>
        <w:ind w:left="0"/>
        <w:jc w:val="both"/>
        <w:rPr>
          <w:rFonts w:ascii="Arial" w:eastAsia="Times New Roman" w:hAnsi="Arial" w:cs="Arial"/>
          <w:color w:val="000000"/>
          <w:sz w:val="20"/>
          <w:szCs w:val="20"/>
        </w:rPr>
      </w:pPr>
      <w:r w:rsidRPr="00BF5B9D">
        <w:rPr>
          <w:rFonts w:ascii="Arial" w:eastAsia="Times New Roman" w:hAnsi="Arial" w:cs="Arial"/>
          <w:color w:val="000000"/>
          <w:sz w:val="20"/>
          <w:szCs w:val="20"/>
        </w:rPr>
        <w:t>Actividad económica: Fondos y fideicomisos financieros para el desarrollo.</w:t>
      </w:r>
    </w:p>
    <w:p w14:paraId="46C3CB02" w14:textId="77777777" w:rsidR="00410785" w:rsidRPr="00BF5B9D" w:rsidRDefault="00410785" w:rsidP="006A5AC6">
      <w:pPr>
        <w:pStyle w:val="Prrafodelista"/>
        <w:spacing w:after="0" w:line="240" w:lineRule="auto"/>
        <w:ind w:left="0"/>
        <w:jc w:val="both"/>
        <w:rPr>
          <w:rFonts w:ascii="Arial" w:eastAsia="Times New Roman" w:hAnsi="Arial" w:cs="Arial"/>
          <w:color w:val="000000"/>
          <w:sz w:val="20"/>
          <w:szCs w:val="20"/>
        </w:rPr>
      </w:pPr>
      <w:r w:rsidRPr="00BF5B9D">
        <w:rPr>
          <w:rFonts w:ascii="Arial" w:eastAsia="Times New Roman" w:hAnsi="Arial" w:cs="Arial"/>
          <w:color w:val="000000"/>
          <w:sz w:val="20"/>
          <w:szCs w:val="20"/>
        </w:rPr>
        <w:t>Régimen: Persona</w:t>
      </w:r>
      <w:r w:rsidR="001D7711" w:rsidRPr="00BF5B9D">
        <w:rPr>
          <w:rFonts w:ascii="Arial" w:eastAsia="Times New Roman" w:hAnsi="Arial" w:cs="Arial"/>
          <w:color w:val="000000"/>
          <w:sz w:val="20"/>
          <w:szCs w:val="20"/>
        </w:rPr>
        <w:t>s</w:t>
      </w:r>
      <w:r w:rsidRPr="00BF5B9D">
        <w:rPr>
          <w:rFonts w:ascii="Arial" w:eastAsia="Times New Roman" w:hAnsi="Arial" w:cs="Arial"/>
          <w:color w:val="000000"/>
          <w:sz w:val="20"/>
          <w:szCs w:val="20"/>
        </w:rPr>
        <w:t xml:space="preserve"> Morales con fines No lucrativos.</w:t>
      </w:r>
    </w:p>
    <w:p w14:paraId="604FEA36" w14:textId="77777777" w:rsidR="00410785" w:rsidRPr="00BF5B9D" w:rsidRDefault="00410785" w:rsidP="006A5AC6">
      <w:pPr>
        <w:pStyle w:val="Prrafodelista"/>
        <w:spacing w:after="0" w:line="240" w:lineRule="auto"/>
        <w:ind w:left="0" w:hanging="720"/>
        <w:jc w:val="both"/>
        <w:rPr>
          <w:rFonts w:ascii="Arial" w:eastAsia="Times New Roman" w:hAnsi="Arial" w:cs="Arial"/>
          <w:color w:val="000000"/>
          <w:sz w:val="20"/>
          <w:szCs w:val="20"/>
        </w:rPr>
      </w:pPr>
      <w:r w:rsidRPr="00BF5B9D">
        <w:rPr>
          <w:rFonts w:ascii="Arial" w:eastAsia="Times New Roman" w:hAnsi="Arial" w:cs="Arial"/>
          <w:color w:val="000000"/>
          <w:sz w:val="20"/>
          <w:szCs w:val="20"/>
        </w:rPr>
        <w:t xml:space="preserve">              </w:t>
      </w:r>
    </w:p>
    <w:p w14:paraId="74D8F554" w14:textId="77777777" w:rsidR="00410785" w:rsidRPr="00BF5B9D" w:rsidRDefault="00410785" w:rsidP="006A5AC6">
      <w:pPr>
        <w:pStyle w:val="Prrafodelista"/>
        <w:spacing w:after="0" w:line="240" w:lineRule="auto"/>
        <w:ind w:left="0"/>
        <w:jc w:val="both"/>
        <w:rPr>
          <w:rFonts w:ascii="Arial" w:eastAsia="Times New Roman" w:hAnsi="Arial" w:cs="Arial"/>
          <w:color w:val="000000"/>
          <w:sz w:val="20"/>
          <w:szCs w:val="20"/>
        </w:rPr>
      </w:pPr>
      <w:r w:rsidRPr="00BF5B9D">
        <w:rPr>
          <w:rFonts w:ascii="Arial" w:eastAsia="Times New Roman" w:hAnsi="Arial" w:cs="Arial"/>
          <w:color w:val="000000"/>
          <w:sz w:val="20"/>
          <w:szCs w:val="20"/>
        </w:rPr>
        <w:t xml:space="preserve">Con fecha 12 de </w:t>
      </w:r>
      <w:r w:rsidR="002565EE" w:rsidRPr="00BF5B9D">
        <w:rPr>
          <w:rFonts w:ascii="Arial" w:eastAsia="Times New Roman" w:hAnsi="Arial" w:cs="Arial"/>
          <w:color w:val="000000"/>
          <w:sz w:val="20"/>
          <w:szCs w:val="20"/>
        </w:rPr>
        <w:t>junio</w:t>
      </w:r>
      <w:r w:rsidRPr="00BF5B9D">
        <w:rPr>
          <w:rFonts w:ascii="Arial" w:eastAsia="Times New Roman" w:hAnsi="Arial" w:cs="Arial"/>
          <w:color w:val="000000"/>
          <w:sz w:val="20"/>
          <w:szCs w:val="20"/>
        </w:rPr>
        <w:t xml:space="preserve"> de 2015, se presenta ante el Registro Estatal de Contribuyentes el Aviso de Cambio de Situación Fiscal originado por el cambio en la Denominación o Razón Social.</w:t>
      </w:r>
    </w:p>
    <w:p w14:paraId="42487DF1" w14:textId="77777777" w:rsidR="007D1E76" w:rsidRDefault="007D1E76" w:rsidP="006A5AC6">
      <w:pPr>
        <w:tabs>
          <w:tab w:val="left" w:leader="underscore" w:pos="9639"/>
        </w:tabs>
        <w:spacing w:after="0" w:line="240" w:lineRule="auto"/>
        <w:jc w:val="both"/>
        <w:rPr>
          <w:rFonts w:ascii="Arial" w:hAnsi="Arial" w:cs="Arial"/>
          <w:sz w:val="20"/>
          <w:szCs w:val="20"/>
        </w:rPr>
      </w:pPr>
    </w:p>
    <w:p w14:paraId="72146C13" w14:textId="77777777" w:rsidR="0019454A" w:rsidRPr="00BF5B9D" w:rsidRDefault="0019454A" w:rsidP="006A5AC6">
      <w:pPr>
        <w:tabs>
          <w:tab w:val="left" w:leader="underscore" w:pos="9639"/>
        </w:tabs>
        <w:spacing w:after="0" w:line="240" w:lineRule="auto"/>
        <w:jc w:val="both"/>
        <w:rPr>
          <w:rFonts w:ascii="Arial" w:hAnsi="Arial" w:cs="Arial"/>
          <w:sz w:val="20"/>
          <w:szCs w:val="20"/>
        </w:rPr>
      </w:pPr>
    </w:p>
    <w:p w14:paraId="148319D4"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b/>
          <w:sz w:val="20"/>
          <w:szCs w:val="20"/>
        </w:rPr>
        <w:t>f)</w:t>
      </w:r>
      <w:r w:rsidRPr="00BF5B9D">
        <w:rPr>
          <w:rFonts w:ascii="Arial" w:hAnsi="Arial" w:cs="Arial"/>
          <w:sz w:val="20"/>
          <w:szCs w:val="20"/>
        </w:rPr>
        <w:t xml:space="preserve"> Estructura organizacional básica.</w:t>
      </w:r>
    </w:p>
    <w:p w14:paraId="0482967D" w14:textId="77777777" w:rsidR="0019454A" w:rsidRDefault="0019454A" w:rsidP="00410785">
      <w:pPr>
        <w:spacing w:after="0" w:line="240" w:lineRule="auto"/>
        <w:jc w:val="both"/>
        <w:rPr>
          <w:rFonts w:ascii="Arial" w:hAnsi="Arial" w:cs="Arial"/>
          <w:sz w:val="20"/>
          <w:szCs w:val="20"/>
        </w:rPr>
      </w:pPr>
    </w:p>
    <w:p w14:paraId="20D3DCEE"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 xml:space="preserve">A fin de dar cumplimiento a </w:t>
      </w:r>
      <w:r w:rsidR="00BF5B9D">
        <w:rPr>
          <w:rFonts w:ascii="Arial" w:hAnsi="Arial" w:cs="Arial"/>
          <w:sz w:val="20"/>
          <w:szCs w:val="20"/>
        </w:rPr>
        <w:t>l</w:t>
      </w:r>
      <w:r w:rsidRPr="00BF5B9D">
        <w:rPr>
          <w:rFonts w:ascii="Arial" w:hAnsi="Arial" w:cs="Arial"/>
          <w:sz w:val="20"/>
          <w:szCs w:val="20"/>
        </w:rPr>
        <w:t>as funciones y alcanzar los objetivos, FONDOS GUANAJUATO DE FINANCIAMIENTO cuenta con tres órganos de gobierno rectores:</w:t>
      </w:r>
    </w:p>
    <w:p w14:paraId="7ACF4DAE" w14:textId="77777777" w:rsidR="00410785" w:rsidRPr="00BF5B9D" w:rsidRDefault="00410785" w:rsidP="00410785">
      <w:pPr>
        <w:spacing w:after="0" w:line="240" w:lineRule="auto"/>
        <w:jc w:val="both"/>
        <w:rPr>
          <w:rFonts w:ascii="Arial" w:hAnsi="Arial" w:cs="Arial"/>
          <w:sz w:val="20"/>
          <w:szCs w:val="20"/>
        </w:rPr>
      </w:pPr>
    </w:p>
    <w:p w14:paraId="7DE40764"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 El Comité Técnico.</w:t>
      </w:r>
    </w:p>
    <w:p w14:paraId="2FFC78D9"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 xml:space="preserve">• El </w:t>
      </w:r>
      <w:proofErr w:type="gramStart"/>
      <w:r w:rsidRPr="00BF5B9D">
        <w:rPr>
          <w:rFonts w:ascii="Arial" w:hAnsi="Arial" w:cs="Arial"/>
          <w:sz w:val="20"/>
          <w:szCs w:val="20"/>
        </w:rPr>
        <w:t>Director General</w:t>
      </w:r>
      <w:proofErr w:type="gramEnd"/>
      <w:r w:rsidRPr="00BF5B9D">
        <w:rPr>
          <w:rFonts w:ascii="Arial" w:hAnsi="Arial" w:cs="Arial"/>
          <w:sz w:val="20"/>
          <w:szCs w:val="20"/>
        </w:rPr>
        <w:t>.</w:t>
      </w:r>
    </w:p>
    <w:p w14:paraId="03B4D781"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 El Sub-</w:t>
      </w:r>
      <w:proofErr w:type="gramStart"/>
      <w:r w:rsidRPr="00BF5B9D">
        <w:rPr>
          <w:rFonts w:ascii="Arial" w:hAnsi="Arial" w:cs="Arial"/>
          <w:sz w:val="20"/>
          <w:szCs w:val="20"/>
        </w:rPr>
        <w:t>Director General</w:t>
      </w:r>
      <w:proofErr w:type="gramEnd"/>
    </w:p>
    <w:p w14:paraId="4BBC2BF5" w14:textId="77777777" w:rsidR="00410785" w:rsidRPr="00BF5B9D" w:rsidRDefault="00410785" w:rsidP="00410785">
      <w:pPr>
        <w:spacing w:after="0" w:line="240" w:lineRule="auto"/>
        <w:jc w:val="both"/>
        <w:rPr>
          <w:rFonts w:ascii="Arial" w:hAnsi="Arial" w:cs="Arial"/>
          <w:sz w:val="20"/>
          <w:szCs w:val="20"/>
        </w:rPr>
      </w:pPr>
    </w:p>
    <w:p w14:paraId="0CEF2369"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Comité Técnico:</w:t>
      </w:r>
    </w:p>
    <w:p w14:paraId="4D2E189C"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 xml:space="preserve">Es el órgano de la Entidad que tiene las atribuciones de aprobar planes y programas del mismo; dictar los acuerdos necesarios para el debido otorgamiento de los préstamos y/o financiamientos; dictar cualquier acuerdo en los términos </w:t>
      </w:r>
      <w:r w:rsidR="0019454A">
        <w:rPr>
          <w:rFonts w:ascii="Arial" w:hAnsi="Arial" w:cs="Arial"/>
          <w:sz w:val="20"/>
          <w:szCs w:val="20"/>
        </w:rPr>
        <w:t xml:space="preserve">de </w:t>
      </w:r>
      <w:r w:rsidRPr="00BF5B9D">
        <w:rPr>
          <w:rFonts w:ascii="Arial" w:hAnsi="Arial" w:cs="Arial"/>
          <w:sz w:val="20"/>
          <w:szCs w:val="20"/>
        </w:rPr>
        <w:t>los préstamos y/o financiamientos, para conceder, negar, suspender, modificar y revocar los préstamos y/o financiamientos que la misma establece; y aprobar las aplicaciones y/o correcciones de las reservas de patrimonio de la Entidad, a propuesta del Director General. Así mismo el Comité Técnico tiene las atribuciones de vigilar que los recursos de la Entidad se apliquen y coloquen de acuerdo con las reglas de operación de la Entidad, así como lo establecido en los fines del Fideicomiso en los convenios modificatorios; comprobar el cumplimiento de las normas y disposiciones relativas a los sistemas de registro y contabilidad.</w:t>
      </w:r>
    </w:p>
    <w:p w14:paraId="7C72EB9D" w14:textId="77777777" w:rsidR="00410785" w:rsidRPr="00BF5B9D" w:rsidRDefault="00410785" w:rsidP="00410785">
      <w:pPr>
        <w:spacing w:after="0" w:line="240" w:lineRule="auto"/>
        <w:jc w:val="both"/>
        <w:rPr>
          <w:rFonts w:ascii="Arial" w:hAnsi="Arial" w:cs="Arial"/>
          <w:sz w:val="20"/>
          <w:szCs w:val="20"/>
        </w:rPr>
      </w:pPr>
    </w:p>
    <w:p w14:paraId="5FC5E928"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Dirección General:</w:t>
      </w:r>
    </w:p>
    <w:p w14:paraId="468E9EF0"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Es el máximo órgano de la Administración de la Entidad, encargado de asegurar el cumplimiento de todas las decisiones del Comité Técnico como lo son asegurar el cumplimiento de metas estratégicas, proponer nuevos esquemas al Comité Técnico, resolver cualquier situación con respecto a las reglas de operación que se presenten en el desarrollo de las actividades, entre otras. Para lograr lo anterior, la Entidad cuenta con los siguientes niveles en su organigrama que son:</w:t>
      </w:r>
      <w:r w:rsidR="001749B8">
        <w:rPr>
          <w:rFonts w:ascii="Arial" w:hAnsi="Arial" w:cs="Arial"/>
          <w:sz w:val="20"/>
          <w:szCs w:val="20"/>
        </w:rPr>
        <w:t xml:space="preserve"> </w:t>
      </w:r>
      <w:r w:rsidRPr="00BF5B9D">
        <w:rPr>
          <w:rFonts w:ascii="Arial" w:hAnsi="Arial" w:cs="Arial"/>
          <w:sz w:val="20"/>
          <w:szCs w:val="20"/>
        </w:rPr>
        <w:t xml:space="preserve">Subdirección General, Subdirección de Crédito, Gerencia de Finanzas, </w:t>
      </w:r>
      <w:r w:rsidR="005E062F">
        <w:rPr>
          <w:rFonts w:ascii="Arial" w:hAnsi="Arial" w:cs="Arial"/>
          <w:sz w:val="20"/>
          <w:szCs w:val="20"/>
        </w:rPr>
        <w:t xml:space="preserve">Gerencia de Contabilidad, </w:t>
      </w:r>
      <w:r w:rsidRPr="00BF5B9D">
        <w:rPr>
          <w:rFonts w:ascii="Arial" w:hAnsi="Arial" w:cs="Arial"/>
          <w:sz w:val="20"/>
          <w:szCs w:val="20"/>
        </w:rPr>
        <w:t xml:space="preserve">Gerencia de Jurídico y la Gerencia de Control y Cumplimiento. Cabe señalar que es importante la gestión de promoción y venta que complementan la estructura del Fideicomiso, </w:t>
      </w:r>
      <w:r w:rsidRPr="00BF5B9D">
        <w:rPr>
          <w:rFonts w:ascii="Arial" w:hAnsi="Arial" w:cs="Arial"/>
          <w:sz w:val="20"/>
          <w:szCs w:val="20"/>
        </w:rPr>
        <w:lastRenderedPageBreak/>
        <w:t>como la Coordinación de Programas Especiales, Gerencia de Coordinador de Sucursales y Coordinación de Comunicación Social.</w:t>
      </w:r>
    </w:p>
    <w:p w14:paraId="68743D3E" w14:textId="77777777" w:rsidR="00410785" w:rsidRPr="00BF5B9D" w:rsidRDefault="00410785" w:rsidP="00410785">
      <w:pPr>
        <w:spacing w:after="0" w:line="240" w:lineRule="auto"/>
        <w:jc w:val="both"/>
        <w:rPr>
          <w:rFonts w:ascii="Arial" w:hAnsi="Arial" w:cs="Arial"/>
          <w:sz w:val="20"/>
          <w:szCs w:val="20"/>
        </w:rPr>
      </w:pPr>
    </w:p>
    <w:p w14:paraId="4E5E6E7B" w14:textId="77777777" w:rsidR="00410785" w:rsidRPr="00BF5B9D" w:rsidRDefault="00410785" w:rsidP="00410785">
      <w:pPr>
        <w:spacing w:after="0" w:line="240" w:lineRule="auto"/>
        <w:jc w:val="both"/>
        <w:rPr>
          <w:rFonts w:ascii="Arial" w:hAnsi="Arial" w:cs="Arial"/>
          <w:sz w:val="20"/>
          <w:szCs w:val="20"/>
        </w:rPr>
      </w:pPr>
      <w:r w:rsidRPr="00BF5B9D">
        <w:rPr>
          <w:rFonts w:ascii="Arial" w:hAnsi="Arial" w:cs="Arial"/>
          <w:sz w:val="20"/>
          <w:szCs w:val="20"/>
        </w:rPr>
        <w:t>Sub-Dirección General:</w:t>
      </w:r>
    </w:p>
    <w:p w14:paraId="17C1414C" w14:textId="77777777" w:rsidR="00410785" w:rsidRPr="00BF5B9D" w:rsidRDefault="00410785" w:rsidP="00410785">
      <w:pPr>
        <w:tabs>
          <w:tab w:val="left" w:leader="underscore" w:pos="9639"/>
        </w:tabs>
        <w:spacing w:after="0" w:line="240" w:lineRule="auto"/>
        <w:jc w:val="both"/>
        <w:rPr>
          <w:rFonts w:ascii="Arial" w:hAnsi="Arial" w:cs="Arial"/>
          <w:sz w:val="20"/>
          <w:szCs w:val="20"/>
        </w:rPr>
      </w:pPr>
      <w:r w:rsidRPr="00BF5B9D">
        <w:rPr>
          <w:rFonts w:ascii="Arial" w:hAnsi="Arial" w:cs="Arial"/>
          <w:sz w:val="20"/>
          <w:szCs w:val="20"/>
        </w:rPr>
        <w:t>Tiene a su cargo el Control de los procesos operativos para asegurar que las operaciones se realicen dentro del marco de le</w:t>
      </w:r>
      <w:r w:rsidR="001749B8">
        <w:rPr>
          <w:rFonts w:ascii="Arial" w:hAnsi="Arial" w:cs="Arial"/>
          <w:sz w:val="20"/>
          <w:szCs w:val="20"/>
        </w:rPr>
        <w:t>galidad existente, establecer</w:t>
      </w:r>
      <w:r w:rsidRPr="00BF5B9D">
        <w:rPr>
          <w:rFonts w:ascii="Arial" w:hAnsi="Arial" w:cs="Arial"/>
          <w:sz w:val="20"/>
          <w:szCs w:val="20"/>
        </w:rPr>
        <w:t xml:space="preserve"> programas de auditoría interna e implementa</w:t>
      </w:r>
      <w:r w:rsidR="001749B8">
        <w:rPr>
          <w:rFonts w:ascii="Arial" w:hAnsi="Arial" w:cs="Arial"/>
          <w:sz w:val="20"/>
          <w:szCs w:val="20"/>
        </w:rPr>
        <w:t>r</w:t>
      </w:r>
      <w:r w:rsidRPr="00BF5B9D">
        <w:rPr>
          <w:rFonts w:ascii="Arial" w:hAnsi="Arial" w:cs="Arial"/>
          <w:sz w:val="20"/>
          <w:szCs w:val="20"/>
        </w:rPr>
        <w:t xml:space="preserve"> los procedimientos adecuados para la operación y conservación de documentos en el lugar adecuado, desarrolla</w:t>
      </w:r>
      <w:r w:rsidR="001749B8">
        <w:rPr>
          <w:rFonts w:ascii="Arial" w:hAnsi="Arial" w:cs="Arial"/>
          <w:sz w:val="20"/>
          <w:szCs w:val="20"/>
        </w:rPr>
        <w:t>r</w:t>
      </w:r>
      <w:r w:rsidRPr="00BF5B9D">
        <w:rPr>
          <w:rFonts w:ascii="Arial" w:hAnsi="Arial" w:cs="Arial"/>
          <w:sz w:val="20"/>
          <w:szCs w:val="20"/>
        </w:rPr>
        <w:t xml:space="preserve"> e implementa</w:t>
      </w:r>
      <w:r w:rsidR="001749B8">
        <w:rPr>
          <w:rFonts w:ascii="Arial" w:hAnsi="Arial" w:cs="Arial"/>
          <w:sz w:val="20"/>
          <w:szCs w:val="20"/>
        </w:rPr>
        <w:t>r</w:t>
      </w:r>
      <w:r w:rsidRPr="00BF5B9D">
        <w:rPr>
          <w:rFonts w:ascii="Arial" w:hAnsi="Arial" w:cs="Arial"/>
          <w:sz w:val="20"/>
          <w:szCs w:val="20"/>
        </w:rPr>
        <w:t xml:space="preserve"> procesos de mejora continua. Analiza</w:t>
      </w:r>
      <w:r w:rsidR="001749B8">
        <w:rPr>
          <w:rFonts w:ascii="Arial" w:hAnsi="Arial" w:cs="Arial"/>
          <w:sz w:val="20"/>
          <w:szCs w:val="20"/>
        </w:rPr>
        <w:t>r</w:t>
      </w:r>
      <w:r w:rsidRPr="00BF5B9D">
        <w:rPr>
          <w:rFonts w:ascii="Arial" w:hAnsi="Arial" w:cs="Arial"/>
          <w:sz w:val="20"/>
          <w:szCs w:val="20"/>
        </w:rPr>
        <w:t xml:space="preserve"> la información contenida en los Estados Financieros </w:t>
      </w:r>
      <w:r w:rsidR="001749B8">
        <w:rPr>
          <w:rFonts w:ascii="Arial" w:hAnsi="Arial" w:cs="Arial"/>
          <w:sz w:val="20"/>
          <w:szCs w:val="20"/>
        </w:rPr>
        <w:t xml:space="preserve">y </w:t>
      </w:r>
      <w:r w:rsidRPr="00BF5B9D">
        <w:rPr>
          <w:rFonts w:ascii="Arial" w:hAnsi="Arial" w:cs="Arial"/>
          <w:sz w:val="20"/>
          <w:szCs w:val="20"/>
        </w:rPr>
        <w:t>supervisa</w:t>
      </w:r>
      <w:r w:rsidR="001749B8">
        <w:rPr>
          <w:rFonts w:ascii="Arial" w:hAnsi="Arial" w:cs="Arial"/>
          <w:sz w:val="20"/>
          <w:szCs w:val="20"/>
        </w:rPr>
        <w:t>r</w:t>
      </w:r>
      <w:r w:rsidRPr="00BF5B9D">
        <w:rPr>
          <w:rFonts w:ascii="Arial" w:hAnsi="Arial" w:cs="Arial"/>
          <w:sz w:val="20"/>
          <w:szCs w:val="20"/>
        </w:rPr>
        <w:t xml:space="preserve"> el apego a </w:t>
      </w:r>
      <w:r w:rsidR="001749B8">
        <w:rPr>
          <w:rFonts w:ascii="Arial" w:hAnsi="Arial" w:cs="Arial"/>
          <w:sz w:val="20"/>
          <w:szCs w:val="20"/>
        </w:rPr>
        <w:t>las Normas de I</w:t>
      </w:r>
      <w:r w:rsidRPr="00BF5B9D">
        <w:rPr>
          <w:rFonts w:ascii="Arial" w:hAnsi="Arial" w:cs="Arial"/>
          <w:sz w:val="20"/>
          <w:szCs w:val="20"/>
        </w:rPr>
        <w:t xml:space="preserve">nformación </w:t>
      </w:r>
      <w:r w:rsidR="001749B8">
        <w:rPr>
          <w:rFonts w:ascii="Arial" w:hAnsi="Arial" w:cs="Arial"/>
          <w:sz w:val="20"/>
          <w:szCs w:val="20"/>
        </w:rPr>
        <w:t>F</w:t>
      </w:r>
      <w:r w:rsidRPr="00BF5B9D">
        <w:rPr>
          <w:rFonts w:ascii="Arial" w:hAnsi="Arial" w:cs="Arial"/>
          <w:sz w:val="20"/>
          <w:szCs w:val="20"/>
        </w:rPr>
        <w:t>inanciera. Da</w:t>
      </w:r>
      <w:r w:rsidR="001749B8">
        <w:rPr>
          <w:rFonts w:ascii="Arial" w:hAnsi="Arial" w:cs="Arial"/>
          <w:sz w:val="20"/>
          <w:szCs w:val="20"/>
        </w:rPr>
        <w:t>r</w:t>
      </w:r>
      <w:r w:rsidRPr="00BF5B9D">
        <w:rPr>
          <w:rFonts w:ascii="Arial" w:hAnsi="Arial" w:cs="Arial"/>
          <w:sz w:val="20"/>
          <w:szCs w:val="20"/>
        </w:rPr>
        <w:t xml:space="preserve"> seguimiento a las decisiones, autorizaciones y acuerdos que se den dentro del Comité Técnico, Subcomité de Crédito y Subcomité de inversiones. Establece</w:t>
      </w:r>
      <w:r w:rsidR="001749B8">
        <w:rPr>
          <w:rFonts w:ascii="Arial" w:hAnsi="Arial" w:cs="Arial"/>
          <w:sz w:val="20"/>
          <w:szCs w:val="20"/>
        </w:rPr>
        <w:t>r</w:t>
      </w:r>
      <w:r w:rsidRPr="00BF5B9D">
        <w:rPr>
          <w:rFonts w:ascii="Arial" w:hAnsi="Arial" w:cs="Arial"/>
          <w:sz w:val="20"/>
          <w:szCs w:val="20"/>
        </w:rPr>
        <w:t xml:space="preserve"> y ejecuta</w:t>
      </w:r>
      <w:r w:rsidR="001749B8">
        <w:rPr>
          <w:rFonts w:ascii="Arial" w:hAnsi="Arial" w:cs="Arial"/>
          <w:sz w:val="20"/>
          <w:szCs w:val="20"/>
        </w:rPr>
        <w:t>r</w:t>
      </w:r>
      <w:r w:rsidRPr="00BF5B9D">
        <w:rPr>
          <w:rFonts w:ascii="Arial" w:hAnsi="Arial" w:cs="Arial"/>
          <w:sz w:val="20"/>
          <w:szCs w:val="20"/>
        </w:rPr>
        <w:t xml:space="preserve"> las acciones necesarias para la elaboración del presupuesto de inversión, gasto operativo e ingreso. Apoya</w:t>
      </w:r>
      <w:r w:rsidR="001749B8">
        <w:rPr>
          <w:rFonts w:ascii="Arial" w:hAnsi="Arial" w:cs="Arial"/>
          <w:sz w:val="20"/>
          <w:szCs w:val="20"/>
        </w:rPr>
        <w:t>r</w:t>
      </w:r>
      <w:r w:rsidRPr="00BF5B9D">
        <w:rPr>
          <w:rFonts w:ascii="Arial" w:hAnsi="Arial" w:cs="Arial"/>
          <w:sz w:val="20"/>
          <w:szCs w:val="20"/>
        </w:rPr>
        <w:t xml:space="preserve"> al </w:t>
      </w:r>
      <w:proofErr w:type="gramStart"/>
      <w:r w:rsidRPr="00BF5B9D">
        <w:rPr>
          <w:rFonts w:ascii="Arial" w:hAnsi="Arial" w:cs="Arial"/>
          <w:sz w:val="20"/>
          <w:szCs w:val="20"/>
        </w:rPr>
        <w:t>Director General</w:t>
      </w:r>
      <w:proofErr w:type="gramEnd"/>
      <w:r w:rsidRPr="00BF5B9D">
        <w:rPr>
          <w:rFonts w:ascii="Arial" w:hAnsi="Arial" w:cs="Arial"/>
          <w:sz w:val="20"/>
          <w:szCs w:val="20"/>
        </w:rPr>
        <w:t xml:space="preserve"> en la elaboración y seguimiento de estrategias, programas, políticas públicas, modelos y proyectos de apoyo y servicios financieros, así como la vinculación con los diversos organismos e instituciones financieras. Así mismo, el Sub-</w:t>
      </w:r>
      <w:proofErr w:type="gramStart"/>
      <w:r w:rsidRPr="00BF5B9D">
        <w:rPr>
          <w:rFonts w:ascii="Arial" w:hAnsi="Arial" w:cs="Arial"/>
          <w:sz w:val="20"/>
          <w:szCs w:val="20"/>
        </w:rPr>
        <w:t>Director General</w:t>
      </w:r>
      <w:proofErr w:type="gramEnd"/>
      <w:r w:rsidRPr="00BF5B9D">
        <w:rPr>
          <w:rFonts w:ascii="Arial" w:hAnsi="Arial" w:cs="Arial"/>
          <w:sz w:val="20"/>
          <w:szCs w:val="20"/>
        </w:rPr>
        <w:t xml:space="preserve"> tiene a su cargo la Subdirección de Crédito, Gerencia de Finanzas, </w:t>
      </w:r>
      <w:r w:rsidR="001749B8">
        <w:rPr>
          <w:rFonts w:ascii="Arial" w:hAnsi="Arial" w:cs="Arial"/>
          <w:sz w:val="20"/>
          <w:szCs w:val="20"/>
        </w:rPr>
        <w:t xml:space="preserve">Gerencia de Contabilidad, </w:t>
      </w:r>
      <w:r w:rsidRPr="00BF5B9D">
        <w:rPr>
          <w:rFonts w:ascii="Arial" w:hAnsi="Arial" w:cs="Arial"/>
          <w:sz w:val="20"/>
          <w:szCs w:val="20"/>
        </w:rPr>
        <w:t>Gerencia de Cobranza Jurídico y la Gerencia de Control y Cumplimiento. Esta última es de gran ayuda para asegurarse de muchas de las actividades de monitoreo, la Gerencia de Control y Cumplimiento, se encarga de desarrollar y mantener un programa de aseguramiento preventivo de administración de riesgos, de calidad y mejora que cubra todos los aspectos de la actividad de auditoría interna y revise continuamente su eficacia, apegándose a los Lineamientos Generales de Control Interno y sus normas de aplicación para la Administración Pública Estatal. El programa de administración de riesgos está diseñado para ayudar a la actividad de auditoría interna a añadir valor y a mejorar las operaciones de la organización y a proporcionar aseguramiento de que la actividad de auditoría interna cumple con las normas y el Código de Ética institucional. Así mismo esta área tiene a su cargo la actividad de Control de Gestión en cuanto a elaboración, seguimiento y control de metas institucionales y proyectos de inversión.</w:t>
      </w:r>
    </w:p>
    <w:p w14:paraId="6BF2C790" w14:textId="77777777" w:rsidR="00757C1A" w:rsidRDefault="00757C1A" w:rsidP="00CB41C4">
      <w:pPr>
        <w:tabs>
          <w:tab w:val="left" w:leader="underscore" w:pos="9639"/>
        </w:tabs>
        <w:spacing w:after="0" w:line="240" w:lineRule="auto"/>
        <w:jc w:val="both"/>
        <w:rPr>
          <w:rFonts w:ascii="Arial" w:hAnsi="Arial" w:cs="Arial"/>
          <w:b/>
          <w:sz w:val="20"/>
          <w:szCs w:val="20"/>
        </w:rPr>
      </w:pPr>
    </w:p>
    <w:p w14:paraId="5BDEE00A" w14:textId="77777777" w:rsidR="001749B8" w:rsidRPr="00BF5B9D" w:rsidRDefault="001749B8" w:rsidP="00CB41C4">
      <w:pPr>
        <w:tabs>
          <w:tab w:val="left" w:leader="underscore" w:pos="9639"/>
        </w:tabs>
        <w:spacing w:after="0" w:line="240" w:lineRule="auto"/>
        <w:jc w:val="both"/>
        <w:rPr>
          <w:rFonts w:ascii="Arial" w:hAnsi="Arial" w:cs="Arial"/>
          <w:b/>
          <w:sz w:val="20"/>
          <w:szCs w:val="20"/>
        </w:rPr>
      </w:pPr>
    </w:p>
    <w:p w14:paraId="1045BBDF"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b/>
          <w:sz w:val="20"/>
          <w:szCs w:val="20"/>
        </w:rPr>
        <w:t>g)</w:t>
      </w:r>
      <w:r w:rsidRPr="00BF5B9D">
        <w:rPr>
          <w:rFonts w:ascii="Arial" w:hAnsi="Arial" w:cs="Arial"/>
          <w:sz w:val="20"/>
          <w:szCs w:val="20"/>
        </w:rPr>
        <w:t xml:space="preserve"> Fideicomisos, mandatos y análogos de los cuales es fideicomitente o </w:t>
      </w:r>
      <w:r w:rsidR="00657009" w:rsidRPr="00BF5B9D">
        <w:rPr>
          <w:rFonts w:ascii="Arial" w:hAnsi="Arial" w:cs="Arial"/>
          <w:sz w:val="20"/>
          <w:szCs w:val="20"/>
        </w:rPr>
        <w:t>fideicomisario</w:t>
      </w:r>
      <w:r w:rsidRPr="00BF5B9D">
        <w:rPr>
          <w:rFonts w:ascii="Arial" w:hAnsi="Arial" w:cs="Arial"/>
          <w:sz w:val="20"/>
          <w:szCs w:val="20"/>
        </w:rPr>
        <w:t>.</w:t>
      </w:r>
    </w:p>
    <w:p w14:paraId="5E45247D" w14:textId="77777777" w:rsidR="001749B8" w:rsidRDefault="001749B8" w:rsidP="00CB41C4">
      <w:pPr>
        <w:tabs>
          <w:tab w:val="left" w:leader="underscore" w:pos="9639"/>
        </w:tabs>
        <w:spacing w:after="0" w:line="240" w:lineRule="auto"/>
        <w:jc w:val="both"/>
        <w:rPr>
          <w:rFonts w:ascii="Arial" w:hAnsi="Arial" w:cs="Arial"/>
          <w:sz w:val="20"/>
          <w:szCs w:val="20"/>
        </w:rPr>
      </w:pPr>
    </w:p>
    <w:p w14:paraId="1D95BE62" w14:textId="77777777" w:rsidR="007D1E76" w:rsidRPr="00BF5B9D" w:rsidRDefault="001749B8"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Fondos Guanajuato de Financiamiento n</w:t>
      </w:r>
      <w:r w:rsidR="00400196" w:rsidRPr="00BF5B9D">
        <w:rPr>
          <w:rFonts w:ascii="Arial" w:hAnsi="Arial" w:cs="Arial"/>
          <w:sz w:val="20"/>
          <w:szCs w:val="20"/>
        </w:rPr>
        <w:t xml:space="preserve">o </w:t>
      </w:r>
      <w:r>
        <w:rPr>
          <w:rFonts w:ascii="Arial" w:hAnsi="Arial" w:cs="Arial"/>
          <w:sz w:val="20"/>
          <w:szCs w:val="20"/>
        </w:rPr>
        <w:t xml:space="preserve">tiene participación en </w:t>
      </w:r>
      <w:r w:rsidR="00400196" w:rsidRPr="00BF5B9D">
        <w:rPr>
          <w:rFonts w:ascii="Arial" w:hAnsi="Arial" w:cs="Arial"/>
          <w:sz w:val="20"/>
          <w:szCs w:val="20"/>
        </w:rPr>
        <w:t>fideicomisos, mandatos y análogos de los cuales la entidad sea fideicomitente o fiduciario.</w:t>
      </w:r>
    </w:p>
    <w:p w14:paraId="14B56974" w14:textId="77777777" w:rsidR="00CB41C4" w:rsidRPr="00BF5B9D" w:rsidRDefault="00CB41C4" w:rsidP="006A5AC6">
      <w:pPr>
        <w:tabs>
          <w:tab w:val="left" w:leader="underscore" w:pos="9639"/>
        </w:tabs>
        <w:spacing w:after="0" w:line="240" w:lineRule="auto"/>
        <w:jc w:val="both"/>
        <w:rPr>
          <w:rFonts w:ascii="Arial" w:hAnsi="Arial" w:cs="Arial"/>
          <w:sz w:val="20"/>
          <w:szCs w:val="20"/>
        </w:rPr>
      </w:pPr>
    </w:p>
    <w:p w14:paraId="0E9B554B" w14:textId="77777777" w:rsidR="007D1E76" w:rsidRPr="00BF5B9D" w:rsidRDefault="00983283" w:rsidP="006A5AC6">
      <w:pPr>
        <w:pStyle w:val="Ttulo2"/>
        <w:jc w:val="both"/>
        <w:rPr>
          <w:rFonts w:ascii="Arial" w:hAnsi="Arial" w:cs="Arial"/>
          <w:b/>
          <w:color w:val="auto"/>
          <w:sz w:val="20"/>
          <w:szCs w:val="20"/>
        </w:rPr>
      </w:pPr>
      <w:bookmarkStart w:id="3" w:name="_Toc136350933"/>
      <w:r>
        <w:rPr>
          <w:rFonts w:ascii="Arial" w:hAnsi="Arial" w:cs="Arial"/>
          <w:b/>
          <w:color w:val="auto"/>
          <w:sz w:val="20"/>
          <w:szCs w:val="20"/>
        </w:rPr>
        <w:t>4</w:t>
      </w:r>
      <w:r w:rsidR="007D1E76" w:rsidRPr="00BF5B9D">
        <w:rPr>
          <w:rFonts w:ascii="Arial" w:hAnsi="Arial" w:cs="Arial"/>
          <w:b/>
          <w:color w:val="auto"/>
          <w:sz w:val="20"/>
          <w:szCs w:val="20"/>
        </w:rPr>
        <w:t>. Bases de Preparació</w:t>
      </w:r>
      <w:r w:rsidR="00E00323" w:rsidRPr="00BF5B9D">
        <w:rPr>
          <w:rFonts w:ascii="Arial" w:hAnsi="Arial" w:cs="Arial"/>
          <w:b/>
          <w:color w:val="auto"/>
          <w:sz w:val="20"/>
          <w:szCs w:val="20"/>
        </w:rPr>
        <w:t>n de los Estados Financieros:</w:t>
      </w:r>
      <w:bookmarkEnd w:id="3"/>
    </w:p>
    <w:p w14:paraId="7823E307" w14:textId="77777777" w:rsidR="007D1E76" w:rsidRPr="00BF5B9D" w:rsidRDefault="007D1E76" w:rsidP="006A5AC6">
      <w:pPr>
        <w:tabs>
          <w:tab w:val="left" w:leader="underscore" w:pos="9639"/>
        </w:tabs>
        <w:spacing w:after="0" w:line="240" w:lineRule="auto"/>
        <w:jc w:val="both"/>
        <w:rPr>
          <w:rFonts w:ascii="Arial" w:hAnsi="Arial" w:cs="Arial"/>
          <w:sz w:val="20"/>
          <w:szCs w:val="20"/>
        </w:rPr>
      </w:pPr>
      <w:r w:rsidRPr="00BF5B9D">
        <w:rPr>
          <w:rFonts w:ascii="Arial" w:hAnsi="Arial" w:cs="Arial"/>
          <w:sz w:val="20"/>
          <w:szCs w:val="20"/>
        </w:rPr>
        <w:t>Se informará sobre:</w:t>
      </w:r>
    </w:p>
    <w:p w14:paraId="13C97A02" w14:textId="77777777" w:rsidR="007D1E76" w:rsidRPr="00BF5B9D" w:rsidRDefault="007D1E76" w:rsidP="006A5AC6">
      <w:pPr>
        <w:tabs>
          <w:tab w:val="left" w:leader="underscore" w:pos="9639"/>
        </w:tabs>
        <w:spacing w:after="0" w:line="240" w:lineRule="auto"/>
        <w:jc w:val="both"/>
        <w:rPr>
          <w:rFonts w:ascii="Arial" w:hAnsi="Arial" w:cs="Arial"/>
          <w:sz w:val="20"/>
          <w:szCs w:val="20"/>
        </w:rPr>
      </w:pPr>
    </w:p>
    <w:p w14:paraId="335A58F2"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b/>
          <w:sz w:val="20"/>
          <w:szCs w:val="20"/>
        </w:rPr>
        <w:t>a)</w:t>
      </w:r>
      <w:r w:rsidRPr="00BF5B9D">
        <w:rPr>
          <w:rFonts w:ascii="Arial" w:hAnsi="Arial" w:cs="Arial"/>
          <w:sz w:val="20"/>
          <w:szCs w:val="20"/>
        </w:rPr>
        <w:t xml:space="preserve"> Si se ha observado la normatividad emitida por el CONAC y las disposiciones legales aplicables.</w:t>
      </w:r>
    </w:p>
    <w:p w14:paraId="2C131AED" w14:textId="77777777" w:rsidR="006C3F9A" w:rsidRPr="00BF5B9D" w:rsidRDefault="00BF5B9D" w:rsidP="006C3F9A">
      <w:pPr>
        <w:autoSpaceDE w:val="0"/>
        <w:autoSpaceDN w:val="0"/>
        <w:adjustRightInd w:val="0"/>
        <w:spacing w:after="0" w:line="240" w:lineRule="auto"/>
        <w:jc w:val="both"/>
        <w:rPr>
          <w:rFonts w:ascii="Arial" w:hAnsi="Arial" w:cs="Arial"/>
          <w:sz w:val="20"/>
          <w:szCs w:val="20"/>
          <w:lang w:eastAsia="es-MX"/>
        </w:rPr>
      </w:pPr>
      <w:r>
        <w:rPr>
          <w:rFonts w:ascii="Arial" w:hAnsi="Arial" w:cs="Arial"/>
          <w:sz w:val="20"/>
          <w:szCs w:val="20"/>
          <w:lang w:eastAsia="es-MX"/>
        </w:rPr>
        <w:t>Los E</w:t>
      </w:r>
      <w:r w:rsidR="006C3F9A" w:rsidRPr="00BF5B9D">
        <w:rPr>
          <w:rFonts w:ascii="Arial" w:hAnsi="Arial" w:cs="Arial"/>
          <w:sz w:val="20"/>
          <w:szCs w:val="20"/>
          <w:lang w:eastAsia="es-MX"/>
        </w:rPr>
        <w:t xml:space="preserve">stados </w:t>
      </w:r>
      <w:r>
        <w:rPr>
          <w:rFonts w:ascii="Arial" w:hAnsi="Arial" w:cs="Arial"/>
          <w:sz w:val="20"/>
          <w:szCs w:val="20"/>
          <w:lang w:eastAsia="es-MX"/>
        </w:rPr>
        <w:t xml:space="preserve">Financieros </w:t>
      </w:r>
      <w:r w:rsidR="006C3F9A" w:rsidRPr="00BF5B9D">
        <w:rPr>
          <w:rFonts w:ascii="Arial" w:hAnsi="Arial" w:cs="Arial"/>
          <w:sz w:val="20"/>
          <w:szCs w:val="20"/>
          <w:lang w:eastAsia="es-MX"/>
        </w:rPr>
        <w:t xml:space="preserve">se </w:t>
      </w:r>
      <w:r>
        <w:rPr>
          <w:rFonts w:ascii="Arial" w:hAnsi="Arial" w:cs="Arial"/>
          <w:sz w:val="20"/>
          <w:szCs w:val="20"/>
          <w:lang w:eastAsia="es-MX"/>
        </w:rPr>
        <w:t>elabo</w:t>
      </w:r>
      <w:r w:rsidR="002565EE" w:rsidRPr="00BF5B9D">
        <w:rPr>
          <w:rFonts w:ascii="Arial" w:hAnsi="Arial" w:cs="Arial"/>
          <w:sz w:val="20"/>
          <w:szCs w:val="20"/>
          <w:lang w:eastAsia="es-MX"/>
        </w:rPr>
        <w:t>ran</w:t>
      </w:r>
      <w:r w:rsidR="006C3F9A" w:rsidRPr="00BF5B9D">
        <w:rPr>
          <w:rFonts w:ascii="Arial" w:hAnsi="Arial" w:cs="Arial"/>
          <w:sz w:val="20"/>
          <w:szCs w:val="20"/>
          <w:lang w:eastAsia="es-MX"/>
        </w:rPr>
        <w:t xml:space="preserve"> de conformidad con las siguientes disposiciones normativas que le son aplicables en su carácter de administración descentralizada:</w:t>
      </w:r>
    </w:p>
    <w:p w14:paraId="73FCB5DC" w14:textId="77777777" w:rsidR="006C3F9A" w:rsidRPr="00BF5B9D" w:rsidRDefault="006C3F9A" w:rsidP="006C3F9A">
      <w:pPr>
        <w:spacing w:after="0" w:line="240" w:lineRule="auto"/>
        <w:ind w:right="51"/>
        <w:jc w:val="both"/>
        <w:rPr>
          <w:rFonts w:ascii="Arial" w:hAnsi="Arial" w:cs="Arial"/>
          <w:sz w:val="20"/>
          <w:szCs w:val="20"/>
          <w:lang w:eastAsia="es-MX"/>
        </w:rPr>
      </w:pPr>
    </w:p>
    <w:p w14:paraId="40D9A8DD" w14:textId="77777777" w:rsidR="006C3F9A" w:rsidRPr="00BF5B9D" w:rsidRDefault="006C3F9A" w:rsidP="006C3F9A">
      <w:pPr>
        <w:tabs>
          <w:tab w:val="num" w:pos="1560"/>
        </w:tabs>
        <w:spacing w:after="0" w:line="240" w:lineRule="auto"/>
        <w:ind w:right="51"/>
        <w:jc w:val="both"/>
        <w:rPr>
          <w:rFonts w:ascii="Arial" w:hAnsi="Arial" w:cs="Arial"/>
          <w:sz w:val="20"/>
          <w:szCs w:val="20"/>
          <w:lang w:eastAsia="es-MX"/>
        </w:rPr>
      </w:pPr>
      <w:r w:rsidRPr="00BF5B9D">
        <w:rPr>
          <w:rFonts w:ascii="Arial" w:hAnsi="Arial" w:cs="Arial"/>
          <w:sz w:val="20"/>
          <w:szCs w:val="20"/>
          <w:lang w:eastAsia="es-MX"/>
        </w:rPr>
        <w:t>Las disposiciones vigentes de la Ley General de Contabilidad Gubernamental (LGCG) y normas reglamentarias emitidas a través de acuerdos del Consejo Nacional de Armonización Contable (CONAC).</w:t>
      </w:r>
    </w:p>
    <w:p w14:paraId="79300E82" w14:textId="77777777" w:rsidR="006C3F9A" w:rsidRDefault="006C3F9A" w:rsidP="006C3F9A">
      <w:pPr>
        <w:tabs>
          <w:tab w:val="left" w:leader="underscore" w:pos="9639"/>
        </w:tabs>
        <w:spacing w:after="0" w:line="240" w:lineRule="auto"/>
        <w:jc w:val="both"/>
        <w:rPr>
          <w:rFonts w:ascii="Arial" w:hAnsi="Arial" w:cs="Arial"/>
          <w:sz w:val="20"/>
          <w:szCs w:val="20"/>
          <w:lang w:eastAsia="es-MX"/>
        </w:rPr>
      </w:pPr>
    </w:p>
    <w:p w14:paraId="43A98477" w14:textId="77777777" w:rsidR="007D1E76" w:rsidRPr="00BF5B9D" w:rsidRDefault="006C3F9A" w:rsidP="006C3F9A">
      <w:pPr>
        <w:tabs>
          <w:tab w:val="left" w:leader="underscore" w:pos="9639"/>
        </w:tabs>
        <w:spacing w:after="0" w:line="240" w:lineRule="auto"/>
        <w:jc w:val="both"/>
        <w:rPr>
          <w:rFonts w:ascii="Arial" w:hAnsi="Arial" w:cs="Arial"/>
          <w:sz w:val="20"/>
          <w:szCs w:val="20"/>
        </w:rPr>
      </w:pPr>
      <w:r w:rsidRPr="00977706">
        <w:rPr>
          <w:rFonts w:ascii="Arial" w:hAnsi="Arial" w:cs="Arial"/>
          <w:sz w:val="20"/>
          <w:szCs w:val="20"/>
          <w:lang w:eastAsia="es-MX"/>
        </w:rPr>
        <w:t xml:space="preserve">Es importante mencionar que este fideicomiso se encuentra en proceso de incorporarse al Sistema Integral de SAP </w:t>
      </w:r>
      <w:r w:rsidR="00AF4ED3">
        <w:rPr>
          <w:rFonts w:ascii="Arial" w:hAnsi="Arial" w:cs="Arial"/>
          <w:sz w:val="20"/>
          <w:szCs w:val="20"/>
          <w:lang w:eastAsia="es-MX"/>
        </w:rPr>
        <w:t>4 Hanna</w:t>
      </w:r>
      <w:r w:rsidRPr="00977706">
        <w:rPr>
          <w:rFonts w:ascii="Arial" w:hAnsi="Arial" w:cs="Arial"/>
          <w:sz w:val="20"/>
          <w:szCs w:val="20"/>
          <w:lang w:eastAsia="es-MX"/>
        </w:rPr>
        <w:t>, con el apoyo de las áreas técnicas de la Secretaría de Finanzas Inversión y Administración.</w:t>
      </w:r>
    </w:p>
    <w:p w14:paraId="594BB128"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p>
    <w:p w14:paraId="47D822E6"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b/>
          <w:sz w:val="20"/>
          <w:szCs w:val="20"/>
        </w:rPr>
        <w:t>b)</w:t>
      </w:r>
      <w:r w:rsidRPr="00BF5B9D">
        <w:rPr>
          <w:rFonts w:ascii="Arial" w:hAnsi="Arial" w:cs="Arial"/>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BF5B9D">
        <w:rPr>
          <w:rFonts w:ascii="Arial" w:hAnsi="Arial" w:cs="Arial"/>
          <w:sz w:val="20"/>
          <w:szCs w:val="20"/>
        </w:rPr>
        <w:t>los mismos</w:t>
      </w:r>
      <w:proofErr w:type="gramEnd"/>
      <w:r w:rsidRPr="00BF5B9D">
        <w:rPr>
          <w:rFonts w:ascii="Arial" w:hAnsi="Arial" w:cs="Arial"/>
          <w:sz w:val="20"/>
          <w:szCs w:val="20"/>
        </w:rPr>
        <w:t>.</w:t>
      </w:r>
    </w:p>
    <w:p w14:paraId="49BFA373" w14:textId="77777777" w:rsidR="00104B24" w:rsidRDefault="00104B24" w:rsidP="006C3F9A">
      <w:pPr>
        <w:tabs>
          <w:tab w:val="num" w:pos="1560"/>
        </w:tabs>
        <w:ind w:right="51"/>
        <w:jc w:val="both"/>
        <w:rPr>
          <w:rFonts w:ascii="Arial" w:hAnsi="Arial" w:cs="Arial"/>
          <w:sz w:val="20"/>
          <w:szCs w:val="20"/>
          <w:lang w:eastAsia="es-MX"/>
        </w:rPr>
      </w:pPr>
    </w:p>
    <w:p w14:paraId="57EE6112" w14:textId="77777777" w:rsidR="006C3F9A" w:rsidRPr="00BF5B9D" w:rsidRDefault="006C3F9A" w:rsidP="006C3F9A">
      <w:pPr>
        <w:tabs>
          <w:tab w:val="num" w:pos="1560"/>
        </w:tabs>
        <w:ind w:right="51"/>
        <w:jc w:val="both"/>
        <w:rPr>
          <w:rFonts w:ascii="Arial" w:hAnsi="Arial" w:cs="Arial"/>
          <w:sz w:val="20"/>
          <w:szCs w:val="20"/>
          <w:lang w:eastAsia="es-MX"/>
        </w:rPr>
      </w:pPr>
      <w:r w:rsidRPr="00BF5B9D">
        <w:rPr>
          <w:rFonts w:ascii="Arial" w:hAnsi="Arial" w:cs="Arial"/>
          <w:sz w:val="20"/>
          <w:szCs w:val="20"/>
          <w:lang w:eastAsia="es-MX"/>
        </w:rPr>
        <w:t>De conformidad con el Marco Conceptual Gubernamental se pueden aplicar supletoriamente y en el orden a continuación señalado las siguientes normas:</w:t>
      </w:r>
    </w:p>
    <w:p w14:paraId="6F0ED7C3" w14:textId="77777777" w:rsidR="006C3F9A" w:rsidRPr="00BF5B9D" w:rsidRDefault="006C3F9A" w:rsidP="006C3F9A">
      <w:pPr>
        <w:numPr>
          <w:ilvl w:val="0"/>
          <w:numId w:val="2"/>
        </w:numPr>
        <w:tabs>
          <w:tab w:val="clear" w:pos="2165"/>
        </w:tabs>
        <w:spacing w:after="0" w:line="240" w:lineRule="auto"/>
        <w:ind w:left="0" w:right="51" w:firstLine="0"/>
        <w:jc w:val="both"/>
        <w:rPr>
          <w:rFonts w:ascii="Arial" w:hAnsi="Arial" w:cs="Arial"/>
          <w:sz w:val="20"/>
          <w:szCs w:val="20"/>
          <w:lang w:eastAsia="es-MX"/>
        </w:rPr>
      </w:pPr>
      <w:r w:rsidRPr="00BF5B9D">
        <w:rPr>
          <w:rFonts w:ascii="Arial" w:hAnsi="Arial" w:cs="Arial"/>
          <w:sz w:val="20"/>
          <w:szCs w:val="20"/>
          <w:lang w:eastAsia="es-MX"/>
        </w:rPr>
        <w:t>La Normatividad emitida por las unidades administrativas o instancias competentes en materia de Contabilidad Gubernamental.</w:t>
      </w:r>
    </w:p>
    <w:p w14:paraId="27784715" w14:textId="77777777" w:rsidR="006C3F9A" w:rsidRPr="00BF5B9D" w:rsidRDefault="006C3F9A" w:rsidP="006C3F9A">
      <w:pPr>
        <w:numPr>
          <w:ilvl w:val="0"/>
          <w:numId w:val="2"/>
        </w:numPr>
        <w:tabs>
          <w:tab w:val="clear" w:pos="2165"/>
        </w:tabs>
        <w:spacing w:after="0" w:line="240" w:lineRule="auto"/>
        <w:ind w:left="0" w:right="51" w:firstLine="0"/>
        <w:jc w:val="both"/>
        <w:rPr>
          <w:rFonts w:ascii="Arial" w:hAnsi="Arial" w:cs="Arial"/>
          <w:sz w:val="20"/>
          <w:szCs w:val="20"/>
          <w:lang w:eastAsia="es-MX"/>
        </w:rPr>
      </w:pPr>
      <w:r w:rsidRPr="00BF5B9D">
        <w:rPr>
          <w:rFonts w:ascii="Arial" w:hAnsi="Arial" w:cs="Arial"/>
          <w:sz w:val="20"/>
          <w:szCs w:val="20"/>
          <w:lang w:eastAsia="es-MX"/>
        </w:rPr>
        <w:lastRenderedPageBreak/>
        <w:t>Normas Internacionales de Contabilidad para el Sector Público (NICSP).</w:t>
      </w:r>
    </w:p>
    <w:p w14:paraId="4C4BB231" w14:textId="77777777" w:rsidR="007D1E76" w:rsidRPr="00BF5B9D" w:rsidRDefault="006C3F9A" w:rsidP="00BF5B9D">
      <w:pPr>
        <w:numPr>
          <w:ilvl w:val="0"/>
          <w:numId w:val="2"/>
        </w:numPr>
        <w:tabs>
          <w:tab w:val="clear" w:pos="2165"/>
        </w:tabs>
        <w:spacing w:after="0" w:line="240" w:lineRule="auto"/>
        <w:ind w:left="0" w:right="51" w:firstLine="0"/>
        <w:jc w:val="both"/>
        <w:rPr>
          <w:rFonts w:ascii="Arial" w:hAnsi="Arial" w:cs="Arial"/>
          <w:sz w:val="20"/>
          <w:szCs w:val="20"/>
        </w:rPr>
      </w:pPr>
      <w:r w:rsidRPr="00BF5B9D">
        <w:rPr>
          <w:rFonts w:ascii="Arial" w:hAnsi="Arial" w:cs="Arial"/>
          <w:sz w:val="20"/>
          <w:szCs w:val="20"/>
          <w:lang w:eastAsia="es-MX"/>
        </w:rPr>
        <w:t>Las Normas de Información Financiera (NIF) emitidas por el Consejo Mexicano de Normas de Información Financiera, A. C.</w:t>
      </w:r>
    </w:p>
    <w:p w14:paraId="0EFFD92C"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p>
    <w:p w14:paraId="083B1885"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b/>
          <w:sz w:val="20"/>
          <w:szCs w:val="20"/>
        </w:rPr>
        <w:t>c)</w:t>
      </w:r>
      <w:r w:rsidRPr="00BF5B9D">
        <w:rPr>
          <w:rFonts w:ascii="Arial" w:hAnsi="Arial" w:cs="Arial"/>
          <w:sz w:val="20"/>
          <w:szCs w:val="20"/>
        </w:rPr>
        <w:t xml:space="preserve"> Postulados básicos.</w:t>
      </w:r>
    </w:p>
    <w:p w14:paraId="5E286E3F" w14:textId="77777777" w:rsidR="00C82F63" w:rsidRPr="00BF5B9D" w:rsidRDefault="00C82F63" w:rsidP="006745FE">
      <w:pPr>
        <w:spacing w:after="0" w:line="240" w:lineRule="auto"/>
        <w:jc w:val="both"/>
        <w:rPr>
          <w:rFonts w:ascii="Arial" w:hAnsi="Arial" w:cs="Arial"/>
          <w:sz w:val="20"/>
          <w:szCs w:val="20"/>
        </w:rPr>
      </w:pPr>
    </w:p>
    <w:p w14:paraId="501A4F1C"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xml:space="preserve">A </w:t>
      </w:r>
      <w:r w:rsidR="002565EE" w:rsidRPr="00BF5B9D">
        <w:rPr>
          <w:rFonts w:ascii="Arial" w:hAnsi="Arial" w:cs="Arial"/>
          <w:sz w:val="20"/>
          <w:szCs w:val="20"/>
        </w:rPr>
        <w:t>continuación,</w:t>
      </w:r>
      <w:r w:rsidRPr="00BF5B9D">
        <w:rPr>
          <w:rFonts w:ascii="Arial" w:hAnsi="Arial" w:cs="Arial"/>
          <w:sz w:val="20"/>
          <w:szCs w:val="20"/>
        </w:rPr>
        <w:t xml:space="preserve"> se presentan los Postulados Básicos de Contabilidad Gubernamental (PBCG) aplicados por la Entidad:</w:t>
      </w:r>
    </w:p>
    <w:p w14:paraId="1C59D86A" w14:textId="77777777" w:rsidR="00C82F63" w:rsidRPr="00BF5B9D" w:rsidRDefault="00C82F63" w:rsidP="006745FE">
      <w:pPr>
        <w:spacing w:after="0" w:line="240" w:lineRule="auto"/>
        <w:jc w:val="both"/>
        <w:rPr>
          <w:rFonts w:ascii="Arial" w:hAnsi="Arial" w:cs="Arial"/>
          <w:sz w:val="20"/>
          <w:szCs w:val="20"/>
        </w:rPr>
      </w:pPr>
    </w:p>
    <w:p w14:paraId="3DD01BEC"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Sustancia económica.</w:t>
      </w:r>
    </w:p>
    <w:p w14:paraId="73CBF629"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Entes públicos.</w:t>
      </w:r>
    </w:p>
    <w:p w14:paraId="72AF8365"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Existencia permanente.</w:t>
      </w:r>
    </w:p>
    <w:p w14:paraId="5250A750"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Revelación suficiente.</w:t>
      </w:r>
    </w:p>
    <w:p w14:paraId="7B2F7802"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Importancia relativa.</w:t>
      </w:r>
    </w:p>
    <w:p w14:paraId="671BDDA9"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Registro e integración presupuestaria.</w:t>
      </w:r>
    </w:p>
    <w:p w14:paraId="33137CD4"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Consolidación de la información financiera.</w:t>
      </w:r>
    </w:p>
    <w:p w14:paraId="0DA8A217"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Devengo contable.</w:t>
      </w:r>
    </w:p>
    <w:p w14:paraId="195F145D"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Valuación.</w:t>
      </w:r>
    </w:p>
    <w:p w14:paraId="6F9CFC9D" w14:textId="77777777" w:rsidR="006745FE" w:rsidRPr="00BF5B9D" w:rsidRDefault="006745FE" w:rsidP="006745FE">
      <w:pPr>
        <w:spacing w:after="0" w:line="240" w:lineRule="auto"/>
        <w:jc w:val="both"/>
        <w:rPr>
          <w:rFonts w:ascii="Arial" w:hAnsi="Arial" w:cs="Arial"/>
          <w:sz w:val="20"/>
          <w:szCs w:val="20"/>
        </w:rPr>
      </w:pPr>
      <w:r w:rsidRPr="00BF5B9D">
        <w:rPr>
          <w:rFonts w:ascii="Arial" w:hAnsi="Arial" w:cs="Arial"/>
          <w:sz w:val="20"/>
          <w:szCs w:val="20"/>
        </w:rPr>
        <w:t> Dualidad económica.</w:t>
      </w:r>
    </w:p>
    <w:p w14:paraId="74940227" w14:textId="77777777" w:rsidR="007D1E76" w:rsidRPr="00BF5B9D" w:rsidRDefault="006745FE" w:rsidP="006745FE">
      <w:pPr>
        <w:tabs>
          <w:tab w:val="left" w:leader="underscore" w:pos="9639"/>
        </w:tabs>
        <w:spacing w:after="0" w:line="240" w:lineRule="auto"/>
        <w:jc w:val="both"/>
        <w:rPr>
          <w:rFonts w:ascii="Arial" w:hAnsi="Arial" w:cs="Arial"/>
          <w:sz w:val="20"/>
          <w:szCs w:val="20"/>
        </w:rPr>
      </w:pPr>
      <w:r w:rsidRPr="00BF5B9D">
        <w:rPr>
          <w:rFonts w:ascii="Arial" w:hAnsi="Arial" w:cs="Arial"/>
          <w:sz w:val="20"/>
          <w:szCs w:val="20"/>
        </w:rPr>
        <w:t></w:t>
      </w:r>
      <w:r w:rsidR="00BF5B9D">
        <w:rPr>
          <w:rFonts w:ascii="Arial" w:hAnsi="Arial" w:cs="Arial"/>
          <w:sz w:val="20"/>
          <w:szCs w:val="20"/>
        </w:rPr>
        <w:t xml:space="preserve"> </w:t>
      </w:r>
      <w:r w:rsidRPr="00BF5B9D">
        <w:rPr>
          <w:rFonts w:ascii="Arial" w:hAnsi="Arial" w:cs="Arial"/>
          <w:sz w:val="20"/>
          <w:szCs w:val="20"/>
        </w:rPr>
        <w:t>Consistencia.</w:t>
      </w:r>
    </w:p>
    <w:p w14:paraId="6D237A64"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p>
    <w:p w14:paraId="051B41A6" w14:textId="77777777" w:rsidR="007D1E76"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b/>
          <w:sz w:val="20"/>
          <w:szCs w:val="20"/>
        </w:rPr>
        <w:t>d)</w:t>
      </w:r>
      <w:r w:rsidRPr="00BF5B9D">
        <w:rPr>
          <w:rFonts w:ascii="Arial" w:hAnsi="Arial" w:cs="Arial"/>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1B21F67" w14:textId="77777777" w:rsidR="006425BD" w:rsidRPr="00BF5B9D" w:rsidRDefault="006425BD" w:rsidP="00CB41C4">
      <w:pPr>
        <w:tabs>
          <w:tab w:val="left" w:leader="underscore" w:pos="9639"/>
        </w:tabs>
        <w:spacing w:after="0" w:line="240" w:lineRule="auto"/>
        <w:jc w:val="both"/>
        <w:rPr>
          <w:rFonts w:ascii="Arial" w:hAnsi="Arial" w:cs="Arial"/>
          <w:sz w:val="20"/>
          <w:szCs w:val="20"/>
        </w:rPr>
      </w:pPr>
    </w:p>
    <w:p w14:paraId="296B5855" w14:textId="77777777" w:rsidR="00877DC1" w:rsidRDefault="004B101D" w:rsidP="00CB41C4">
      <w:pPr>
        <w:tabs>
          <w:tab w:val="left" w:leader="underscore" w:pos="9639"/>
        </w:tabs>
        <w:spacing w:after="0" w:line="240" w:lineRule="auto"/>
        <w:jc w:val="both"/>
        <w:rPr>
          <w:rFonts w:ascii="Arial" w:hAnsi="Arial" w:cs="Arial"/>
          <w:sz w:val="20"/>
          <w:szCs w:val="20"/>
          <w:lang w:eastAsia="es-MX"/>
        </w:rPr>
      </w:pPr>
      <w:r w:rsidRPr="00BF5B9D">
        <w:rPr>
          <w:rFonts w:ascii="Arial" w:hAnsi="Arial" w:cs="Arial"/>
          <w:sz w:val="20"/>
          <w:szCs w:val="20"/>
        </w:rPr>
        <w:t xml:space="preserve">Normas </w:t>
      </w:r>
      <w:r w:rsidR="00877DC1" w:rsidRPr="00BF5B9D">
        <w:rPr>
          <w:rFonts w:ascii="Arial" w:hAnsi="Arial" w:cs="Arial"/>
          <w:sz w:val="20"/>
          <w:szCs w:val="20"/>
          <w:lang w:eastAsia="es-MX"/>
        </w:rPr>
        <w:t>Internacionales de Contabilidad para el Sector Público (NICSP)</w:t>
      </w:r>
      <w:r w:rsidR="00877DC1">
        <w:rPr>
          <w:rFonts w:ascii="Arial" w:hAnsi="Arial" w:cs="Arial"/>
          <w:sz w:val="20"/>
          <w:szCs w:val="20"/>
          <w:lang w:eastAsia="es-MX"/>
        </w:rPr>
        <w:t xml:space="preserve"> y,</w:t>
      </w:r>
    </w:p>
    <w:p w14:paraId="16288B47" w14:textId="77777777" w:rsidR="007D1E76" w:rsidRPr="00BF5B9D" w:rsidRDefault="00877DC1"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lang w:eastAsia="es-MX"/>
        </w:rPr>
        <w:t xml:space="preserve">Normas </w:t>
      </w:r>
      <w:r w:rsidR="004B101D" w:rsidRPr="00BF5B9D">
        <w:rPr>
          <w:rFonts w:ascii="Arial" w:hAnsi="Arial" w:cs="Arial"/>
          <w:sz w:val="20"/>
          <w:szCs w:val="20"/>
        </w:rPr>
        <w:t>de Información Financiera (NIF), emitidas por el Consejo Mexicano de Normas de Información Financiera (CINIF).</w:t>
      </w:r>
    </w:p>
    <w:p w14:paraId="2C73D778"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p>
    <w:p w14:paraId="731DE4AB"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b/>
          <w:sz w:val="20"/>
          <w:szCs w:val="20"/>
        </w:rPr>
        <w:t>e)</w:t>
      </w:r>
      <w:r w:rsidRPr="00BF5B9D">
        <w:rPr>
          <w:rFonts w:ascii="Arial" w:hAnsi="Arial" w:cs="Arial"/>
          <w:sz w:val="20"/>
          <w:szCs w:val="20"/>
        </w:rPr>
        <w:t xml:space="preserve"> Para las entidades que por primera vez estén implementando </w:t>
      </w:r>
      <w:r w:rsidR="002565EE" w:rsidRPr="00BF5B9D">
        <w:rPr>
          <w:rFonts w:ascii="Arial" w:hAnsi="Arial" w:cs="Arial"/>
          <w:sz w:val="20"/>
          <w:szCs w:val="20"/>
        </w:rPr>
        <w:t>la base devengada</w:t>
      </w:r>
      <w:r w:rsidRPr="00BF5B9D">
        <w:rPr>
          <w:rFonts w:ascii="Arial" w:hAnsi="Arial" w:cs="Arial"/>
          <w:sz w:val="20"/>
          <w:szCs w:val="20"/>
        </w:rPr>
        <w:t xml:space="preserve"> </w:t>
      </w:r>
      <w:proofErr w:type="gramStart"/>
      <w:r w:rsidRPr="00BF5B9D">
        <w:rPr>
          <w:rFonts w:ascii="Arial" w:hAnsi="Arial" w:cs="Arial"/>
          <w:sz w:val="20"/>
          <w:szCs w:val="20"/>
        </w:rPr>
        <w:t>de acuerdo a</w:t>
      </w:r>
      <w:proofErr w:type="gramEnd"/>
      <w:r w:rsidRPr="00BF5B9D">
        <w:rPr>
          <w:rFonts w:ascii="Arial" w:hAnsi="Arial" w:cs="Arial"/>
          <w:sz w:val="20"/>
          <w:szCs w:val="20"/>
        </w:rPr>
        <w:t xml:space="preserve"> la Ley de Contabilidad, deberán:</w:t>
      </w:r>
    </w:p>
    <w:p w14:paraId="5CDA584C"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p>
    <w:p w14:paraId="3F7A5644"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sz w:val="20"/>
          <w:szCs w:val="20"/>
        </w:rPr>
        <w:t>*Revelar las nuevas políticas de reconocimiento:</w:t>
      </w:r>
    </w:p>
    <w:p w14:paraId="534C55CE" w14:textId="77777777" w:rsidR="007D1E76" w:rsidRPr="00BF5B9D" w:rsidRDefault="004B101D" w:rsidP="00CB41C4">
      <w:pPr>
        <w:tabs>
          <w:tab w:val="left" w:leader="underscore" w:pos="9639"/>
        </w:tabs>
        <w:spacing w:after="0" w:line="240" w:lineRule="auto"/>
        <w:jc w:val="both"/>
        <w:rPr>
          <w:rFonts w:ascii="Arial" w:hAnsi="Arial" w:cs="Arial"/>
          <w:sz w:val="20"/>
          <w:szCs w:val="20"/>
        </w:rPr>
      </w:pPr>
      <w:r w:rsidRPr="00BF5B9D">
        <w:rPr>
          <w:rFonts w:ascii="Arial" w:hAnsi="Arial" w:cs="Arial"/>
          <w:sz w:val="20"/>
          <w:szCs w:val="20"/>
        </w:rPr>
        <w:t>No Aplica</w:t>
      </w:r>
      <w:r w:rsidR="007B11FB" w:rsidRPr="00BF5B9D">
        <w:rPr>
          <w:rFonts w:ascii="Arial" w:hAnsi="Arial" w:cs="Arial"/>
          <w:sz w:val="20"/>
          <w:szCs w:val="20"/>
        </w:rPr>
        <w:t>.</w:t>
      </w:r>
    </w:p>
    <w:p w14:paraId="32849747" w14:textId="77777777" w:rsidR="008D6298" w:rsidRPr="00BF5B9D" w:rsidRDefault="008D6298" w:rsidP="00CB41C4">
      <w:pPr>
        <w:tabs>
          <w:tab w:val="left" w:leader="underscore" w:pos="9639"/>
        </w:tabs>
        <w:spacing w:after="0" w:line="240" w:lineRule="auto"/>
        <w:jc w:val="both"/>
        <w:rPr>
          <w:rFonts w:ascii="Arial" w:hAnsi="Arial" w:cs="Arial"/>
          <w:sz w:val="20"/>
          <w:szCs w:val="20"/>
        </w:rPr>
      </w:pPr>
    </w:p>
    <w:p w14:paraId="23AC57A9" w14:textId="77777777" w:rsidR="007D1E76" w:rsidRPr="00BF5B9D" w:rsidRDefault="007D1E76" w:rsidP="00CB41C4">
      <w:pPr>
        <w:tabs>
          <w:tab w:val="left" w:leader="underscore" w:pos="9639"/>
        </w:tabs>
        <w:spacing w:after="0" w:line="240" w:lineRule="auto"/>
        <w:jc w:val="both"/>
        <w:rPr>
          <w:rFonts w:ascii="Arial" w:hAnsi="Arial" w:cs="Arial"/>
          <w:sz w:val="20"/>
          <w:szCs w:val="20"/>
        </w:rPr>
      </w:pPr>
      <w:r w:rsidRPr="00BF5B9D">
        <w:rPr>
          <w:rFonts w:ascii="Arial" w:hAnsi="Arial" w:cs="Arial"/>
          <w:sz w:val="20"/>
          <w:szCs w:val="20"/>
        </w:rPr>
        <w:t>*Plan de implementación:</w:t>
      </w:r>
    </w:p>
    <w:p w14:paraId="25ABB235" w14:textId="77777777" w:rsidR="007D1E76" w:rsidRPr="006A7328" w:rsidRDefault="004B101D" w:rsidP="00CB41C4">
      <w:pPr>
        <w:tabs>
          <w:tab w:val="left" w:leader="underscore" w:pos="9639"/>
        </w:tabs>
        <w:spacing w:after="0" w:line="240" w:lineRule="auto"/>
        <w:jc w:val="both"/>
        <w:rPr>
          <w:rFonts w:ascii="Arial" w:hAnsi="Arial" w:cs="Arial"/>
          <w:sz w:val="20"/>
          <w:szCs w:val="20"/>
        </w:rPr>
      </w:pPr>
      <w:r w:rsidRPr="00BF5B9D">
        <w:rPr>
          <w:rFonts w:ascii="Arial" w:hAnsi="Arial" w:cs="Arial"/>
          <w:sz w:val="20"/>
          <w:szCs w:val="20"/>
        </w:rPr>
        <w:t>No Aplica</w:t>
      </w:r>
      <w:r w:rsidR="007B11FB" w:rsidRPr="00BF5B9D">
        <w:rPr>
          <w:rFonts w:ascii="Arial" w:hAnsi="Arial" w:cs="Arial"/>
          <w:sz w:val="20"/>
          <w:szCs w:val="20"/>
        </w:rPr>
        <w:t>.</w:t>
      </w:r>
    </w:p>
    <w:p w14:paraId="46E05D7E" w14:textId="77777777" w:rsidR="007D1E76" w:rsidRPr="006A7328" w:rsidRDefault="007D1E76" w:rsidP="00CB41C4">
      <w:pPr>
        <w:tabs>
          <w:tab w:val="left" w:leader="underscore" w:pos="9639"/>
        </w:tabs>
        <w:spacing w:after="0" w:line="240" w:lineRule="auto"/>
        <w:jc w:val="both"/>
        <w:rPr>
          <w:rFonts w:ascii="Arial" w:hAnsi="Arial" w:cs="Arial"/>
          <w:sz w:val="20"/>
          <w:szCs w:val="20"/>
        </w:rPr>
      </w:pPr>
    </w:p>
    <w:p w14:paraId="286F7421" w14:textId="77777777" w:rsidR="007D1E76" w:rsidRPr="006A7328" w:rsidRDefault="007D1E76" w:rsidP="00CB41C4">
      <w:pPr>
        <w:tabs>
          <w:tab w:val="left" w:leader="underscore" w:pos="9639"/>
        </w:tabs>
        <w:spacing w:after="0" w:line="240" w:lineRule="auto"/>
        <w:jc w:val="both"/>
        <w:rPr>
          <w:rFonts w:ascii="Arial" w:hAnsi="Arial" w:cs="Arial"/>
          <w:sz w:val="20"/>
          <w:szCs w:val="20"/>
        </w:rPr>
      </w:pPr>
      <w:r w:rsidRPr="006A7328">
        <w:rPr>
          <w:rFonts w:ascii="Arial" w:hAnsi="Arial" w:cs="Arial"/>
          <w:sz w:val="20"/>
          <w:szCs w:val="20"/>
        </w:rPr>
        <w:t xml:space="preserve">*Revelar los cambios en las políticas, la clasificación y medición de </w:t>
      </w:r>
      <w:proofErr w:type="gramStart"/>
      <w:r w:rsidRPr="006A7328">
        <w:rPr>
          <w:rFonts w:ascii="Arial" w:hAnsi="Arial" w:cs="Arial"/>
          <w:sz w:val="20"/>
          <w:szCs w:val="20"/>
        </w:rPr>
        <w:t>las mismas</w:t>
      </w:r>
      <w:proofErr w:type="gramEnd"/>
      <w:r w:rsidRPr="006A7328">
        <w:rPr>
          <w:rFonts w:ascii="Arial" w:hAnsi="Arial" w:cs="Arial"/>
          <w:sz w:val="20"/>
          <w:szCs w:val="20"/>
        </w:rPr>
        <w:t>, así como su impacto en la información financiera:</w:t>
      </w:r>
    </w:p>
    <w:p w14:paraId="56C6E928" w14:textId="77777777" w:rsidR="007D1E76" w:rsidRPr="006A7328" w:rsidRDefault="004B101D" w:rsidP="006A5AC6">
      <w:pPr>
        <w:tabs>
          <w:tab w:val="left" w:leader="underscore" w:pos="9639"/>
        </w:tabs>
        <w:spacing w:after="0" w:line="240" w:lineRule="auto"/>
        <w:jc w:val="both"/>
        <w:rPr>
          <w:rFonts w:ascii="Arial" w:hAnsi="Arial" w:cs="Arial"/>
          <w:sz w:val="20"/>
          <w:szCs w:val="20"/>
        </w:rPr>
      </w:pPr>
      <w:r w:rsidRPr="006A7328">
        <w:rPr>
          <w:rFonts w:ascii="Arial" w:hAnsi="Arial" w:cs="Arial"/>
          <w:sz w:val="20"/>
          <w:szCs w:val="20"/>
        </w:rPr>
        <w:t>No Aplica</w:t>
      </w:r>
      <w:r w:rsidR="007B11FB" w:rsidRPr="006A7328">
        <w:rPr>
          <w:rFonts w:ascii="Arial" w:hAnsi="Arial" w:cs="Arial"/>
          <w:sz w:val="20"/>
          <w:szCs w:val="20"/>
        </w:rPr>
        <w:t>.</w:t>
      </w:r>
    </w:p>
    <w:p w14:paraId="27EB9533" w14:textId="77777777" w:rsidR="007D1E76" w:rsidRPr="006A7328" w:rsidRDefault="007D1E76" w:rsidP="006A5AC6">
      <w:pPr>
        <w:tabs>
          <w:tab w:val="left" w:leader="underscore" w:pos="9639"/>
        </w:tabs>
        <w:spacing w:after="0" w:line="240" w:lineRule="auto"/>
        <w:jc w:val="both"/>
        <w:rPr>
          <w:rFonts w:ascii="Arial" w:hAnsi="Arial" w:cs="Arial"/>
          <w:sz w:val="20"/>
          <w:szCs w:val="20"/>
        </w:rPr>
      </w:pPr>
    </w:p>
    <w:p w14:paraId="13C78E10" w14:textId="77777777" w:rsidR="007D1E76" w:rsidRPr="006A7328" w:rsidRDefault="00983283" w:rsidP="006A5AC6">
      <w:pPr>
        <w:pStyle w:val="Ttulo2"/>
        <w:jc w:val="both"/>
        <w:rPr>
          <w:rFonts w:ascii="Arial" w:hAnsi="Arial" w:cs="Arial"/>
          <w:b/>
          <w:sz w:val="20"/>
          <w:szCs w:val="20"/>
        </w:rPr>
      </w:pPr>
      <w:bookmarkStart w:id="4" w:name="_Toc136350934"/>
      <w:r>
        <w:rPr>
          <w:rFonts w:ascii="Arial" w:hAnsi="Arial" w:cs="Arial"/>
          <w:b/>
          <w:color w:val="auto"/>
          <w:sz w:val="20"/>
          <w:szCs w:val="20"/>
        </w:rPr>
        <w:t>5</w:t>
      </w:r>
      <w:r w:rsidR="007D1E76" w:rsidRPr="006A7328">
        <w:rPr>
          <w:rFonts w:ascii="Arial" w:hAnsi="Arial" w:cs="Arial"/>
          <w:b/>
          <w:color w:val="auto"/>
          <w:sz w:val="20"/>
          <w:szCs w:val="20"/>
        </w:rPr>
        <w:t>. Políticas de</w:t>
      </w:r>
      <w:r w:rsidR="00E00323" w:rsidRPr="006A7328">
        <w:rPr>
          <w:rFonts w:ascii="Arial" w:hAnsi="Arial" w:cs="Arial"/>
          <w:b/>
          <w:color w:val="auto"/>
          <w:sz w:val="20"/>
          <w:szCs w:val="20"/>
        </w:rPr>
        <w:t xml:space="preserve"> Contabilidad Significativas:</w:t>
      </w:r>
      <w:bookmarkEnd w:id="4"/>
    </w:p>
    <w:p w14:paraId="69A1A8B1" w14:textId="77777777" w:rsidR="007D1E76" w:rsidRPr="006A7328" w:rsidRDefault="007D1E76" w:rsidP="006A5AC6">
      <w:pPr>
        <w:tabs>
          <w:tab w:val="left" w:leader="underscore" w:pos="9639"/>
        </w:tabs>
        <w:spacing w:after="0" w:line="240" w:lineRule="auto"/>
        <w:jc w:val="both"/>
        <w:rPr>
          <w:rFonts w:ascii="Arial" w:hAnsi="Arial" w:cs="Arial"/>
          <w:sz w:val="20"/>
          <w:szCs w:val="20"/>
        </w:rPr>
      </w:pPr>
    </w:p>
    <w:p w14:paraId="79D186EF" w14:textId="77777777" w:rsidR="007D1E76" w:rsidRPr="006A7328" w:rsidRDefault="007D1E76" w:rsidP="006A5AC6">
      <w:pPr>
        <w:tabs>
          <w:tab w:val="left" w:leader="underscore" w:pos="9639"/>
        </w:tabs>
        <w:spacing w:after="0" w:line="240" w:lineRule="auto"/>
        <w:jc w:val="both"/>
        <w:rPr>
          <w:rFonts w:ascii="Arial" w:hAnsi="Arial" w:cs="Arial"/>
          <w:sz w:val="20"/>
          <w:szCs w:val="20"/>
        </w:rPr>
      </w:pPr>
      <w:r w:rsidRPr="006A7328">
        <w:rPr>
          <w:rFonts w:ascii="Arial" w:hAnsi="Arial" w:cs="Arial"/>
          <w:sz w:val="20"/>
          <w:szCs w:val="20"/>
        </w:rPr>
        <w:t>Se informará sobre:</w:t>
      </w:r>
    </w:p>
    <w:p w14:paraId="76326998" w14:textId="77777777" w:rsidR="007D1E76" w:rsidRPr="006A7328" w:rsidRDefault="007D1E76" w:rsidP="006A5AC6">
      <w:pPr>
        <w:tabs>
          <w:tab w:val="left" w:leader="underscore" w:pos="9639"/>
        </w:tabs>
        <w:spacing w:after="0" w:line="240" w:lineRule="auto"/>
        <w:jc w:val="both"/>
        <w:rPr>
          <w:rFonts w:ascii="Arial" w:hAnsi="Arial" w:cs="Arial"/>
          <w:sz w:val="20"/>
          <w:szCs w:val="20"/>
        </w:rPr>
      </w:pPr>
    </w:p>
    <w:p w14:paraId="0709E648" w14:textId="77777777" w:rsidR="007D1E76" w:rsidRPr="006A7328" w:rsidRDefault="007D1E76" w:rsidP="00CB41C4">
      <w:pPr>
        <w:tabs>
          <w:tab w:val="left" w:leader="underscore" w:pos="9639"/>
        </w:tabs>
        <w:spacing w:after="0" w:line="240" w:lineRule="auto"/>
        <w:jc w:val="both"/>
        <w:rPr>
          <w:rFonts w:ascii="Arial" w:hAnsi="Arial" w:cs="Arial"/>
          <w:sz w:val="20"/>
          <w:szCs w:val="20"/>
        </w:rPr>
      </w:pPr>
      <w:r w:rsidRPr="006A7328">
        <w:rPr>
          <w:rFonts w:ascii="Arial" w:hAnsi="Arial" w:cs="Arial"/>
          <w:b/>
          <w:sz w:val="20"/>
          <w:szCs w:val="20"/>
        </w:rPr>
        <w:t>a)</w:t>
      </w:r>
      <w:r w:rsidRPr="006A7328">
        <w:rPr>
          <w:rFonts w:ascii="Arial" w:hAnsi="Arial" w:cs="Arial"/>
          <w:sz w:val="20"/>
          <w:szCs w:val="20"/>
        </w:rPr>
        <w:t xml:space="preserve"> Actualización: se informará del método utilizado para la actualización del valor de los activos, pasivos y Hacienda Pública/</w:t>
      </w:r>
      <w:r w:rsidR="00657009" w:rsidRPr="006A7328">
        <w:rPr>
          <w:rFonts w:ascii="Arial" w:hAnsi="Arial" w:cs="Arial"/>
          <w:sz w:val="20"/>
          <w:szCs w:val="20"/>
        </w:rPr>
        <w:t>P</w:t>
      </w:r>
      <w:r w:rsidRPr="006A7328">
        <w:rPr>
          <w:rFonts w:ascii="Arial" w:hAnsi="Arial" w:cs="Arial"/>
          <w:sz w:val="20"/>
          <w:szCs w:val="20"/>
        </w:rPr>
        <w:t>atrimonio y las razones de dicha elección. Así como informar de la desconexión o reconexión inflacionaria:</w:t>
      </w:r>
    </w:p>
    <w:p w14:paraId="21D40797" w14:textId="77777777" w:rsidR="00AD46C7" w:rsidRPr="006A7328" w:rsidRDefault="00AD46C7" w:rsidP="00CB41C4">
      <w:pPr>
        <w:tabs>
          <w:tab w:val="left" w:leader="underscore" w:pos="9639"/>
        </w:tabs>
        <w:spacing w:after="0" w:line="240" w:lineRule="auto"/>
        <w:jc w:val="both"/>
        <w:rPr>
          <w:rFonts w:ascii="Arial" w:hAnsi="Arial" w:cs="Arial"/>
          <w:sz w:val="20"/>
          <w:szCs w:val="20"/>
        </w:rPr>
      </w:pPr>
    </w:p>
    <w:p w14:paraId="5E33DE81"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 xml:space="preserve">A </w:t>
      </w:r>
      <w:r w:rsidR="002565EE" w:rsidRPr="006A7328">
        <w:rPr>
          <w:rFonts w:ascii="Arial" w:hAnsi="Arial" w:cs="Arial"/>
          <w:sz w:val="20"/>
          <w:szCs w:val="20"/>
        </w:rPr>
        <w:t>continuación,</w:t>
      </w:r>
      <w:r w:rsidRPr="006A7328">
        <w:rPr>
          <w:rFonts w:ascii="Arial" w:hAnsi="Arial" w:cs="Arial"/>
          <w:sz w:val="20"/>
          <w:szCs w:val="20"/>
        </w:rPr>
        <w:t xml:space="preserve"> se describen las políticas y prácticas contables seguidas de manera consistente por la </w:t>
      </w:r>
      <w:r w:rsidR="006A7328">
        <w:rPr>
          <w:rFonts w:ascii="Arial" w:hAnsi="Arial" w:cs="Arial"/>
          <w:sz w:val="20"/>
          <w:szCs w:val="20"/>
        </w:rPr>
        <w:t>e</w:t>
      </w:r>
      <w:r w:rsidRPr="006A7328">
        <w:rPr>
          <w:rFonts w:ascii="Arial" w:hAnsi="Arial" w:cs="Arial"/>
          <w:sz w:val="20"/>
          <w:szCs w:val="20"/>
        </w:rPr>
        <w:t>ntidad en los años que se presentan, a menos que se especifique lo contrario.</w:t>
      </w:r>
    </w:p>
    <w:p w14:paraId="06EBF2FA"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lastRenderedPageBreak/>
        <w:t>El Marco Conceptual de Contabilidad Gubernamental requiere el uso de ciertas estimaciones contables en la preparación de estados financieros. Asimismo, se requiere el ejercicio de un juicio de parte de la Administración en el proceso de definición de las políticas de contabilidad de la Entidad.</w:t>
      </w:r>
    </w:p>
    <w:p w14:paraId="24D51AD1"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p>
    <w:p w14:paraId="1E728E08"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a. Efectivo y equivalentes de efectivo:</w:t>
      </w:r>
    </w:p>
    <w:p w14:paraId="2BBF9509" w14:textId="77777777" w:rsidR="00AD46C7" w:rsidRPr="006A7328" w:rsidRDefault="00AD46C7" w:rsidP="007B11FB">
      <w:pPr>
        <w:autoSpaceDE w:val="0"/>
        <w:autoSpaceDN w:val="0"/>
        <w:adjustRightInd w:val="0"/>
        <w:spacing w:after="0" w:line="240" w:lineRule="auto"/>
        <w:jc w:val="both"/>
        <w:rPr>
          <w:rFonts w:ascii="Arial" w:hAnsi="Arial" w:cs="Arial"/>
          <w:sz w:val="20"/>
          <w:szCs w:val="20"/>
        </w:rPr>
      </w:pPr>
    </w:p>
    <w:p w14:paraId="6FC542B9"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 xml:space="preserve">Las inversiones financieras que tienen un plazo de vencimiento de hasta 91 días, son clasificadas como inversiones temporales; aquellas inversiones con plazo de vencimiento de 92 días hasta un </w:t>
      </w:r>
      <w:proofErr w:type="gramStart"/>
      <w:r w:rsidRPr="006A7328">
        <w:rPr>
          <w:rFonts w:ascii="Arial" w:hAnsi="Arial" w:cs="Arial"/>
          <w:sz w:val="20"/>
          <w:szCs w:val="20"/>
        </w:rPr>
        <w:t>año,</w:t>
      </w:r>
      <w:proofErr w:type="gramEnd"/>
      <w:r w:rsidRPr="006A7328">
        <w:rPr>
          <w:rFonts w:ascii="Arial" w:hAnsi="Arial" w:cs="Arial"/>
          <w:sz w:val="20"/>
          <w:szCs w:val="20"/>
        </w:rPr>
        <w:t xml:space="preserve"> son clasificadas como inversiones de corto plazo. Tanto las inversiones temporales como las de corto plazo se presentan en el activo circulante. Las inversiones con plazo de vencimiento mayor a un año se presentan dentro del activo no circulante.</w:t>
      </w:r>
    </w:p>
    <w:p w14:paraId="7D9DA5D8" w14:textId="77777777" w:rsidR="00556EB8" w:rsidRPr="006A7328" w:rsidRDefault="00556EB8" w:rsidP="007B11FB">
      <w:pPr>
        <w:autoSpaceDE w:val="0"/>
        <w:autoSpaceDN w:val="0"/>
        <w:adjustRightInd w:val="0"/>
        <w:spacing w:after="0" w:line="240" w:lineRule="auto"/>
        <w:jc w:val="both"/>
        <w:rPr>
          <w:rFonts w:ascii="Arial" w:hAnsi="Arial" w:cs="Arial"/>
          <w:sz w:val="20"/>
          <w:szCs w:val="20"/>
        </w:rPr>
      </w:pPr>
    </w:p>
    <w:p w14:paraId="23F04C60" w14:textId="77777777" w:rsidR="003A0EDB" w:rsidRDefault="003A0EDB" w:rsidP="007B11FB">
      <w:pPr>
        <w:autoSpaceDE w:val="0"/>
        <w:autoSpaceDN w:val="0"/>
        <w:adjustRightInd w:val="0"/>
        <w:spacing w:after="0" w:line="240" w:lineRule="auto"/>
        <w:jc w:val="both"/>
        <w:rPr>
          <w:rFonts w:ascii="Arial" w:hAnsi="Arial" w:cs="Arial"/>
          <w:sz w:val="20"/>
          <w:szCs w:val="20"/>
        </w:rPr>
      </w:pPr>
    </w:p>
    <w:p w14:paraId="5191C39A" w14:textId="77777777" w:rsidR="003A0EDB" w:rsidRDefault="003A0EDB" w:rsidP="007B11FB">
      <w:pPr>
        <w:autoSpaceDE w:val="0"/>
        <w:autoSpaceDN w:val="0"/>
        <w:adjustRightInd w:val="0"/>
        <w:spacing w:after="0" w:line="240" w:lineRule="auto"/>
        <w:jc w:val="both"/>
        <w:rPr>
          <w:rFonts w:ascii="Arial" w:hAnsi="Arial" w:cs="Arial"/>
          <w:sz w:val="20"/>
          <w:szCs w:val="20"/>
        </w:rPr>
      </w:pPr>
    </w:p>
    <w:p w14:paraId="6009CAED"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b. Cuentas por cobrar:</w:t>
      </w:r>
    </w:p>
    <w:p w14:paraId="72BADA15" w14:textId="77777777" w:rsidR="00AD46C7" w:rsidRPr="006A7328" w:rsidRDefault="00AD46C7" w:rsidP="007B11FB">
      <w:pPr>
        <w:autoSpaceDE w:val="0"/>
        <w:autoSpaceDN w:val="0"/>
        <w:adjustRightInd w:val="0"/>
        <w:spacing w:after="0" w:line="240" w:lineRule="auto"/>
        <w:jc w:val="both"/>
        <w:rPr>
          <w:rFonts w:ascii="Arial" w:hAnsi="Arial" w:cs="Arial"/>
          <w:sz w:val="20"/>
          <w:szCs w:val="20"/>
        </w:rPr>
      </w:pPr>
    </w:p>
    <w:p w14:paraId="054D5EBB"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Las cuentas por cobrar representan importes adeudados por clientes y son originadas por intereses sobre préstamos colocados, en el curso normal de las operaciones de la Entidad. Cuando se espera cobrarlas en un período de un año o menos desde la fecha de cierre (o en el ciclo normal de sus operaciones en el caso que este ciclo exceda este periodo), se presentan como activo circulante. En caso de no cumplir con lo anteriormente mencionado se presentan como activos no circulantes. Las otras cuentas por cobrar representan importes originados por otros ingresos diferentes a los intereses sobre préstamos colocados, en el curso normal de las operaciones de la Entidad; las cuales se espera cobrar en un periodo de un año o menos desde la fecha de cierre (o en el ciclo normal de operaciones de la Entidad en el caso que este ciclo exceda este periodo), se presentan como activo circulante. En caso de no cumplir con lo anteriormente mencionado se presentan como activos no circulantes. Las cuentas por cobrar se reconocen inicialmente a su valor razonable menos la reserva por incobrabilidad, en caso de corresponder.</w:t>
      </w:r>
    </w:p>
    <w:p w14:paraId="0437CC3B" w14:textId="77777777" w:rsidR="006425BD" w:rsidRPr="006A7328" w:rsidRDefault="006425BD" w:rsidP="007B11FB">
      <w:pPr>
        <w:autoSpaceDE w:val="0"/>
        <w:autoSpaceDN w:val="0"/>
        <w:adjustRightInd w:val="0"/>
        <w:spacing w:after="0" w:line="240" w:lineRule="auto"/>
        <w:jc w:val="both"/>
        <w:rPr>
          <w:rFonts w:ascii="Arial" w:hAnsi="Arial" w:cs="Arial"/>
          <w:sz w:val="20"/>
          <w:szCs w:val="20"/>
        </w:rPr>
      </w:pPr>
    </w:p>
    <w:p w14:paraId="6BA2B1EC"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c. Préstamos otorgados:</w:t>
      </w:r>
    </w:p>
    <w:p w14:paraId="5B90974E" w14:textId="77777777" w:rsidR="00AD46C7" w:rsidRPr="006A7328" w:rsidRDefault="00AD46C7" w:rsidP="007B11FB">
      <w:pPr>
        <w:autoSpaceDE w:val="0"/>
        <w:autoSpaceDN w:val="0"/>
        <w:adjustRightInd w:val="0"/>
        <w:spacing w:after="0" w:line="240" w:lineRule="auto"/>
        <w:jc w:val="both"/>
        <w:rPr>
          <w:rFonts w:ascii="Arial" w:hAnsi="Arial" w:cs="Arial"/>
          <w:sz w:val="20"/>
          <w:szCs w:val="20"/>
        </w:rPr>
      </w:pPr>
    </w:p>
    <w:p w14:paraId="55096CD1"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 xml:space="preserve">Dichos préstamos se registran en el momento en que se otorgan. Los intereses por devengar de los préstamos otorgados se reconocen en los resultados conforme se devengan. Los préstamos, se presentan </w:t>
      </w:r>
      <w:proofErr w:type="gramStart"/>
      <w:r w:rsidRPr="006A7328">
        <w:rPr>
          <w:rFonts w:ascii="Arial" w:hAnsi="Arial" w:cs="Arial"/>
          <w:sz w:val="20"/>
          <w:szCs w:val="20"/>
        </w:rPr>
        <w:t>de acuerdo a</w:t>
      </w:r>
      <w:proofErr w:type="gramEnd"/>
      <w:r w:rsidRPr="006A7328">
        <w:rPr>
          <w:rFonts w:ascii="Arial" w:hAnsi="Arial" w:cs="Arial"/>
          <w:sz w:val="20"/>
          <w:szCs w:val="20"/>
        </w:rPr>
        <w:t xml:space="preserve"> su plazo de recuperación, dentro del activo circulante se muestran aquellos cuyo vencimiento está dentro de los 12 meses posteriores al cierre del ejercicio, en tanto que en el activo no circulante se presentan aquellos préstamos que exceden del plazo antes mencionado.</w:t>
      </w:r>
    </w:p>
    <w:p w14:paraId="65A073D4" w14:textId="77777777" w:rsidR="00B869D6" w:rsidRPr="006A7328" w:rsidRDefault="00B869D6" w:rsidP="007B11FB">
      <w:pPr>
        <w:autoSpaceDE w:val="0"/>
        <w:autoSpaceDN w:val="0"/>
        <w:adjustRightInd w:val="0"/>
        <w:spacing w:after="0" w:line="240" w:lineRule="auto"/>
        <w:jc w:val="both"/>
        <w:rPr>
          <w:rFonts w:ascii="Arial" w:hAnsi="Arial" w:cs="Arial"/>
          <w:sz w:val="20"/>
          <w:szCs w:val="20"/>
        </w:rPr>
      </w:pPr>
    </w:p>
    <w:p w14:paraId="5788670D"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d. Pagos anticipados:</w:t>
      </w:r>
    </w:p>
    <w:p w14:paraId="26E6522A" w14:textId="77777777" w:rsidR="00AD46C7" w:rsidRPr="006A7328" w:rsidRDefault="00AD46C7" w:rsidP="007B11FB">
      <w:pPr>
        <w:autoSpaceDE w:val="0"/>
        <w:autoSpaceDN w:val="0"/>
        <w:adjustRightInd w:val="0"/>
        <w:spacing w:after="0" w:line="240" w:lineRule="auto"/>
        <w:jc w:val="both"/>
        <w:rPr>
          <w:rFonts w:ascii="Arial" w:hAnsi="Arial" w:cs="Arial"/>
          <w:sz w:val="20"/>
          <w:szCs w:val="20"/>
        </w:rPr>
      </w:pPr>
    </w:p>
    <w:p w14:paraId="6CEAD312"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Los pagos anticipados representan aquellas erogaciones efectuadas por la Entidad en donde no han sido transferidos los beneficios y riesgos inherentes a los bienes que está por adquirir o a los servicios que está por recibir. Los pagos anticipados se registran a su costo y se presentan en el estado de situación financiera como activos circulantes o no circulantes, dependiendo del rubro de la partida de destino. Una vez recibidos los bienes y/o servicios, relativos a los pagos anticipados, estos deben reconocerse como un activo o como un gasto en el estado de actividades del periodo, respectivamente.</w:t>
      </w:r>
    </w:p>
    <w:p w14:paraId="07B05420" w14:textId="77777777" w:rsidR="00B869D6" w:rsidRPr="006A7328" w:rsidRDefault="00B869D6" w:rsidP="007B11FB">
      <w:pPr>
        <w:autoSpaceDE w:val="0"/>
        <w:autoSpaceDN w:val="0"/>
        <w:adjustRightInd w:val="0"/>
        <w:spacing w:after="0" w:line="240" w:lineRule="auto"/>
        <w:jc w:val="both"/>
        <w:rPr>
          <w:rFonts w:ascii="Arial" w:hAnsi="Arial" w:cs="Arial"/>
          <w:sz w:val="20"/>
          <w:szCs w:val="20"/>
        </w:rPr>
      </w:pPr>
    </w:p>
    <w:p w14:paraId="12980966"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e. Bienes muebles:</w:t>
      </w:r>
    </w:p>
    <w:p w14:paraId="6DAD4340" w14:textId="77777777" w:rsidR="00AD46C7" w:rsidRPr="006A7328" w:rsidRDefault="00AD46C7" w:rsidP="007B11FB">
      <w:pPr>
        <w:autoSpaceDE w:val="0"/>
        <w:autoSpaceDN w:val="0"/>
        <w:adjustRightInd w:val="0"/>
        <w:spacing w:after="0" w:line="240" w:lineRule="auto"/>
        <w:jc w:val="both"/>
        <w:rPr>
          <w:rFonts w:ascii="Arial" w:hAnsi="Arial" w:cs="Arial"/>
          <w:sz w:val="20"/>
          <w:szCs w:val="20"/>
        </w:rPr>
      </w:pPr>
    </w:p>
    <w:p w14:paraId="2AF9ED1B"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 xml:space="preserve">Los bienes muebles, se expresan a su costo de adquisición (histórico). La depreciación se calcula por el método de línea recta con base en las vidas útiles de los activos y porcentajes de </w:t>
      </w:r>
      <w:r w:rsidR="002565EE" w:rsidRPr="006A7328">
        <w:rPr>
          <w:rFonts w:ascii="Arial" w:hAnsi="Arial" w:cs="Arial"/>
          <w:sz w:val="20"/>
          <w:szCs w:val="20"/>
        </w:rPr>
        <w:t>depreciación, aplicadas</w:t>
      </w:r>
      <w:r w:rsidRPr="006A7328">
        <w:rPr>
          <w:rFonts w:ascii="Arial" w:hAnsi="Arial" w:cs="Arial"/>
          <w:sz w:val="20"/>
          <w:szCs w:val="20"/>
        </w:rPr>
        <w:t xml:space="preserve"> a los valores de los bienes muebles.</w:t>
      </w:r>
    </w:p>
    <w:p w14:paraId="5109EC37" w14:textId="77777777" w:rsidR="00B869D6" w:rsidRPr="006A7328" w:rsidRDefault="00B869D6" w:rsidP="007B11FB">
      <w:pPr>
        <w:autoSpaceDE w:val="0"/>
        <w:autoSpaceDN w:val="0"/>
        <w:adjustRightInd w:val="0"/>
        <w:spacing w:after="0" w:line="240" w:lineRule="auto"/>
        <w:jc w:val="both"/>
        <w:rPr>
          <w:rFonts w:ascii="Arial" w:hAnsi="Arial" w:cs="Arial"/>
          <w:sz w:val="20"/>
          <w:szCs w:val="20"/>
        </w:rPr>
      </w:pPr>
    </w:p>
    <w:p w14:paraId="04B7D7CB"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f. Bienes adjudicados:</w:t>
      </w:r>
    </w:p>
    <w:p w14:paraId="1BDE4A1C" w14:textId="77777777" w:rsidR="00104B24" w:rsidRDefault="00104B24" w:rsidP="007B11FB">
      <w:pPr>
        <w:autoSpaceDE w:val="0"/>
        <w:autoSpaceDN w:val="0"/>
        <w:adjustRightInd w:val="0"/>
        <w:spacing w:after="0" w:line="240" w:lineRule="auto"/>
        <w:jc w:val="both"/>
        <w:rPr>
          <w:rFonts w:ascii="Arial" w:hAnsi="Arial" w:cs="Arial"/>
          <w:sz w:val="20"/>
          <w:szCs w:val="20"/>
        </w:rPr>
      </w:pPr>
    </w:p>
    <w:p w14:paraId="39CDD2F6"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 xml:space="preserve">Los bienes adjudicados que se conforman de bienes </w:t>
      </w:r>
      <w:proofErr w:type="gramStart"/>
      <w:r w:rsidRPr="006A7328">
        <w:rPr>
          <w:rFonts w:ascii="Arial" w:hAnsi="Arial" w:cs="Arial"/>
          <w:sz w:val="20"/>
          <w:szCs w:val="20"/>
        </w:rPr>
        <w:t>inmuebles,</w:t>
      </w:r>
      <w:proofErr w:type="gramEnd"/>
      <w:r w:rsidRPr="006A7328">
        <w:rPr>
          <w:rFonts w:ascii="Arial" w:hAnsi="Arial" w:cs="Arial"/>
          <w:sz w:val="20"/>
          <w:szCs w:val="20"/>
        </w:rPr>
        <w:t xml:space="preserve"> se expresan a su costo de mercado, el cual es determinado mediante avalúo, al momento de su adjudicación.</w:t>
      </w:r>
    </w:p>
    <w:p w14:paraId="28230973"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lastRenderedPageBreak/>
        <w:t xml:space="preserve">Los bienes inmuebles, deben ser sometidos a pruebas anuales de deterioro únicamente, cuando se identifican indicios de deterioro. </w:t>
      </w:r>
    </w:p>
    <w:p w14:paraId="632E51B3" w14:textId="77777777" w:rsidR="00B869D6" w:rsidRPr="006A7328" w:rsidRDefault="00B869D6" w:rsidP="007B11FB">
      <w:pPr>
        <w:autoSpaceDE w:val="0"/>
        <w:autoSpaceDN w:val="0"/>
        <w:adjustRightInd w:val="0"/>
        <w:spacing w:after="0" w:line="240" w:lineRule="auto"/>
        <w:jc w:val="both"/>
        <w:rPr>
          <w:rFonts w:ascii="Arial" w:hAnsi="Arial" w:cs="Arial"/>
          <w:sz w:val="20"/>
          <w:szCs w:val="20"/>
        </w:rPr>
      </w:pPr>
    </w:p>
    <w:p w14:paraId="03012077"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g. Provisiones:</w:t>
      </w:r>
    </w:p>
    <w:p w14:paraId="5D471FF0" w14:textId="77777777" w:rsidR="00AD46C7" w:rsidRPr="006A7328" w:rsidRDefault="00AD46C7" w:rsidP="007B11FB">
      <w:pPr>
        <w:autoSpaceDE w:val="0"/>
        <w:autoSpaceDN w:val="0"/>
        <w:adjustRightInd w:val="0"/>
        <w:spacing w:after="0" w:line="240" w:lineRule="auto"/>
        <w:jc w:val="both"/>
        <w:rPr>
          <w:rFonts w:ascii="Arial" w:hAnsi="Arial" w:cs="Arial"/>
          <w:sz w:val="20"/>
          <w:szCs w:val="20"/>
        </w:rPr>
      </w:pPr>
    </w:p>
    <w:p w14:paraId="0CA12890"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Las provisiones de pasivo representan obligaciones presentes por eventos pasados en las que es probable (hay más posibilidad de que ocurra a que no ocurra) la salida de recursos económicos en el futuro. En el caso de provisiones a largo plazo, estas son descontadas a su valor presente y las modificaciones a las mismas por cambios en las tasas de descuento utilizadas, se reconocen en el estado de a actividades en el rubro de otros gastos y pérdidas extraordinarias. Estas provisiones se han registrado bajo la mejor estimación realizada por la Administración.</w:t>
      </w:r>
    </w:p>
    <w:p w14:paraId="1D9DD5C9" w14:textId="77777777" w:rsidR="00B869D6" w:rsidRPr="006A7328" w:rsidRDefault="00B869D6" w:rsidP="007B11FB">
      <w:pPr>
        <w:autoSpaceDE w:val="0"/>
        <w:autoSpaceDN w:val="0"/>
        <w:adjustRightInd w:val="0"/>
        <w:spacing w:after="0" w:line="240" w:lineRule="auto"/>
        <w:jc w:val="both"/>
        <w:rPr>
          <w:rFonts w:ascii="Arial" w:hAnsi="Arial" w:cs="Arial"/>
          <w:sz w:val="20"/>
          <w:szCs w:val="20"/>
        </w:rPr>
      </w:pPr>
    </w:p>
    <w:p w14:paraId="4B1F3FB5" w14:textId="77777777" w:rsidR="00D63E65" w:rsidRDefault="00D63E65" w:rsidP="007B11FB">
      <w:pPr>
        <w:autoSpaceDE w:val="0"/>
        <w:autoSpaceDN w:val="0"/>
        <w:adjustRightInd w:val="0"/>
        <w:spacing w:after="0" w:line="240" w:lineRule="auto"/>
        <w:jc w:val="both"/>
        <w:rPr>
          <w:rFonts w:ascii="Arial" w:hAnsi="Arial" w:cs="Arial"/>
          <w:sz w:val="20"/>
          <w:szCs w:val="20"/>
        </w:rPr>
      </w:pPr>
    </w:p>
    <w:p w14:paraId="2D488622" w14:textId="77777777" w:rsidR="00BE7E31" w:rsidRDefault="00BE7E31" w:rsidP="007B11FB">
      <w:pPr>
        <w:autoSpaceDE w:val="0"/>
        <w:autoSpaceDN w:val="0"/>
        <w:adjustRightInd w:val="0"/>
        <w:spacing w:after="0" w:line="240" w:lineRule="auto"/>
        <w:jc w:val="both"/>
        <w:rPr>
          <w:rFonts w:ascii="Arial" w:hAnsi="Arial" w:cs="Arial"/>
          <w:sz w:val="20"/>
          <w:szCs w:val="20"/>
        </w:rPr>
      </w:pPr>
    </w:p>
    <w:p w14:paraId="524E939A"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h. Beneficios a los empleados:</w:t>
      </w:r>
    </w:p>
    <w:p w14:paraId="2B815F33" w14:textId="77777777" w:rsidR="00AD46C7" w:rsidRPr="006A7328" w:rsidRDefault="00AD46C7" w:rsidP="007B11FB">
      <w:pPr>
        <w:autoSpaceDE w:val="0"/>
        <w:autoSpaceDN w:val="0"/>
        <w:adjustRightInd w:val="0"/>
        <w:spacing w:after="0" w:line="240" w:lineRule="auto"/>
        <w:jc w:val="both"/>
        <w:rPr>
          <w:rFonts w:ascii="Arial" w:hAnsi="Arial" w:cs="Arial"/>
          <w:sz w:val="20"/>
          <w:szCs w:val="20"/>
        </w:rPr>
      </w:pPr>
    </w:p>
    <w:p w14:paraId="1D2E02B8"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La Entidad no tiene planes de beneficios a los empleados de contribución definida, con excepción de las requeridas por las leyes de seguridad social. Los beneficios directos a corto y largo plazos (sueldos, salarios, aguinaldos, vacaciones y primas sobre las mismas, etc.) se reconocen en los gastos conforme se devengan y sus pasivos se expresan a su valor nominal. En el caso de ausencias retribuidas conforme a las disposiciones legales o contractuales, estas no son acumulativas. Los beneficios por terminación de la relación laboral por causas distintas a la reestructura (indemnizaciones legales por despido, prima de antigüedad por las causas de muerte, invalidez, despido y separación voluntaria antes de la fecha de jubilación o de retiro sustitutivo de jubilación, gratificaciones adicionales, y servicios médicos, etc.), son registrados con base en estudios realizados por el personal de la Entidad.</w:t>
      </w:r>
    </w:p>
    <w:p w14:paraId="092B027F" w14:textId="77777777" w:rsidR="00E62A88" w:rsidRPr="006A7328" w:rsidRDefault="00E62A88" w:rsidP="007B11FB">
      <w:pPr>
        <w:autoSpaceDE w:val="0"/>
        <w:autoSpaceDN w:val="0"/>
        <w:adjustRightInd w:val="0"/>
        <w:spacing w:after="0" w:line="240" w:lineRule="auto"/>
        <w:jc w:val="both"/>
        <w:rPr>
          <w:rFonts w:ascii="Arial" w:hAnsi="Arial" w:cs="Arial"/>
          <w:sz w:val="20"/>
          <w:szCs w:val="20"/>
        </w:rPr>
      </w:pPr>
    </w:p>
    <w:p w14:paraId="520B77B6"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i. Reconocimiento de ingresos:</w:t>
      </w:r>
    </w:p>
    <w:p w14:paraId="1CFC5617" w14:textId="77777777" w:rsidR="00AD46C7" w:rsidRPr="006A7328" w:rsidRDefault="00AD46C7" w:rsidP="007B11FB">
      <w:pPr>
        <w:autoSpaceDE w:val="0"/>
        <w:autoSpaceDN w:val="0"/>
        <w:adjustRightInd w:val="0"/>
        <w:spacing w:after="0" w:line="240" w:lineRule="auto"/>
        <w:jc w:val="both"/>
        <w:rPr>
          <w:rFonts w:ascii="Arial" w:hAnsi="Arial" w:cs="Arial"/>
          <w:sz w:val="20"/>
          <w:szCs w:val="20"/>
        </w:rPr>
      </w:pPr>
    </w:p>
    <w:p w14:paraId="177F6316" w14:textId="77777777" w:rsidR="007B11FB" w:rsidRPr="006A7328" w:rsidRDefault="007B11FB"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 xml:space="preserve">Los ingresos por las actividades del </w:t>
      </w:r>
      <w:r w:rsidR="006425BD">
        <w:rPr>
          <w:rFonts w:ascii="Arial" w:hAnsi="Arial" w:cs="Arial"/>
          <w:sz w:val="20"/>
          <w:szCs w:val="20"/>
        </w:rPr>
        <w:t>Fideicomiso</w:t>
      </w:r>
      <w:r w:rsidRPr="006A7328">
        <w:rPr>
          <w:rFonts w:ascii="Arial" w:hAnsi="Arial" w:cs="Arial"/>
          <w:sz w:val="20"/>
          <w:szCs w:val="20"/>
        </w:rPr>
        <w:t xml:space="preserve"> se reconocen en el resultado del ejercicio cuando se cumple lo siguiente:</w:t>
      </w:r>
    </w:p>
    <w:p w14:paraId="0D08F559" w14:textId="77777777" w:rsidR="00104B24" w:rsidRDefault="00104B24" w:rsidP="007B11FB">
      <w:pPr>
        <w:autoSpaceDE w:val="0"/>
        <w:autoSpaceDN w:val="0"/>
        <w:adjustRightInd w:val="0"/>
        <w:spacing w:after="0" w:line="240" w:lineRule="auto"/>
        <w:jc w:val="both"/>
        <w:rPr>
          <w:rFonts w:ascii="Arial" w:hAnsi="Arial" w:cs="Arial"/>
          <w:sz w:val="20"/>
          <w:szCs w:val="20"/>
        </w:rPr>
      </w:pPr>
    </w:p>
    <w:p w14:paraId="2BB90D35" w14:textId="77777777" w:rsidR="007B11FB" w:rsidRPr="006A7328" w:rsidRDefault="00B869D6"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I</w:t>
      </w:r>
      <w:r w:rsidR="007B11FB" w:rsidRPr="006A7328">
        <w:rPr>
          <w:rFonts w:ascii="Arial" w:hAnsi="Arial" w:cs="Arial"/>
          <w:sz w:val="20"/>
          <w:szCs w:val="20"/>
        </w:rPr>
        <w:t>) Los ingresos por transferencias y aportaciones se reconocen en el momento en que se reciben y/o se devengan.</w:t>
      </w:r>
    </w:p>
    <w:p w14:paraId="753C74BB" w14:textId="77777777" w:rsidR="00104B24" w:rsidRDefault="00104B24" w:rsidP="007B11FB">
      <w:pPr>
        <w:autoSpaceDE w:val="0"/>
        <w:autoSpaceDN w:val="0"/>
        <w:adjustRightInd w:val="0"/>
        <w:spacing w:after="0" w:line="240" w:lineRule="auto"/>
        <w:jc w:val="both"/>
        <w:rPr>
          <w:rFonts w:ascii="Arial" w:hAnsi="Arial" w:cs="Arial"/>
          <w:sz w:val="20"/>
          <w:szCs w:val="20"/>
        </w:rPr>
      </w:pPr>
    </w:p>
    <w:p w14:paraId="2B5718E7" w14:textId="77777777" w:rsidR="007B11FB" w:rsidRPr="006A7328" w:rsidRDefault="00B869D6"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II</w:t>
      </w:r>
      <w:r w:rsidR="007B11FB" w:rsidRPr="006A7328">
        <w:rPr>
          <w:rFonts w:ascii="Arial" w:hAnsi="Arial" w:cs="Arial"/>
          <w:sz w:val="20"/>
          <w:szCs w:val="20"/>
        </w:rPr>
        <w:t>) La ganancia en inversiones temporales, se reconocen cuando se devengan.</w:t>
      </w:r>
    </w:p>
    <w:p w14:paraId="47633035" w14:textId="77777777" w:rsidR="00104B24" w:rsidRDefault="00104B24" w:rsidP="007B11FB">
      <w:pPr>
        <w:autoSpaceDE w:val="0"/>
        <w:autoSpaceDN w:val="0"/>
        <w:adjustRightInd w:val="0"/>
        <w:spacing w:after="0" w:line="240" w:lineRule="auto"/>
        <w:jc w:val="both"/>
        <w:rPr>
          <w:rFonts w:ascii="Arial" w:hAnsi="Arial" w:cs="Arial"/>
          <w:sz w:val="20"/>
          <w:szCs w:val="20"/>
        </w:rPr>
      </w:pPr>
    </w:p>
    <w:p w14:paraId="433D365F" w14:textId="77777777" w:rsidR="007B11FB" w:rsidRPr="00DF3484" w:rsidRDefault="00B869D6" w:rsidP="007B11FB">
      <w:pPr>
        <w:autoSpaceDE w:val="0"/>
        <w:autoSpaceDN w:val="0"/>
        <w:adjustRightInd w:val="0"/>
        <w:spacing w:after="0" w:line="240" w:lineRule="auto"/>
        <w:jc w:val="both"/>
        <w:rPr>
          <w:rFonts w:ascii="Arial" w:hAnsi="Arial" w:cs="Arial"/>
          <w:sz w:val="20"/>
          <w:szCs w:val="20"/>
        </w:rPr>
      </w:pPr>
      <w:r w:rsidRPr="006A7328">
        <w:rPr>
          <w:rFonts w:ascii="Arial" w:hAnsi="Arial" w:cs="Arial"/>
          <w:sz w:val="20"/>
          <w:szCs w:val="20"/>
        </w:rPr>
        <w:t>III</w:t>
      </w:r>
      <w:r w:rsidR="007B11FB" w:rsidRPr="006A7328">
        <w:rPr>
          <w:rFonts w:ascii="Arial" w:hAnsi="Arial" w:cs="Arial"/>
          <w:sz w:val="20"/>
          <w:szCs w:val="20"/>
        </w:rPr>
        <w:t xml:space="preserve">) Los ingresos por intereses se reconocen en el momento en que se devengan </w:t>
      </w:r>
      <w:proofErr w:type="gramStart"/>
      <w:r w:rsidR="007B11FB" w:rsidRPr="006A7328">
        <w:rPr>
          <w:rFonts w:ascii="Arial" w:hAnsi="Arial" w:cs="Arial"/>
          <w:sz w:val="20"/>
          <w:szCs w:val="20"/>
        </w:rPr>
        <w:t>de acuerdo a</w:t>
      </w:r>
      <w:proofErr w:type="gramEnd"/>
      <w:r w:rsidR="007B11FB" w:rsidRPr="006A7328">
        <w:rPr>
          <w:rFonts w:ascii="Arial" w:hAnsi="Arial" w:cs="Arial"/>
          <w:sz w:val="20"/>
          <w:szCs w:val="20"/>
        </w:rPr>
        <w:t xml:space="preserve"> los contratos respectivos.</w:t>
      </w:r>
    </w:p>
    <w:p w14:paraId="1E5BC18A" w14:textId="77777777" w:rsidR="00B869D6" w:rsidRPr="00DF3484" w:rsidRDefault="00B869D6" w:rsidP="007B11FB">
      <w:pPr>
        <w:autoSpaceDE w:val="0"/>
        <w:autoSpaceDN w:val="0"/>
        <w:adjustRightInd w:val="0"/>
        <w:spacing w:after="0" w:line="240" w:lineRule="auto"/>
        <w:jc w:val="both"/>
        <w:rPr>
          <w:rFonts w:ascii="Arial" w:hAnsi="Arial" w:cs="Arial"/>
          <w:sz w:val="20"/>
          <w:szCs w:val="20"/>
        </w:rPr>
      </w:pPr>
    </w:p>
    <w:p w14:paraId="411C9B9B" w14:textId="77777777" w:rsidR="007B11FB" w:rsidRPr="00DF3484" w:rsidRDefault="007B11FB" w:rsidP="007B11FB">
      <w:pPr>
        <w:autoSpaceDE w:val="0"/>
        <w:autoSpaceDN w:val="0"/>
        <w:adjustRightInd w:val="0"/>
        <w:spacing w:after="0" w:line="240" w:lineRule="auto"/>
        <w:jc w:val="both"/>
        <w:rPr>
          <w:rFonts w:ascii="Arial" w:hAnsi="Arial" w:cs="Arial"/>
          <w:sz w:val="20"/>
          <w:szCs w:val="20"/>
        </w:rPr>
      </w:pPr>
      <w:r w:rsidRPr="00DF3484">
        <w:rPr>
          <w:rFonts w:ascii="Arial" w:hAnsi="Arial" w:cs="Arial"/>
          <w:sz w:val="20"/>
          <w:szCs w:val="20"/>
        </w:rPr>
        <w:t>j. Otras estimaciones para ingresos:</w:t>
      </w:r>
    </w:p>
    <w:p w14:paraId="018A664C" w14:textId="77777777" w:rsidR="00104B24" w:rsidRDefault="00104B24" w:rsidP="007B11FB">
      <w:pPr>
        <w:autoSpaceDE w:val="0"/>
        <w:autoSpaceDN w:val="0"/>
        <w:adjustRightInd w:val="0"/>
        <w:spacing w:after="0" w:line="240" w:lineRule="auto"/>
        <w:jc w:val="both"/>
        <w:rPr>
          <w:rFonts w:ascii="Arial" w:hAnsi="Arial" w:cs="Arial"/>
          <w:sz w:val="20"/>
          <w:szCs w:val="20"/>
        </w:rPr>
      </w:pPr>
    </w:p>
    <w:p w14:paraId="3583350C" w14:textId="77777777" w:rsidR="007B11FB" w:rsidRPr="00DF3484" w:rsidRDefault="007B11FB" w:rsidP="007B11FB">
      <w:pPr>
        <w:autoSpaceDE w:val="0"/>
        <w:autoSpaceDN w:val="0"/>
        <w:adjustRightInd w:val="0"/>
        <w:spacing w:after="0" w:line="240" w:lineRule="auto"/>
        <w:jc w:val="both"/>
        <w:rPr>
          <w:rFonts w:ascii="Arial" w:hAnsi="Arial" w:cs="Arial"/>
          <w:sz w:val="20"/>
          <w:szCs w:val="20"/>
        </w:rPr>
      </w:pPr>
      <w:r w:rsidRPr="00DF3484">
        <w:rPr>
          <w:rFonts w:ascii="Arial" w:hAnsi="Arial" w:cs="Arial"/>
          <w:sz w:val="20"/>
          <w:szCs w:val="20"/>
        </w:rPr>
        <w:t>La estimación para castigo de cuentas por cobrar se reconoce con base en estudios realizados por la Administración de la Entidad y se considera suficiente para absorber pérdidas. Las aplicaciones a dicha estimación se reconocen conforme al grado de avance en la gestión de su recuperación.</w:t>
      </w:r>
    </w:p>
    <w:p w14:paraId="0596D31F" w14:textId="77777777" w:rsidR="00B869D6" w:rsidRPr="00DF3484" w:rsidRDefault="00B869D6" w:rsidP="007B11FB">
      <w:pPr>
        <w:autoSpaceDE w:val="0"/>
        <w:autoSpaceDN w:val="0"/>
        <w:adjustRightInd w:val="0"/>
        <w:spacing w:after="0" w:line="240" w:lineRule="auto"/>
        <w:jc w:val="both"/>
        <w:rPr>
          <w:rFonts w:ascii="Arial" w:hAnsi="Arial" w:cs="Arial"/>
          <w:sz w:val="20"/>
          <w:szCs w:val="20"/>
        </w:rPr>
      </w:pPr>
    </w:p>
    <w:p w14:paraId="062E0F54" w14:textId="77777777" w:rsidR="007B11FB" w:rsidRPr="00DF3484" w:rsidRDefault="007B11FB" w:rsidP="007B11FB">
      <w:pPr>
        <w:autoSpaceDE w:val="0"/>
        <w:autoSpaceDN w:val="0"/>
        <w:adjustRightInd w:val="0"/>
        <w:spacing w:after="0" w:line="240" w:lineRule="auto"/>
        <w:jc w:val="both"/>
        <w:rPr>
          <w:rFonts w:ascii="Arial" w:hAnsi="Arial" w:cs="Arial"/>
          <w:sz w:val="20"/>
          <w:szCs w:val="20"/>
        </w:rPr>
      </w:pPr>
      <w:r w:rsidRPr="00DF3484">
        <w:rPr>
          <w:rFonts w:ascii="Arial" w:hAnsi="Arial" w:cs="Arial"/>
          <w:sz w:val="20"/>
          <w:szCs w:val="20"/>
        </w:rPr>
        <w:t>k. Cuentas de orden:</w:t>
      </w:r>
    </w:p>
    <w:p w14:paraId="300EAC6F" w14:textId="77777777" w:rsidR="00104B24" w:rsidRDefault="00104B24" w:rsidP="007B11FB">
      <w:pPr>
        <w:tabs>
          <w:tab w:val="left" w:leader="underscore" w:pos="9639"/>
        </w:tabs>
        <w:spacing w:after="0" w:line="240" w:lineRule="auto"/>
        <w:jc w:val="both"/>
        <w:rPr>
          <w:rFonts w:ascii="Arial" w:hAnsi="Arial" w:cs="Arial"/>
          <w:sz w:val="20"/>
          <w:szCs w:val="20"/>
        </w:rPr>
      </w:pPr>
    </w:p>
    <w:p w14:paraId="3DF9EA87" w14:textId="77777777" w:rsidR="007D1E76" w:rsidRPr="00DF3484" w:rsidRDefault="007B11FB" w:rsidP="007B11FB">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 xml:space="preserve">La Entidad lleva el control de las cuentas de orden </w:t>
      </w:r>
      <w:proofErr w:type="gramStart"/>
      <w:r w:rsidRPr="00DF3484">
        <w:rPr>
          <w:rFonts w:ascii="Arial" w:hAnsi="Arial" w:cs="Arial"/>
          <w:sz w:val="20"/>
          <w:szCs w:val="20"/>
        </w:rPr>
        <w:t>de acuerdo a</w:t>
      </w:r>
      <w:proofErr w:type="gramEnd"/>
      <w:r w:rsidRPr="00DF3484">
        <w:rPr>
          <w:rFonts w:ascii="Arial" w:hAnsi="Arial" w:cs="Arial"/>
          <w:sz w:val="20"/>
          <w:szCs w:val="20"/>
        </w:rPr>
        <w:t xml:space="preserve"> conceptos particulares de su operación.</w:t>
      </w:r>
    </w:p>
    <w:p w14:paraId="37A70C78"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1E961FC1"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b)</w:t>
      </w:r>
      <w:r w:rsidRPr="00DF3484">
        <w:rPr>
          <w:rFonts w:ascii="Arial" w:hAnsi="Arial" w:cs="Arial"/>
          <w:sz w:val="20"/>
          <w:szCs w:val="20"/>
        </w:rPr>
        <w:t xml:space="preserve"> Informar sobre la realización de operaciones en el extranjero y de sus efectos en la información financiera gubernamental:</w:t>
      </w:r>
    </w:p>
    <w:p w14:paraId="004CDF85" w14:textId="77777777" w:rsidR="007D1E76" w:rsidRPr="00DF3484" w:rsidRDefault="007B11FB"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2027B1D5"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2DDDFAEB"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c)</w:t>
      </w:r>
      <w:r w:rsidRPr="00DF3484">
        <w:rPr>
          <w:rFonts w:ascii="Arial" w:hAnsi="Arial" w:cs="Arial"/>
          <w:sz w:val="20"/>
          <w:szCs w:val="20"/>
        </w:rPr>
        <w:t xml:space="preserve"> Método de valuación de la inversión en acciones de Compañías subsidiarias no consolidadas y asociadas:</w:t>
      </w:r>
    </w:p>
    <w:p w14:paraId="37EFD69F" w14:textId="77777777" w:rsidR="007D1E76" w:rsidRPr="00DF3484" w:rsidRDefault="007B11FB"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07097605" w14:textId="77777777" w:rsidR="00B869D6" w:rsidRPr="00DF3484" w:rsidRDefault="00B869D6" w:rsidP="00CB41C4">
      <w:pPr>
        <w:tabs>
          <w:tab w:val="left" w:leader="underscore" w:pos="9639"/>
        </w:tabs>
        <w:spacing w:after="0" w:line="240" w:lineRule="auto"/>
        <w:jc w:val="both"/>
        <w:rPr>
          <w:rFonts w:ascii="Arial" w:hAnsi="Arial" w:cs="Arial"/>
          <w:sz w:val="20"/>
          <w:szCs w:val="20"/>
        </w:rPr>
      </w:pPr>
    </w:p>
    <w:p w14:paraId="110152A5"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d)</w:t>
      </w:r>
      <w:r w:rsidRPr="00DF3484">
        <w:rPr>
          <w:rFonts w:ascii="Arial" w:hAnsi="Arial" w:cs="Arial"/>
          <w:sz w:val="20"/>
          <w:szCs w:val="20"/>
        </w:rPr>
        <w:t xml:space="preserve"> Sistema y método de valuación de inventarios y costo de lo vendido:</w:t>
      </w:r>
    </w:p>
    <w:p w14:paraId="7ACC3996" w14:textId="77777777" w:rsidR="007D1E76" w:rsidRPr="00DF3484" w:rsidRDefault="007B11FB"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07CA31CC"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72E50DC9"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e)</w:t>
      </w:r>
      <w:r w:rsidRPr="00DF3484">
        <w:rPr>
          <w:rFonts w:ascii="Arial" w:hAnsi="Arial" w:cs="Arial"/>
          <w:sz w:val="20"/>
          <w:szCs w:val="20"/>
        </w:rPr>
        <w:t xml:space="preserve"> Beneficios a empleados: revelar el cálculo de la reserva actuarial, valor presente de los ingresos esperados comparado con el valor presente de la estimación de gastos tanto de los bene</w:t>
      </w:r>
      <w:r w:rsidR="00E0334D">
        <w:rPr>
          <w:rFonts w:ascii="Arial" w:hAnsi="Arial" w:cs="Arial"/>
          <w:sz w:val="20"/>
          <w:szCs w:val="20"/>
        </w:rPr>
        <w:t>ficiarios actuales como futuros:</w:t>
      </w:r>
    </w:p>
    <w:p w14:paraId="584EDE71" w14:textId="77777777" w:rsidR="00C82F63" w:rsidRPr="00DF3484" w:rsidRDefault="00C82F63" w:rsidP="00CB41C4">
      <w:pPr>
        <w:tabs>
          <w:tab w:val="left" w:leader="underscore" w:pos="9639"/>
        </w:tabs>
        <w:spacing w:after="0" w:line="240" w:lineRule="auto"/>
        <w:jc w:val="both"/>
        <w:rPr>
          <w:rFonts w:ascii="Arial" w:hAnsi="Arial" w:cs="Arial"/>
          <w:sz w:val="20"/>
          <w:szCs w:val="20"/>
        </w:rPr>
      </w:pPr>
    </w:p>
    <w:p w14:paraId="64B869CB" w14:textId="77777777" w:rsidR="007B11FB" w:rsidRPr="00DF3484" w:rsidRDefault="007B11FB" w:rsidP="007B11FB">
      <w:pPr>
        <w:autoSpaceDE w:val="0"/>
        <w:autoSpaceDN w:val="0"/>
        <w:adjustRightInd w:val="0"/>
        <w:spacing w:after="0" w:line="240" w:lineRule="auto"/>
        <w:jc w:val="both"/>
        <w:rPr>
          <w:rFonts w:ascii="Arial" w:hAnsi="Arial" w:cs="Arial"/>
          <w:sz w:val="20"/>
          <w:szCs w:val="20"/>
        </w:rPr>
      </w:pPr>
      <w:r w:rsidRPr="00DF3484">
        <w:rPr>
          <w:rFonts w:ascii="Arial" w:hAnsi="Arial" w:cs="Arial"/>
          <w:sz w:val="20"/>
          <w:szCs w:val="20"/>
        </w:rPr>
        <w:t xml:space="preserve">El valor presente de las obligaciones por pensiones depende de un número de premisas que se determinan sobre bases legales por despido, utilizando varios supuestos. Cualquier cambio a estos supuestos </w:t>
      </w:r>
      <w:r w:rsidR="00104B24">
        <w:rPr>
          <w:rFonts w:ascii="Arial" w:hAnsi="Arial" w:cs="Arial"/>
          <w:sz w:val="20"/>
          <w:szCs w:val="20"/>
        </w:rPr>
        <w:t xml:space="preserve">afectaría el pasivo reconocido. </w:t>
      </w:r>
      <w:r w:rsidRPr="00DF3484">
        <w:rPr>
          <w:rFonts w:ascii="Arial" w:hAnsi="Arial" w:cs="Arial"/>
          <w:sz w:val="20"/>
          <w:szCs w:val="20"/>
        </w:rPr>
        <w:t>Al cierre de cada mes se calcula sobre la base de finiquitar a cada empleado, base en el establecido en la</w:t>
      </w:r>
      <w:r w:rsidR="00104B24">
        <w:rPr>
          <w:rFonts w:ascii="Arial" w:hAnsi="Arial" w:cs="Arial"/>
          <w:sz w:val="20"/>
          <w:szCs w:val="20"/>
        </w:rPr>
        <w:t xml:space="preserve"> </w:t>
      </w:r>
      <w:r w:rsidRPr="00DF3484">
        <w:rPr>
          <w:rFonts w:ascii="Arial" w:hAnsi="Arial" w:cs="Arial"/>
          <w:sz w:val="20"/>
          <w:szCs w:val="20"/>
        </w:rPr>
        <w:t>Ley Federal del Trabajo, determinado sobre la base del sueldo por los días trabajados, lo siguiente:</w:t>
      </w:r>
    </w:p>
    <w:p w14:paraId="11BF7B4C" w14:textId="77777777" w:rsidR="007B11FB" w:rsidRPr="00DF3484" w:rsidRDefault="007B11FB" w:rsidP="007B11FB">
      <w:pPr>
        <w:autoSpaceDE w:val="0"/>
        <w:autoSpaceDN w:val="0"/>
        <w:adjustRightInd w:val="0"/>
        <w:spacing w:after="0" w:line="240" w:lineRule="auto"/>
        <w:jc w:val="both"/>
        <w:rPr>
          <w:rFonts w:ascii="Arial" w:hAnsi="Arial" w:cs="Arial"/>
          <w:sz w:val="20"/>
          <w:szCs w:val="20"/>
        </w:rPr>
      </w:pPr>
      <w:r w:rsidRPr="00DF3484">
        <w:rPr>
          <w:rFonts w:ascii="Arial" w:hAnsi="Arial" w:cs="Arial"/>
          <w:sz w:val="20"/>
          <w:szCs w:val="20"/>
        </w:rPr>
        <w:t>Aguinaldo 45 días por año</w:t>
      </w:r>
    </w:p>
    <w:p w14:paraId="79E9D152" w14:textId="77777777" w:rsidR="007B11FB" w:rsidRPr="00DF3484" w:rsidRDefault="007B11FB" w:rsidP="007B11FB">
      <w:pPr>
        <w:autoSpaceDE w:val="0"/>
        <w:autoSpaceDN w:val="0"/>
        <w:adjustRightInd w:val="0"/>
        <w:spacing w:after="0" w:line="240" w:lineRule="auto"/>
        <w:jc w:val="both"/>
        <w:rPr>
          <w:rFonts w:ascii="Arial" w:hAnsi="Arial" w:cs="Arial"/>
          <w:sz w:val="20"/>
          <w:szCs w:val="20"/>
        </w:rPr>
      </w:pPr>
      <w:r w:rsidRPr="00DF3484">
        <w:rPr>
          <w:rFonts w:ascii="Arial" w:hAnsi="Arial" w:cs="Arial"/>
          <w:sz w:val="20"/>
          <w:szCs w:val="20"/>
        </w:rPr>
        <w:t>Prima de antigüedad 12 días por año</w:t>
      </w:r>
    </w:p>
    <w:p w14:paraId="1A103845" w14:textId="77777777" w:rsidR="007B11FB" w:rsidRPr="00DF3484" w:rsidRDefault="007B11FB" w:rsidP="007B11FB">
      <w:pPr>
        <w:autoSpaceDE w:val="0"/>
        <w:autoSpaceDN w:val="0"/>
        <w:adjustRightInd w:val="0"/>
        <w:spacing w:after="0" w:line="240" w:lineRule="auto"/>
        <w:jc w:val="both"/>
        <w:rPr>
          <w:rFonts w:ascii="Arial" w:hAnsi="Arial" w:cs="Arial"/>
          <w:sz w:val="20"/>
          <w:szCs w:val="20"/>
        </w:rPr>
      </w:pPr>
      <w:r w:rsidRPr="00DF3484">
        <w:rPr>
          <w:rFonts w:ascii="Arial" w:hAnsi="Arial" w:cs="Arial"/>
          <w:sz w:val="20"/>
          <w:szCs w:val="20"/>
        </w:rPr>
        <w:t>Indemnización 3 meses</w:t>
      </w:r>
    </w:p>
    <w:p w14:paraId="7B4B5DBE" w14:textId="77777777" w:rsidR="007B11FB" w:rsidRPr="00DF3484" w:rsidRDefault="007B11FB" w:rsidP="007B11FB">
      <w:pPr>
        <w:autoSpaceDE w:val="0"/>
        <w:autoSpaceDN w:val="0"/>
        <w:adjustRightInd w:val="0"/>
        <w:spacing w:after="0" w:line="240" w:lineRule="auto"/>
        <w:jc w:val="both"/>
        <w:rPr>
          <w:rFonts w:ascii="Arial" w:hAnsi="Arial" w:cs="Arial"/>
          <w:sz w:val="20"/>
          <w:szCs w:val="20"/>
        </w:rPr>
      </w:pPr>
      <w:r w:rsidRPr="00DF3484">
        <w:rPr>
          <w:rFonts w:ascii="Arial" w:hAnsi="Arial" w:cs="Arial"/>
          <w:sz w:val="20"/>
          <w:szCs w:val="20"/>
        </w:rPr>
        <w:t>Vacaciones 20 días por año</w:t>
      </w:r>
    </w:p>
    <w:p w14:paraId="15584873" w14:textId="77777777" w:rsidR="007D1E76" w:rsidRPr="00DF3484" w:rsidRDefault="007B11FB" w:rsidP="007B11FB">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Prima Vacacional 25% sobre el total de las percepciones otorgadas.</w:t>
      </w:r>
    </w:p>
    <w:p w14:paraId="76E01228"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0D257315"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f)</w:t>
      </w:r>
      <w:r w:rsidRPr="00DF3484">
        <w:rPr>
          <w:rFonts w:ascii="Arial" w:hAnsi="Arial" w:cs="Arial"/>
          <w:sz w:val="20"/>
          <w:szCs w:val="20"/>
        </w:rPr>
        <w:t xml:space="preserve"> Provisiones: objetiv</w:t>
      </w:r>
      <w:r w:rsidR="00E0334D">
        <w:rPr>
          <w:rFonts w:ascii="Arial" w:hAnsi="Arial" w:cs="Arial"/>
          <w:sz w:val="20"/>
          <w:szCs w:val="20"/>
        </w:rPr>
        <w:t>o de su creación, monto y plazo.</w:t>
      </w:r>
    </w:p>
    <w:p w14:paraId="70BCAB7E" w14:textId="77777777" w:rsidR="00104B24" w:rsidRDefault="00104B24" w:rsidP="00CB41C4">
      <w:pPr>
        <w:tabs>
          <w:tab w:val="left" w:leader="underscore" w:pos="9639"/>
        </w:tabs>
        <w:spacing w:after="0" w:line="240" w:lineRule="auto"/>
        <w:jc w:val="both"/>
        <w:rPr>
          <w:rFonts w:ascii="Arial" w:hAnsi="Arial" w:cs="Arial"/>
          <w:sz w:val="20"/>
          <w:szCs w:val="20"/>
          <w:lang w:eastAsia="es-MX"/>
        </w:rPr>
      </w:pPr>
    </w:p>
    <w:p w14:paraId="110BE9D3" w14:textId="77777777" w:rsidR="007D1E76" w:rsidRPr="00DF3484" w:rsidRDefault="007B11FB"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lang w:eastAsia="es-MX"/>
        </w:rPr>
        <w:t>Las provisiones de pasivo representan obligaciones presentes por eventos pasados en las que es probable (hay más posibilidad de que ocurra a que no ocurra) la salida de recursos económicos en el futuro. En el caso de provisiones a largo plazo, estas son descontadas a su valor presente y las modificaciones a las mismas por cambios en las tasas de descuento utilizadas,</w:t>
      </w:r>
      <w:r w:rsidR="00E0334D">
        <w:rPr>
          <w:rFonts w:ascii="Arial" w:hAnsi="Arial" w:cs="Arial"/>
          <w:sz w:val="20"/>
          <w:szCs w:val="20"/>
          <w:lang w:eastAsia="es-MX"/>
        </w:rPr>
        <w:t xml:space="preserve"> se reconocen en el estado de </w:t>
      </w:r>
      <w:r w:rsidRPr="00DF3484">
        <w:rPr>
          <w:rFonts w:ascii="Arial" w:hAnsi="Arial" w:cs="Arial"/>
          <w:sz w:val="20"/>
          <w:szCs w:val="20"/>
          <w:lang w:eastAsia="es-MX"/>
        </w:rPr>
        <w:t>actividades en el rubro de otros gastos y pérdidas extraordinarias.</w:t>
      </w:r>
    </w:p>
    <w:p w14:paraId="1116109B"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1687D2B1" w14:textId="77777777" w:rsidR="007D1E76"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g)</w:t>
      </w:r>
      <w:r w:rsidRPr="00DF3484">
        <w:rPr>
          <w:rFonts w:ascii="Arial" w:hAnsi="Arial" w:cs="Arial"/>
          <w:sz w:val="20"/>
          <w:szCs w:val="20"/>
        </w:rPr>
        <w:t xml:space="preserve"> Reservas: objetiv</w:t>
      </w:r>
      <w:r w:rsidR="00E0334D">
        <w:rPr>
          <w:rFonts w:ascii="Arial" w:hAnsi="Arial" w:cs="Arial"/>
          <w:sz w:val="20"/>
          <w:szCs w:val="20"/>
        </w:rPr>
        <w:t>o de su creación, monto y plazo.</w:t>
      </w:r>
    </w:p>
    <w:p w14:paraId="73AA959B" w14:textId="77777777" w:rsidR="00E62A88" w:rsidRPr="00DF3484" w:rsidRDefault="00E62A88" w:rsidP="00CB41C4">
      <w:pPr>
        <w:tabs>
          <w:tab w:val="left" w:leader="underscore" w:pos="9639"/>
        </w:tabs>
        <w:spacing w:after="0" w:line="240" w:lineRule="auto"/>
        <w:jc w:val="both"/>
        <w:rPr>
          <w:rFonts w:ascii="Arial" w:hAnsi="Arial" w:cs="Arial"/>
          <w:sz w:val="20"/>
          <w:szCs w:val="20"/>
        </w:rPr>
      </w:pPr>
    </w:p>
    <w:p w14:paraId="723A5C2F" w14:textId="77777777" w:rsidR="007B11FB" w:rsidRPr="00DF3484" w:rsidRDefault="007B11FB" w:rsidP="005C7689">
      <w:pPr>
        <w:jc w:val="both"/>
        <w:rPr>
          <w:rFonts w:ascii="Arial" w:hAnsi="Arial" w:cs="Arial"/>
          <w:sz w:val="20"/>
          <w:szCs w:val="20"/>
        </w:rPr>
      </w:pPr>
      <w:r w:rsidRPr="00DF3484">
        <w:rPr>
          <w:rFonts w:ascii="Arial" w:hAnsi="Arial" w:cs="Arial"/>
          <w:sz w:val="20"/>
          <w:szCs w:val="20"/>
          <w:lang w:eastAsia="es-MX"/>
        </w:rPr>
        <w:t xml:space="preserve">La estimación para castigo de cuentas por cobrar se reconoce con base en estudios realizados por la Administración de la Entidad y se considera suficiente para absorber pérdidas. Las aplicaciones a dicha estimación se reconocen conforme al grado de avance en la gestión de su recuperación. </w:t>
      </w:r>
      <w:r w:rsidRPr="00DF3484">
        <w:rPr>
          <w:rFonts w:ascii="Arial" w:hAnsi="Arial" w:cs="Arial"/>
          <w:sz w:val="20"/>
          <w:szCs w:val="20"/>
        </w:rPr>
        <w:t>La estimación citada, corresponde únicamente a la porción del principal e intereses vencidos, la cual se determina únicamente una vez al año a través de la calificación de la cartera conforme a la metodología autorizada por el Comité Técnico.</w:t>
      </w:r>
      <w:r w:rsidRPr="00DF3484">
        <w:rPr>
          <w:rFonts w:ascii="Arial" w:hAnsi="Arial" w:cs="Arial"/>
          <w:sz w:val="20"/>
          <w:szCs w:val="20"/>
          <w:lang w:eastAsia="es-MX"/>
        </w:rPr>
        <w:t xml:space="preserve"> </w:t>
      </w:r>
      <w:r w:rsidRPr="00DF3484">
        <w:rPr>
          <w:rFonts w:ascii="Arial" w:hAnsi="Arial" w:cs="Arial"/>
          <w:sz w:val="20"/>
          <w:szCs w:val="20"/>
        </w:rPr>
        <w:t>La calificación de cartera crediticia tiene como objetivo el determinar la calidad de los activos de crédito y su grado de recuperación, para a su vez determinar las reservas que deberán constituirse y contra las cuales se deberán aplicar los créditos irrecuperables, o las pérdidas derivadas de la falta de recuperación total de los mismos.</w:t>
      </w:r>
      <w:r w:rsidR="005C7689" w:rsidRPr="00DF3484">
        <w:rPr>
          <w:rFonts w:ascii="Arial" w:hAnsi="Arial" w:cs="Arial"/>
          <w:sz w:val="20"/>
          <w:szCs w:val="20"/>
        </w:rPr>
        <w:t xml:space="preserve"> </w:t>
      </w:r>
      <w:r w:rsidRPr="00DF3484">
        <w:rPr>
          <w:rFonts w:ascii="Arial" w:hAnsi="Arial" w:cs="Arial"/>
          <w:sz w:val="20"/>
          <w:szCs w:val="20"/>
        </w:rPr>
        <w:t>La metodología de calificación de cartera autorizada por el Comité Técnico consiste en las siguientes bases:</w:t>
      </w:r>
    </w:p>
    <w:p w14:paraId="43EF6119" w14:textId="77777777" w:rsidR="007B11FB" w:rsidRPr="00DF3484" w:rsidRDefault="007B11FB" w:rsidP="007B11FB">
      <w:pPr>
        <w:numPr>
          <w:ilvl w:val="0"/>
          <w:numId w:val="4"/>
        </w:numPr>
        <w:spacing w:after="0" w:line="240" w:lineRule="auto"/>
        <w:ind w:left="0" w:right="51" w:firstLine="0"/>
        <w:jc w:val="both"/>
        <w:rPr>
          <w:rFonts w:ascii="Arial" w:hAnsi="Arial" w:cs="Arial"/>
          <w:b/>
          <w:bCs/>
          <w:i/>
          <w:sz w:val="20"/>
          <w:szCs w:val="20"/>
        </w:rPr>
      </w:pPr>
      <w:r w:rsidRPr="00DF3484">
        <w:rPr>
          <w:rFonts w:ascii="Arial" w:hAnsi="Arial" w:cs="Arial"/>
          <w:b/>
          <w:bCs/>
          <w:i/>
          <w:sz w:val="20"/>
          <w:szCs w:val="20"/>
        </w:rPr>
        <w:t>Estratificación de la cartera</w:t>
      </w:r>
      <w:r w:rsidRPr="00DF3484">
        <w:rPr>
          <w:rFonts w:ascii="Arial" w:hAnsi="Arial" w:cs="Arial"/>
          <w:bCs/>
          <w:i/>
          <w:sz w:val="20"/>
          <w:szCs w:val="20"/>
        </w:rPr>
        <w:t xml:space="preserve"> -</w:t>
      </w:r>
      <w:r w:rsidRPr="00DF3484">
        <w:rPr>
          <w:rFonts w:ascii="Arial" w:hAnsi="Arial" w:cs="Arial"/>
          <w:b/>
          <w:bCs/>
          <w:i/>
          <w:sz w:val="20"/>
          <w:szCs w:val="20"/>
        </w:rPr>
        <w:t xml:space="preserve"> </w:t>
      </w:r>
      <w:r w:rsidRPr="00DF3484">
        <w:rPr>
          <w:rFonts w:ascii="Arial" w:hAnsi="Arial" w:cs="Arial"/>
          <w:sz w:val="20"/>
          <w:szCs w:val="20"/>
        </w:rPr>
        <w:t>Se estratificará la totalidad de la cartera en función al número de períodos que reporten incumplimiento de pago total o parcial a la fecha de la calificación, utilizando los datos de por lo menos los doce meses anteriores a dicha fecha y en el caso de cartera nueva, los disponibles en el momento de la calificación clasificándola conforme a lo siguiente:</w:t>
      </w:r>
    </w:p>
    <w:p w14:paraId="516CD6D2" w14:textId="77777777" w:rsidR="007B11FB" w:rsidRPr="00DF3484" w:rsidRDefault="007B11FB" w:rsidP="007B11FB">
      <w:pPr>
        <w:widowControl w:val="0"/>
        <w:tabs>
          <w:tab w:val="left" w:pos="867"/>
          <w:tab w:val="left" w:pos="1276"/>
        </w:tabs>
        <w:jc w:val="both"/>
        <w:rPr>
          <w:rFonts w:ascii="Arial" w:hAnsi="Arial" w:cs="Arial"/>
          <w:sz w:val="20"/>
          <w:szCs w:val="20"/>
        </w:rPr>
      </w:pPr>
    </w:p>
    <w:p w14:paraId="577A0EDA" w14:textId="77777777" w:rsidR="007B11FB" w:rsidRPr="00DF3484" w:rsidRDefault="007B11FB" w:rsidP="007B11FB">
      <w:pPr>
        <w:widowControl w:val="0"/>
        <w:numPr>
          <w:ilvl w:val="0"/>
          <w:numId w:val="6"/>
        </w:numPr>
        <w:tabs>
          <w:tab w:val="left" w:pos="867"/>
          <w:tab w:val="left" w:pos="1276"/>
        </w:tabs>
        <w:spacing w:after="0" w:line="240" w:lineRule="auto"/>
        <w:ind w:left="0" w:firstLine="0"/>
        <w:jc w:val="both"/>
        <w:rPr>
          <w:rFonts w:ascii="Arial" w:hAnsi="Arial" w:cs="Arial"/>
          <w:sz w:val="20"/>
          <w:szCs w:val="20"/>
        </w:rPr>
      </w:pPr>
      <w:r w:rsidRPr="00DF3484">
        <w:rPr>
          <w:rFonts w:ascii="Arial" w:hAnsi="Arial" w:cs="Arial"/>
          <w:b/>
          <w:bCs/>
          <w:sz w:val="20"/>
          <w:szCs w:val="20"/>
        </w:rPr>
        <w:t xml:space="preserve">Cartera sin garantía: </w:t>
      </w:r>
      <w:r w:rsidRPr="00DF3484">
        <w:rPr>
          <w:rFonts w:ascii="Arial" w:hAnsi="Arial" w:cs="Arial"/>
          <w:sz w:val="20"/>
          <w:szCs w:val="20"/>
        </w:rPr>
        <w:t xml:space="preserve">La Cartera Crediticia que no ha sido sujeta de una reestructuración como resultado del emproblemamiento de la misma, se provisionará con base en los porcentajes correspondientes de la columna que se identifica como "Créditos con reestructura", conforme </w:t>
      </w:r>
      <w:r w:rsidR="002565EE" w:rsidRPr="00DF3484">
        <w:rPr>
          <w:rFonts w:ascii="Arial" w:hAnsi="Arial" w:cs="Arial"/>
          <w:sz w:val="20"/>
          <w:szCs w:val="20"/>
        </w:rPr>
        <w:t>a la</w:t>
      </w:r>
      <w:r w:rsidRPr="00DF3484">
        <w:rPr>
          <w:rFonts w:ascii="Arial" w:hAnsi="Arial" w:cs="Arial"/>
          <w:sz w:val="20"/>
          <w:szCs w:val="20"/>
        </w:rPr>
        <w:t xml:space="preserve"> tabla prevista en el numeral II A de la metodología, en caso de no contar con reestructura se provisionará con base en los porcentajes de la columna que se identifica como “Créditos sin reestructura”.</w:t>
      </w:r>
    </w:p>
    <w:p w14:paraId="0098B5DD" w14:textId="77777777" w:rsidR="007B11FB" w:rsidRPr="00DF3484" w:rsidRDefault="007B11FB" w:rsidP="007B11FB">
      <w:pPr>
        <w:widowControl w:val="0"/>
        <w:tabs>
          <w:tab w:val="left" w:pos="867"/>
          <w:tab w:val="left" w:pos="1276"/>
        </w:tabs>
        <w:jc w:val="both"/>
        <w:rPr>
          <w:rFonts w:ascii="Arial" w:hAnsi="Arial" w:cs="Arial"/>
          <w:sz w:val="20"/>
          <w:szCs w:val="20"/>
        </w:rPr>
      </w:pPr>
    </w:p>
    <w:p w14:paraId="7D858BA4" w14:textId="77777777" w:rsidR="007B11FB" w:rsidRPr="00DF3484" w:rsidRDefault="007B11FB" w:rsidP="007B11FB">
      <w:pPr>
        <w:widowControl w:val="0"/>
        <w:numPr>
          <w:ilvl w:val="0"/>
          <w:numId w:val="6"/>
        </w:numPr>
        <w:tabs>
          <w:tab w:val="left" w:pos="867"/>
          <w:tab w:val="left" w:pos="1276"/>
        </w:tabs>
        <w:spacing w:after="0" w:line="240" w:lineRule="auto"/>
        <w:ind w:left="0" w:firstLine="0"/>
        <w:jc w:val="both"/>
        <w:rPr>
          <w:rFonts w:ascii="Arial" w:hAnsi="Arial" w:cs="Arial"/>
          <w:sz w:val="20"/>
          <w:szCs w:val="20"/>
        </w:rPr>
      </w:pPr>
      <w:r w:rsidRPr="00DF3484">
        <w:rPr>
          <w:rFonts w:ascii="Arial" w:hAnsi="Arial" w:cs="Arial"/>
          <w:b/>
          <w:bCs/>
          <w:sz w:val="20"/>
          <w:szCs w:val="20"/>
        </w:rPr>
        <w:t xml:space="preserve">Cartera con garantía: </w:t>
      </w:r>
      <w:r w:rsidRPr="00DF3484">
        <w:rPr>
          <w:rFonts w:ascii="Arial" w:hAnsi="Arial" w:cs="Arial"/>
          <w:sz w:val="20"/>
          <w:szCs w:val="20"/>
        </w:rPr>
        <w:t xml:space="preserve">La Cartera Crediticia que no ha sido sujeta de una reestructuración como resultado del emproblemamiento de la misma, se provisionará con base en los porcentajes correspondientes </w:t>
      </w:r>
      <w:r w:rsidRPr="00DF3484">
        <w:rPr>
          <w:rFonts w:ascii="Arial" w:hAnsi="Arial" w:cs="Arial"/>
          <w:sz w:val="20"/>
          <w:szCs w:val="20"/>
        </w:rPr>
        <w:lastRenderedPageBreak/>
        <w:t xml:space="preserve">de la columna que se identifica como "Créditos con reestructura", conforme </w:t>
      </w:r>
      <w:r w:rsidR="002565EE" w:rsidRPr="00DF3484">
        <w:rPr>
          <w:rFonts w:ascii="Arial" w:hAnsi="Arial" w:cs="Arial"/>
          <w:sz w:val="20"/>
          <w:szCs w:val="20"/>
        </w:rPr>
        <w:t>a la</w:t>
      </w:r>
      <w:r w:rsidRPr="00DF3484">
        <w:rPr>
          <w:rFonts w:ascii="Arial" w:hAnsi="Arial" w:cs="Arial"/>
          <w:sz w:val="20"/>
          <w:szCs w:val="20"/>
        </w:rPr>
        <w:t xml:space="preserve"> tabla prevista en el numeral II B de la metodología, en caso de no contar con reestructura se provisionará con base en los porcentajes de la columna que se identifica como “Créditos sin reestructura”.</w:t>
      </w:r>
    </w:p>
    <w:p w14:paraId="074B00CD" w14:textId="77777777" w:rsidR="00C82F63" w:rsidRPr="00DF3484" w:rsidRDefault="00C82F63" w:rsidP="00C82F63">
      <w:pPr>
        <w:widowControl w:val="0"/>
        <w:tabs>
          <w:tab w:val="left" w:pos="867"/>
          <w:tab w:val="left" w:pos="1276"/>
        </w:tabs>
        <w:spacing w:after="0" w:line="240" w:lineRule="auto"/>
        <w:ind w:left="1418"/>
        <w:jc w:val="both"/>
        <w:rPr>
          <w:rFonts w:ascii="Arial" w:hAnsi="Arial" w:cs="Arial"/>
          <w:b/>
          <w:bCs/>
          <w:i/>
          <w:sz w:val="20"/>
          <w:szCs w:val="20"/>
        </w:rPr>
      </w:pPr>
    </w:p>
    <w:p w14:paraId="636A7EFA" w14:textId="77777777" w:rsidR="007B11FB" w:rsidRPr="00DF3484" w:rsidRDefault="007B11FB" w:rsidP="00C82F63">
      <w:pPr>
        <w:widowControl w:val="0"/>
        <w:tabs>
          <w:tab w:val="left" w:pos="867"/>
          <w:tab w:val="left" w:pos="1276"/>
        </w:tabs>
        <w:spacing w:after="0" w:line="240" w:lineRule="auto"/>
        <w:ind w:left="1418"/>
        <w:jc w:val="both"/>
        <w:rPr>
          <w:rFonts w:ascii="Arial" w:hAnsi="Arial" w:cs="Arial"/>
          <w:b/>
          <w:bCs/>
          <w:i/>
          <w:sz w:val="20"/>
          <w:szCs w:val="20"/>
        </w:rPr>
      </w:pPr>
      <w:r w:rsidRPr="00DF3484">
        <w:rPr>
          <w:rFonts w:ascii="Arial" w:hAnsi="Arial" w:cs="Arial"/>
          <w:b/>
          <w:bCs/>
          <w:i/>
          <w:sz w:val="20"/>
          <w:szCs w:val="20"/>
        </w:rPr>
        <w:t xml:space="preserve">Porcentaje de reserva </w:t>
      </w:r>
      <w:r w:rsidRPr="00DF3484">
        <w:rPr>
          <w:rFonts w:ascii="Arial" w:hAnsi="Arial" w:cs="Arial"/>
          <w:bCs/>
          <w:i/>
          <w:sz w:val="20"/>
          <w:szCs w:val="20"/>
        </w:rPr>
        <w:t>-</w:t>
      </w:r>
      <w:r w:rsidRPr="00DF3484">
        <w:rPr>
          <w:rFonts w:ascii="Arial" w:hAnsi="Arial" w:cs="Arial"/>
          <w:b/>
          <w:bCs/>
          <w:i/>
          <w:sz w:val="20"/>
          <w:szCs w:val="20"/>
        </w:rPr>
        <w:t xml:space="preserve"> </w:t>
      </w:r>
      <w:r w:rsidRPr="00DF3484">
        <w:rPr>
          <w:rFonts w:ascii="Arial" w:hAnsi="Arial" w:cs="Arial"/>
          <w:sz w:val="20"/>
          <w:szCs w:val="20"/>
        </w:rPr>
        <w:t xml:space="preserve">Para cada estrato se constituirán las reservas preventivas que resulten de aplicar a la totalidad del saldo de capital e interés vencido del crédito, a la fecha de la evaluación, el porcentaje que se señala, según el tipo de cartera, en </w:t>
      </w:r>
      <w:r w:rsidR="002565EE" w:rsidRPr="00DF3484">
        <w:rPr>
          <w:rFonts w:ascii="Arial" w:hAnsi="Arial" w:cs="Arial"/>
          <w:sz w:val="20"/>
          <w:szCs w:val="20"/>
        </w:rPr>
        <w:t>las tablas siguientes</w:t>
      </w:r>
      <w:r w:rsidRPr="00DF3484">
        <w:rPr>
          <w:rFonts w:ascii="Arial" w:hAnsi="Arial" w:cs="Arial"/>
          <w:sz w:val="20"/>
          <w:szCs w:val="20"/>
        </w:rPr>
        <w:t>:</w:t>
      </w:r>
    </w:p>
    <w:tbl>
      <w:tblPr>
        <w:tblW w:w="4164" w:type="dxa"/>
        <w:jc w:val="center"/>
        <w:tblCellMar>
          <w:left w:w="70" w:type="dxa"/>
          <w:right w:w="70" w:type="dxa"/>
        </w:tblCellMar>
        <w:tblLook w:val="04A0" w:firstRow="1" w:lastRow="0" w:firstColumn="1" w:lastColumn="0" w:noHBand="0" w:noVBand="1"/>
      </w:tblPr>
      <w:tblGrid>
        <w:gridCol w:w="1094"/>
        <w:gridCol w:w="1510"/>
        <w:gridCol w:w="1560"/>
      </w:tblGrid>
      <w:tr w:rsidR="007B11FB" w:rsidRPr="00DF3484" w14:paraId="30C2AA36" w14:textId="77777777" w:rsidTr="009663F0">
        <w:trPr>
          <w:trHeight w:val="255"/>
          <w:jc w:val="center"/>
        </w:trPr>
        <w:tc>
          <w:tcPr>
            <w:tcW w:w="4164" w:type="dxa"/>
            <w:gridSpan w:val="3"/>
            <w:vAlign w:val="center"/>
            <w:hideMark/>
          </w:tcPr>
          <w:p w14:paraId="6D753BDC" w14:textId="77777777" w:rsidR="007D2F06" w:rsidRDefault="007D2F06" w:rsidP="009663F0">
            <w:pPr>
              <w:jc w:val="both"/>
              <w:rPr>
                <w:rFonts w:ascii="Arial" w:hAnsi="Arial" w:cs="Arial"/>
                <w:b/>
                <w:bCs/>
                <w:iCs/>
                <w:color w:val="000000"/>
                <w:sz w:val="20"/>
                <w:szCs w:val="20"/>
                <w:lang w:eastAsia="es-MX"/>
              </w:rPr>
            </w:pPr>
          </w:p>
          <w:p w14:paraId="75C8BB34" w14:textId="3F745888" w:rsidR="007B11FB" w:rsidRPr="00DF3484" w:rsidRDefault="007B11FB" w:rsidP="009663F0">
            <w:pPr>
              <w:jc w:val="both"/>
              <w:rPr>
                <w:rFonts w:ascii="Arial" w:hAnsi="Arial" w:cs="Arial"/>
                <w:b/>
                <w:bCs/>
                <w:iCs/>
                <w:color w:val="000000"/>
                <w:sz w:val="20"/>
                <w:szCs w:val="20"/>
                <w:lang w:eastAsia="es-MX"/>
              </w:rPr>
            </w:pPr>
            <w:r w:rsidRPr="00DF3484">
              <w:rPr>
                <w:rFonts w:ascii="Arial" w:hAnsi="Arial" w:cs="Arial"/>
                <w:b/>
                <w:bCs/>
                <w:iCs/>
                <w:color w:val="000000"/>
                <w:sz w:val="20"/>
                <w:szCs w:val="20"/>
                <w:lang w:eastAsia="es-MX"/>
              </w:rPr>
              <w:t>Créditos sin Garantía</w:t>
            </w:r>
          </w:p>
        </w:tc>
      </w:tr>
      <w:tr w:rsidR="007B11FB" w:rsidRPr="00DF3484" w14:paraId="5D47DA44" w14:textId="77777777" w:rsidTr="009663F0">
        <w:trPr>
          <w:trHeight w:val="420"/>
          <w:jc w:val="center"/>
        </w:trPr>
        <w:tc>
          <w:tcPr>
            <w:tcW w:w="1094" w:type="dxa"/>
            <w:vAlign w:val="center"/>
            <w:hideMark/>
          </w:tcPr>
          <w:p w14:paraId="370897E2" w14:textId="77777777" w:rsidR="007B11FB" w:rsidRPr="00DF3484" w:rsidRDefault="007B11FB" w:rsidP="009663F0">
            <w:pPr>
              <w:jc w:val="both"/>
              <w:rPr>
                <w:rFonts w:ascii="Arial" w:hAnsi="Arial" w:cs="Arial"/>
                <w:b/>
                <w:bCs/>
                <w:iCs/>
                <w:color w:val="000000"/>
                <w:sz w:val="20"/>
                <w:szCs w:val="20"/>
                <w:lang w:eastAsia="es-MX"/>
              </w:rPr>
            </w:pPr>
            <w:r w:rsidRPr="00DF3484">
              <w:rPr>
                <w:rFonts w:ascii="Arial" w:hAnsi="Arial" w:cs="Arial"/>
                <w:b/>
                <w:bCs/>
                <w:iCs/>
                <w:color w:val="000000"/>
                <w:sz w:val="20"/>
                <w:szCs w:val="20"/>
                <w:lang w:eastAsia="es-MX"/>
              </w:rPr>
              <w:t>Meses vencidos</w:t>
            </w:r>
          </w:p>
        </w:tc>
        <w:tc>
          <w:tcPr>
            <w:tcW w:w="1510" w:type="dxa"/>
            <w:vAlign w:val="center"/>
            <w:hideMark/>
          </w:tcPr>
          <w:p w14:paraId="5FB790C4" w14:textId="77777777" w:rsidR="007B11FB" w:rsidRPr="00DF3484" w:rsidRDefault="007B11FB" w:rsidP="009663F0">
            <w:pPr>
              <w:jc w:val="both"/>
              <w:rPr>
                <w:rFonts w:ascii="Arial" w:hAnsi="Arial" w:cs="Arial"/>
                <w:b/>
                <w:bCs/>
                <w:iCs/>
                <w:color w:val="000000"/>
                <w:sz w:val="20"/>
                <w:szCs w:val="20"/>
                <w:lang w:eastAsia="es-MX"/>
              </w:rPr>
            </w:pPr>
            <w:r w:rsidRPr="00DF3484">
              <w:rPr>
                <w:rFonts w:ascii="Arial" w:hAnsi="Arial" w:cs="Arial"/>
                <w:b/>
                <w:bCs/>
                <w:iCs/>
                <w:color w:val="000000"/>
                <w:sz w:val="20"/>
                <w:szCs w:val="20"/>
                <w:lang w:eastAsia="es-MX"/>
              </w:rPr>
              <w:t>Créditos sin reestructurar</w:t>
            </w:r>
          </w:p>
        </w:tc>
        <w:tc>
          <w:tcPr>
            <w:tcW w:w="1560" w:type="dxa"/>
            <w:vAlign w:val="center"/>
            <w:hideMark/>
          </w:tcPr>
          <w:p w14:paraId="20399CFA" w14:textId="77777777" w:rsidR="007B11FB" w:rsidRPr="00DF3484" w:rsidRDefault="007B11FB" w:rsidP="009663F0">
            <w:pPr>
              <w:jc w:val="both"/>
              <w:rPr>
                <w:rFonts w:ascii="Arial" w:hAnsi="Arial" w:cs="Arial"/>
                <w:b/>
                <w:bCs/>
                <w:iCs/>
                <w:color w:val="000000"/>
                <w:sz w:val="20"/>
                <w:szCs w:val="20"/>
                <w:lang w:eastAsia="es-MX"/>
              </w:rPr>
            </w:pPr>
            <w:r w:rsidRPr="00DF3484">
              <w:rPr>
                <w:rFonts w:ascii="Arial" w:hAnsi="Arial" w:cs="Arial"/>
                <w:b/>
                <w:bCs/>
                <w:iCs/>
                <w:color w:val="000000"/>
                <w:sz w:val="20"/>
                <w:szCs w:val="20"/>
                <w:lang w:eastAsia="es-MX"/>
              </w:rPr>
              <w:t>Créditos con reestructura</w:t>
            </w:r>
          </w:p>
        </w:tc>
      </w:tr>
      <w:tr w:rsidR="007B11FB" w:rsidRPr="00DF3484" w14:paraId="1DFF6D4E" w14:textId="77777777" w:rsidTr="009663F0">
        <w:trPr>
          <w:trHeight w:val="255"/>
          <w:jc w:val="center"/>
        </w:trPr>
        <w:tc>
          <w:tcPr>
            <w:tcW w:w="1094" w:type="dxa"/>
            <w:noWrap/>
            <w:vAlign w:val="bottom"/>
            <w:hideMark/>
          </w:tcPr>
          <w:p w14:paraId="288D4C6E"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0</w:t>
            </w:r>
          </w:p>
        </w:tc>
        <w:tc>
          <w:tcPr>
            <w:tcW w:w="1510" w:type="dxa"/>
            <w:noWrap/>
            <w:vAlign w:val="bottom"/>
            <w:hideMark/>
          </w:tcPr>
          <w:p w14:paraId="4FB9D6C0"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0%</w:t>
            </w:r>
          </w:p>
        </w:tc>
        <w:tc>
          <w:tcPr>
            <w:tcW w:w="1560" w:type="dxa"/>
            <w:noWrap/>
            <w:vAlign w:val="bottom"/>
            <w:hideMark/>
          </w:tcPr>
          <w:p w14:paraId="277065D5"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0%</w:t>
            </w:r>
          </w:p>
        </w:tc>
      </w:tr>
      <w:tr w:rsidR="007B11FB" w:rsidRPr="00DF3484" w14:paraId="74B5FD3F" w14:textId="77777777" w:rsidTr="009663F0">
        <w:trPr>
          <w:trHeight w:val="255"/>
          <w:jc w:val="center"/>
        </w:trPr>
        <w:tc>
          <w:tcPr>
            <w:tcW w:w="1094" w:type="dxa"/>
            <w:noWrap/>
            <w:vAlign w:val="bottom"/>
            <w:hideMark/>
          </w:tcPr>
          <w:p w14:paraId="6B110367"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1</w:t>
            </w:r>
          </w:p>
        </w:tc>
        <w:tc>
          <w:tcPr>
            <w:tcW w:w="1510" w:type="dxa"/>
            <w:noWrap/>
            <w:vAlign w:val="bottom"/>
            <w:hideMark/>
          </w:tcPr>
          <w:p w14:paraId="06BC7DDC"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0%</w:t>
            </w:r>
          </w:p>
        </w:tc>
        <w:tc>
          <w:tcPr>
            <w:tcW w:w="1560" w:type="dxa"/>
            <w:noWrap/>
            <w:vAlign w:val="bottom"/>
            <w:hideMark/>
          </w:tcPr>
          <w:p w14:paraId="083502B8"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10%</w:t>
            </w:r>
          </w:p>
        </w:tc>
      </w:tr>
      <w:tr w:rsidR="007B11FB" w:rsidRPr="00DF3484" w14:paraId="64CF7B67" w14:textId="77777777" w:rsidTr="009663F0">
        <w:trPr>
          <w:trHeight w:val="255"/>
          <w:jc w:val="center"/>
        </w:trPr>
        <w:tc>
          <w:tcPr>
            <w:tcW w:w="1094" w:type="dxa"/>
            <w:noWrap/>
            <w:vAlign w:val="bottom"/>
            <w:hideMark/>
          </w:tcPr>
          <w:p w14:paraId="04C140C4"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2</w:t>
            </w:r>
          </w:p>
        </w:tc>
        <w:tc>
          <w:tcPr>
            <w:tcW w:w="1510" w:type="dxa"/>
            <w:noWrap/>
            <w:vAlign w:val="bottom"/>
            <w:hideMark/>
          </w:tcPr>
          <w:p w14:paraId="04DE61D1"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5%</w:t>
            </w:r>
          </w:p>
        </w:tc>
        <w:tc>
          <w:tcPr>
            <w:tcW w:w="1560" w:type="dxa"/>
            <w:noWrap/>
            <w:vAlign w:val="bottom"/>
            <w:hideMark/>
          </w:tcPr>
          <w:p w14:paraId="625B54C2"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15%</w:t>
            </w:r>
          </w:p>
        </w:tc>
      </w:tr>
      <w:tr w:rsidR="007B11FB" w:rsidRPr="00DF3484" w14:paraId="037C1A71" w14:textId="77777777" w:rsidTr="009663F0">
        <w:trPr>
          <w:trHeight w:val="255"/>
          <w:jc w:val="center"/>
        </w:trPr>
        <w:tc>
          <w:tcPr>
            <w:tcW w:w="1094" w:type="dxa"/>
            <w:noWrap/>
            <w:vAlign w:val="bottom"/>
            <w:hideMark/>
          </w:tcPr>
          <w:p w14:paraId="06BE11F6"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3</w:t>
            </w:r>
          </w:p>
        </w:tc>
        <w:tc>
          <w:tcPr>
            <w:tcW w:w="1510" w:type="dxa"/>
            <w:noWrap/>
            <w:vAlign w:val="bottom"/>
            <w:hideMark/>
          </w:tcPr>
          <w:p w14:paraId="44C3C14A"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10%</w:t>
            </w:r>
          </w:p>
        </w:tc>
        <w:tc>
          <w:tcPr>
            <w:tcW w:w="1560" w:type="dxa"/>
            <w:noWrap/>
            <w:vAlign w:val="bottom"/>
            <w:hideMark/>
          </w:tcPr>
          <w:p w14:paraId="24DB1332"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25%</w:t>
            </w:r>
          </w:p>
        </w:tc>
      </w:tr>
      <w:tr w:rsidR="007B11FB" w:rsidRPr="00DF3484" w14:paraId="4C229972" w14:textId="77777777" w:rsidTr="009663F0">
        <w:trPr>
          <w:trHeight w:val="255"/>
          <w:jc w:val="center"/>
        </w:trPr>
        <w:tc>
          <w:tcPr>
            <w:tcW w:w="1094" w:type="dxa"/>
            <w:noWrap/>
            <w:vAlign w:val="bottom"/>
            <w:hideMark/>
          </w:tcPr>
          <w:p w14:paraId="4B0F1A25"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4</w:t>
            </w:r>
          </w:p>
        </w:tc>
        <w:tc>
          <w:tcPr>
            <w:tcW w:w="1510" w:type="dxa"/>
            <w:noWrap/>
            <w:vAlign w:val="bottom"/>
            <w:hideMark/>
          </w:tcPr>
          <w:p w14:paraId="1D6AE705"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20%</w:t>
            </w:r>
          </w:p>
        </w:tc>
        <w:tc>
          <w:tcPr>
            <w:tcW w:w="1560" w:type="dxa"/>
            <w:noWrap/>
            <w:vAlign w:val="bottom"/>
            <w:hideMark/>
          </w:tcPr>
          <w:p w14:paraId="292D5BAC"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35%</w:t>
            </w:r>
          </w:p>
        </w:tc>
      </w:tr>
      <w:tr w:rsidR="007B11FB" w:rsidRPr="00DF3484" w14:paraId="099A2EB7" w14:textId="77777777" w:rsidTr="009663F0">
        <w:trPr>
          <w:trHeight w:val="255"/>
          <w:jc w:val="center"/>
        </w:trPr>
        <w:tc>
          <w:tcPr>
            <w:tcW w:w="1094" w:type="dxa"/>
            <w:noWrap/>
            <w:vAlign w:val="bottom"/>
            <w:hideMark/>
          </w:tcPr>
          <w:p w14:paraId="66657A96"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5</w:t>
            </w:r>
          </w:p>
        </w:tc>
        <w:tc>
          <w:tcPr>
            <w:tcW w:w="1510" w:type="dxa"/>
            <w:noWrap/>
            <w:vAlign w:val="bottom"/>
            <w:hideMark/>
          </w:tcPr>
          <w:p w14:paraId="5E1CB3F7"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30%</w:t>
            </w:r>
          </w:p>
        </w:tc>
        <w:tc>
          <w:tcPr>
            <w:tcW w:w="1560" w:type="dxa"/>
            <w:noWrap/>
            <w:vAlign w:val="bottom"/>
            <w:hideMark/>
          </w:tcPr>
          <w:p w14:paraId="0E310504"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50%</w:t>
            </w:r>
          </w:p>
        </w:tc>
      </w:tr>
      <w:tr w:rsidR="007B11FB" w:rsidRPr="00DF3484" w14:paraId="4AB0D287" w14:textId="77777777" w:rsidTr="009663F0">
        <w:trPr>
          <w:trHeight w:val="255"/>
          <w:jc w:val="center"/>
        </w:trPr>
        <w:tc>
          <w:tcPr>
            <w:tcW w:w="1094" w:type="dxa"/>
            <w:noWrap/>
            <w:vAlign w:val="bottom"/>
            <w:hideMark/>
          </w:tcPr>
          <w:p w14:paraId="7AFEE829"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6 o más</w:t>
            </w:r>
          </w:p>
        </w:tc>
        <w:tc>
          <w:tcPr>
            <w:tcW w:w="1510" w:type="dxa"/>
            <w:noWrap/>
            <w:vAlign w:val="bottom"/>
            <w:hideMark/>
          </w:tcPr>
          <w:p w14:paraId="201D6A40"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50%</w:t>
            </w:r>
          </w:p>
        </w:tc>
        <w:tc>
          <w:tcPr>
            <w:tcW w:w="1560" w:type="dxa"/>
            <w:noWrap/>
            <w:vAlign w:val="bottom"/>
            <w:hideMark/>
          </w:tcPr>
          <w:p w14:paraId="2381EEBF"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80%</w:t>
            </w:r>
          </w:p>
        </w:tc>
      </w:tr>
    </w:tbl>
    <w:p w14:paraId="7C896745" w14:textId="77777777" w:rsidR="007B11FB" w:rsidRPr="00DF3484" w:rsidRDefault="007B11FB" w:rsidP="007B11FB">
      <w:pPr>
        <w:widowControl w:val="0"/>
        <w:tabs>
          <w:tab w:val="left" w:pos="867"/>
          <w:tab w:val="left" w:pos="1276"/>
        </w:tabs>
        <w:jc w:val="both"/>
        <w:rPr>
          <w:rFonts w:ascii="Arial" w:hAnsi="Arial" w:cs="Arial"/>
          <w:b/>
          <w:sz w:val="20"/>
          <w:szCs w:val="20"/>
        </w:rPr>
      </w:pPr>
    </w:p>
    <w:tbl>
      <w:tblPr>
        <w:tblW w:w="3720" w:type="dxa"/>
        <w:jc w:val="center"/>
        <w:tblCellMar>
          <w:left w:w="70" w:type="dxa"/>
          <w:right w:w="70" w:type="dxa"/>
        </w:tblCellMar>
        <w:tblLook w:val="04A0" w:firstRow="1" w:lastRow="0" w:firstColumn="1" w:lastColumn="0" w:noHBand="0" w:noVBand="1"/>
      </w:tblPr>
      <w:tblGrid>
        <w:gridCol w:w="1007"/>
        <w:gridCol w:w="1386"/>
        <w:gridCol w:w="1460"/>
      </w:tblGrid>
      <w:tr w:rsidR="007B11FB" w:rsidRPr="00DF3484" w14:paraId="7C293A38" w14:textId="77777777" w:rsidTr="009663F0">
        <w:trPr>
          <w:trHeight w:val="255"/>
          <w:jc w:val="center"/>
        </w:trPr>
        <w:tc>
          <w:tcPr>
            <w:tcW w:w="3720" w:type="dxa"/>
            <w:gridSpan w:val="3"/>
            <w:vAlign w:val="center"/>
            <w:hideMark/>
          </w:tcPr>
          <w:p w14:paraId="3E4BC74A" w14:textId="77777777" w:rsidR="007B11FB" w:rsidRPr="00DF3484" w:rsidRDefault="007B11FB" w:rsidP="009663F0">
            <w:pPr>
              <w:jc w:val="both"/>
              <w:rPr>
                <w:rFonts w:ascii="Arial" w:hAnsi="Arial" w:cs="Arial"/>
                <w:b/>
                <w:bCs/>
                <w:iCs/>
                <w:color w:val="000000"/>
                <w:sz w:val="20"/>
                <w:szCs w:val="20"/>
                <w:lang w:eastAsia="es-MX"/>
              </w:rPr>
            </w:pPr>
            <w:r w:rsidRPr="00DF3484">
              <w:rPr>
                <w:rFonts w:ascii="Arial" w:hAnsi="Arial" w:cs="Arial"/>
                <w:b/>
                <w:bCs/>
                <w:iCs/>
                <w:color w:val="000000"/>
                <w:sz w:val="20"/>
                <w:szCs w:val="20"/>
                <w:lang w:eastAsia="es-MX"/>
              </w:rPr>
              <w:t>Créditos con Garantía</w:t>
            </w:r>
          </w:p>
        </w:tc>
      </w:tr>
      <w:tr w:rsidR="007B11FB" w:rsidRPr="00DF3484" w14:paraId="18A18023" w14:textId="77777777" w:rsidTr="009663F0">
        <w:trPr>
          <w:trHeight w:val="420"/>
          <w:jc w:val="center"/>
        </w:trPr>
        <w:tc>
          <w:tcPr>
            <w:tcW w:w="960" w:type="dxa"/>
            <w:vAlign w:val="center"/>
            <w:hideMark/>
          </w:tcPr>
          <w:p w14:paraId="54AB7C77" w14:textId="77777777" w:rsidR="007B11FB" w:rsidRPr="00DF3484" w:rsidRDefault="007B11FB" w:rsidP="009663F0">
            <w:pPr>
              <w:jc w:val="both"/>
              <w:rPr>
                <w:rFonts w:ascii="Arial" w:hAnsi="Arial" w:cs="Arial"/>
                <w:b/>
                <w:bCs/>
                <w:iCs/>
                <w:color w:val="000000"/>
                <w:sz w:val="20"/>
                <w:szCs w:val="20"/>
                <w:lang w:eastAsia="es-MX"/>
              </w:rPr>
            </w:pPr>
            <w:r w:rsidRPr="00DF3484">
              <w:rPr>
                <w:rFonts w:ascii="Arial" w:hAnsi="Arial" w:cs="Arial"/>
                <w:b/>
                <w:bCs/>
                <w:iCs/>
                <w:color w:val="000000"/>
                <w:sz w:val="20"/>
                <w:szCs w:val="20"/>
                <w:lang w:eastAsia="es-MX"/>
              </w:rPr>
              <w:t>Meses vencidos</w:t>
            </w:r>
          </w:p>
        </w:tc>
        <w:tc>
          <w:tcPr>
            <w:tcW w:w="1300" w:type="dxa"/>
            <w:vAlign w:val="center"/>
            <w:hideMark/>
          </w:tcPr>
          <w:p w14:paraId="51D2C077" w14:textId="77777777" w:rsidR="007B11FB" w:rsidRPr="00DF3484" w:rsidRDefault="007B11FB" w:rsidP="009663F0">
            <w:pPr>
              <w:jc w:val="both"/>
              <w:rPr>
                <w:rFonts w:ascii="Arial" w:hAnsi="Arial" w:cs="Arial"/>
                <w:b/>
                <w:bCs/>
                <w:iCs/>
                <w:color w:val="000000"/>
                <w:sz w:val="20"/>
                <w:szCs w:val="20"/>
                <w:lang w:eastAsia="es-MX"/>
              </w:rPr>
            </w:pPr>
            <w:r w:rsidRPr="00DF3484">
              <w:rPr>
                <w:rFonts w:ascii="Arial" w:hAnsi="Arial" w:cs="Arial"/>
                <w:b/>
                <w:bCs/>
                <w:iCs/>
                <w:color w:val="000000"/>
                <w:sz w:val="20"/>
                <w:szCs w:val="20"/>
                <w:lang w:eastAsia="es-MX"/>
              </w:rPr>
              <w:t>Créditos sin reestructurar</w:t>
            </w:r>
          </w:p>
        </w:tc>
        <w:tc>
          <w:tcPr>
            <w:tcW w:w="1460" w:type="dxa"/>
            <w:vAlign w:val="center"/>
            <w:hideMark/>
          </w:tcPr>
          <w:p w14:paraId="1D2E69E7" w14:textId="77777777" w:rsidR="007B11FB" w:rsidRPr="00DF3484" w:rsidRDefault="007B11FB" w:rsidP="009663F0">
            <w:pPr>
              <w:jc w:val="both"/>
              <w:rPr>
                <w:rFonts w:ascii="Arial" w:hAnsi="Arial" w:cs="Arial"/>
                <w:b/>
                <w:bCs/>
                <w:iCs/>
                <w:color w:val="000000"/>
                <w:sz w:val="20"/>
                <w:szCs w:val="20"/>
                <w:lang w:eastAsia="es-MX"/>
              </w:rPr>
            </w:pPr>
            <w:r w:rsidRPr="00DF3484">
              <w:rPr>
                <w:rFonts w:ascii="Arial" w:hAnsi="Arial" w:cs="Arial"/>
                <w:b/>
                <w:bCs/>
                <w:iCs/>
                <w:color w:val="000000"/>
                <w:sz w:val="20"/>
                <w:szCs w:val="20"/>
                <w:lang w:eastAsia="es-MX"/>
              </w:rPr>
              <w:t>Créditos con reestructura</w:t>
            </w:r>
          </w:p>
        </w:tc>
      </w:tr>
      <w:tr w:rsidR="007B11FB" w:rsidRPr="00DF3484" w14:paraId="0795F821" w14:textId="77777777" w:rsidTr="009663F0">
        <w:trPr>
          <w:trHeight w:val="255"/>
          <w:jc w:val="center"/>
        </w:trPr>
        <w:tc>
          <w:tcPr>
            <w:tcW w:w="960" w:type="dxa"/>
            <w:noWrap/>
            <w:vAlign w:val="bottom"/>
            <w:hideMark/>
          </w:tcPr>
          <w:p w14:paraId="06BD818E"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0</w:t>
            </w:r>
          </w:p>
        </w:tc>
        <w:tc>
          <w:tcPr>
            <w:tcW w:w="1300" w:type="dxa"/>
            <w:noWrap/>
            <w:vAlign w:val="bottom"/>
            <w:hideMark/>
          </w:tcPr>
          <w:p w14:paraId="2F1FD8F6"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0%</w:t>
            </w:r>
          </w:p>
        </w:tc>
        <w:tc>
          <w:tcPr>
            <w:tcW w:w="1460" w:type="dxa"/>
            <w:noWrap/>
            <w:vAlign w:val="bottom"/>
            <w:hideMark/>
          </w:tcPr>
          <w:p w14:paraId="73D32DEE"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0%</w:t>
            </w:r>
          </w:p>
        </w:tc>
      </w:tr>
      <w:tr w:rsidR="007B11FB" w:rsidRPr="00DF3484" w14:paraId="6E1173DD" w14:textId="77777777" w:rsidTr="009663F0">
        <w:trPr>
          <w:trHeight w:val="255"/>
          <w:jc w:val="center"/>
        </w:trPr>
        <w:tc>
          <w:tcPr>
            <w:tcW w:w="960" w:type="dxa"/>
            <w:noWrap/>
            <w:vAlign w:val="bottom"/>
            <w:hideMark/>
          </w:tcPr>
          <w:p w14:paraId="1F5CB66C"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1</w:t>
            </w:r>
          </w:p>
        </w:tc>
        <w:tc>
          <w:tcPr>
            <w:tcW w:w="1300" w:type="dxa"/>
            <w:noWrap/>
            <w:vAlign w:val="bottom"/>
            <w:hideMark/>
          </w:tcPr>
          <w:p w14:paraId="42CF1C0F"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5%</w:t>
            </w:r>
          </w:p>
        </w:tc>
        <w:tc>
          <w:tcPr>
            <w:tcW w:w="1460" w:type="dxa"/>
            <w:noWrap/>
            <w:vAlign w:val="bottom"/>
            <w:hideMark/>
          </w:tcPr>
          <w:p w14:paraId="1E744896"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10%</w:t>
            </w:r>
          </w:p>
        </w:tc>
      </w:tr>
      <w:tr w:rsidR="007B11FB" w:rsidRPr="00DF3484" w14:paraId="34085C4A" w14:textId="77777777" w:rsidTr="009663F0">
        <w:trPr>
          <w:trHeight w:val="255"/>
          <w:jc w:val="center"/>
        </w:trPr>
        <w:tc>
          <w:tcPr>
            <w:tcW w:w="960" w:type="dxa"/>
            <w:noWrap/>
            <w:vAlign w:val="bottom"/>
            <w:hideMark/>
          </w:tcPr>
          <w:p w14:paraId="2E96C92A"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2</w:t>
            </w:r>
          </w:p>
        </w:tc>
        <w:tc>
          <w:tcPr>
            <w:tcW w:w="1300" w:type="dxa"/>
            <w:noWrap/>
            <w:vAlign w:val="bottom"/>
            <w:hideMark/>
          </w:tcPr>
          <w:p w14:paraId="69B02F0A"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10%</w:t>
            </w:r>
          </w:p>
        </w:tc>
        <w:tc>
          <w:tcPr>
            <w:tcW w:w="1460" w:type="dxa"/>
            <w:noWrap/>
            <w:vAlign w:val="bottom"/>
            <w:hideMark/>
          </w:tcPr>
          <w:p w14:paraId="27098A38"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15%</w:t>
            </w:r>
          </w:p>
        </w:tc>
      </w:tr>
      <w:tr w:rsidR="007B11FB" w:rsidRPr="00DF3484" w14:paraId="2691FEE2" w14:textId="77777777" w:rsidTr="009663F0">
        <w:trPr>
          <w:trHeight w:val="255"/>
          <w:jc w:val="center"/>
        </w:trPr>
        <w:tc>
          <w:tcPr>
            <w:tcW w:w="960" w:type="dxa"/>
            <w:noWrap/>
            <w:vAlign w:val="bottom"/>
            <w:hideMark/>
          </w:tcPr>
          <w:p w14:paraId="3FC94379"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3</w:t>
            </w:r>
          </w:p>
        </w:tc>
        <w:tc>
          <w:tcPr>
            <w:tcW w:w="1300" w:type="dxa"/>
            <w:noWrap/>
            <w:vAlign w:val="bottom"/>
            <w:hideMark/>
          </w:tcPr>
          <w:p w14:paraId="272E4277"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15%</w:t>
            </w:r>
          </w:p>
        </w:tc>
        <w:tc>
          <w:tcPr>
            <w:tcW w:w="1460" w:type="dxa"/>
            <w:noWrap/>
            <w:vAlign w:val="bottom"/>
            <w:hideMark/>
          </w:tcPr>
          <w:p w14:paraId="34B889FA"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20%</w:t>
            </w:r>
          </w:p>
        </w:tc>
      </w:tr>
      <w:tr w:rsidR="007B11FB" w:rsidRPr="00DF3484" w14:paraId="66EF3C7E" w14:textId="77777777" w:rsidTr="009663F0">
        <w:trPr>
          <w:trHeight w:val="255"/>
          <w:jc w:val="center"/>
        </w:trPr>
        <w:tc>
          <w:tcPr>
            <w:tcW w:w="960" w:type="dxa"/>
            <w:noWrap/>
            <w:vAlign w:val="bottom"/>
            <w:hideMark/>
          </w:tcPr>
          <w:p w14:paraId="49EBED62"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4</w:t>
            </w:r>
          </w:p>
        </w:tc>
        <w:tc>
          <w:tcPr>
            <w:tcW w:w="1300" w:type="dxa"/>
            <w:noWrap/>
            <w:vAlign w:val="bottom"/>
            <w:hideMark/>
          </w:tcPr>
          <w:p w14:paraId="7AFE94CD"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20%</w:t>
            </w:r>
          </w:p>
        </w:tc>
        <w:tc>
          <w:tcPr>
            <w:tcW w:w="1460" w:type="dxa"/>
            <w:noWrap/>
            <w:vAlign w:val="bottom"/>
            <w:hideMark/>
          </w:tcPr>
          <w:p w14:paraId="139F7243"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30%</w:t>
            </w:r>
          </w:p>
        </w:tc>
      </w:tr>
      <w:tr w:rsidR="007B11FB" w:rsidRPr="00DF3484" w14:paraId="02A1302D" w14:textId="77777777" w:rsidTr="009663F0">
        <w:trPr>
          <w:trHeight w:val="255"/>
          <w:jc w:val="center"/>
        </w:trPr>
        <w:tc>
          <w:tcPr>
            <w:tcW w:w="960" w:type="dxa"/>
            <w:noWrap/>
            <w:vAlign w:val="bottom"/>
            <w:hideMark/>
          </w:tcPr>
          <w:p w14:paraId="02F0AAE8"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5</w:t>
            </w:r>
          </w:p>
        </w:tc>
        <w:tc>
          <w:tcPr>
            <w:tcW w:w="1300" w:type="dxa"/>
            <w:noWrap/>
            <w:vAlign w:val="bottom"/>
            <w:hideMark/>
          </w:tcPr>
          <w:p w14:paraId="65D946CB"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30%</w:t>
            </w:r>
          </w:p>
        </w:tc>
        <w:tc>
          <w:tcPr>
            <w:tcW w:w="1460" w:type="dxa"/>
            <w:noWrap/>
            <w:vAlign w:val="bottom"/>
            <w:hideMark/>
          </w:tcPr>
          <w:p w14:paraId="5B7DC2A6"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40%</w:t>
            </w:r>
          </w:p>
        </w:tc>
      </w:tr>
      <w:tr w:rsidR="007B11FB" w:rsidRPr="00DF3484" w14:paraId="55338584" w14:textId="77777777" w:rsidTr="009663F0">
        <w:trPr>
          <w:trHeight w:val="255"/>
          <w:jc w:val="center"/>
        </w:trPr>
        <w:tc>
          <w:tcPr>
            <w:tcW w:w="960" w:type="dxa"/>
            <w:noWrap/>
            <w:vAlign w:val="bottom"/>
            <w:hideMark/>
          </w:tcPr>
          <w:p w14:paraId="7CC1E7F7" w14:textId="77777777" w:rsidR="007B11FB" w:rsidRPr="00DF3484" w:rsidRDefault="007B11FB" w:rsidP="009663F0">
            <w:pPr>
              <w:jc w:val="both"/>
              <w:rPr>
                <w:rFonts w:ascii="Arial" w:hAnsi="Arial" w:cs="Arial"/>
                <w:b/>
                <w:bCs/>
                <w:sz w:val="20"/>
                <w:szCs w:val="20"/>
                <w:lang w:eastAsia="es-MX"/>
              </w:rPr>
            </w:pPr>
            <w:r w:rsidRPr="00DF3484">
              <w:rPr>
                <w:rFonts w:ascii="Arial" w:hAnsi="Arial" w:cs="Arial"/>
                <w:b/>
                <w:bCs/>
                <w:sz w:val="20"/>
                <w:szCs w:val="20"/>
                <w:lang w:eastAsia="es-MX"/>
              </w:rPr>
              <w:t>6 o más</w:t>
            </w:r>
          </w:p>
        </w:tc>
        <w:tc>
          <w:tcPr>
            <w:tcW w:w="1300" w:type="dxa"/>
            <w:noWrap/>
            <w:vAlign w:val="bottom"/>
            <w:hideMark/>
          </w:tcPr>
          <w:p w14:paraId="35ECE2B9"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40%</w:t>
            </w:r>
          </w:p>
        </w:tc>
        <w:tc>
          <w:tcPr>
            <w:tcW w:w="1460" w:type="dxa"/>
            <w:noWrap/>
            <w:vAlign w:val="bottom"/>
            <w:hideMark/>
          </w:tcPr>
          <w:p w14:paraId="5BC2A4A7" w14:textId="77777777" w:rsidR="007B11FB" w:rsidRPr="00DF3484" w:rsidRDefault="007B11FB" w:rsidP="009663F0">
            <w:pPr>
              <w:jc w:val="both"/>
              <w:rPr>
                <w:rFonts w:ascii="Arial" w:hAnsi="Arial" w:cs="Arial"/>
                <w:sz w:val="20"/>
                <w:szCs w:val="20"/>
                <w:lang w:eastAsia="es-MX"/>
              </w:rPr>
            </w:pPr>
            <w:r w:rsidRPr="00DF3484">
              <w:rPr>
                <w:rFonts w:ascii="Arial" w:hAnsi="Arial" w:cs="Arial"/>
                <w:sz w:val="20"/>
                <w:szCs w:val="20"/>
                <w:lang w:eastAsia="es-MX"/>
              </w:rPr>
              <w:t>60%</w:t>
            </w:r>
          </w:p>
        </w:tc>
      </w:tr>
    </w:tbl>
    <w:p w14:paraId="3495F38B" w14:textId="77777777" w:rsidR="007B11FB" w:rsidRPr="00DF3484" w:rsidRDefault="007B11FB" w:rsidP="007B11FB">
      <w:pPr>
        <w:widowControl w:val="0"/>
        <w:numPr>
          <w:ilvl w:val="0"/>
          <w:numId w:val="4"/>
        </w:numPr>
        <w:tabs>
          <w:tab w:val="left" w:pos="1276"/>
          <w:tab w:val="left" w:pos="1418"/>
        </w:tabs>
        <w:spacing w:after="0" w:line="240" w:lineRule="auto"/>
        <w:ind w:left="0" w:firstLine="0"/>
        <w:jc w:val="both"/>
        <w:rPr>
          <w:rFonts w:ascii="Arial" w:hAnsi="Arial" w:cs="Arial"/>
          <w:b/>
          <w:bCs/>
          <w:i/>
          <w:sz w:val="20"/>
          <w:szCs w:val="20"/>
        </w:rPr>
      </w:pPr>
      <w:r w:rsidRPr="00DF3484">
        <w:rPr>
          <w:rFonts w:ascii="Arial" w:hAnsi="Arial" w:cs="Arial"/>
          <w:b/>
          <w:bCs/>
          <w:i/>
          <w:sz w:val="20"/>
          <w:szCs w:val="20"/>
        </w:rPr>
        <w:t>Garantía -</w:t>
      </w:r>
      <w:r w:rsidRPr="00DF3484">
        <w:rPr>
          <w:rFonts w:ascii="Arial" w:hAnsi="Arial" w:cs="Arial"/>
          <w:sz w:val="20"/>
          <w:szCs w:val="20"/>
        </w:rPr>
        <w:t xml:space="preserve"> Las garantías establecidas por el Fondo son:</w:t>
      </w:r>
    </w:p>
    <w:p w14:paraId="77ACE61F" w14:textId="77777777" w:rsidR="007B11FB" w:rsidRPr="00DF3484" w:rsidRDefault="007B11FB" w:rsidP="007B11FB">
      <w:pPr>
        <w:widowControl w:val="0"/>
        <w:numPr>
          <w:ilvl w:val="0"/>
          <w:numId w:val="5"/>
        </w:numPr>
        <w:spacing w:after="0" w:line="240" w:lineRule="auto"/>
        <w:ind w:left="0" w:firstLine="0"/>
        <w:jc w:val="both"/>
        <w:rPr>
          <w:rFonts w:ascii="Arial" w:hAnsi="Arial" w:cs="Arial"/>
          <w:sz w:val="20"/>
          <w:szCs w:val="20"/>
        </w:rPr>
      </w:pPr>
      <w:r w:rsidRPr="00DF3484">
        <w:rPr>
          <w:rFonts w:ascii="Arial" w:hAnsi="Arial" w:cs="Arial"/>
          <w:sz w:val="20"/>
          <w:szCs w:val="20"/>
        </w:rPr>
        <w:t>Garantía hipotecaria</w:t>
      </w:r>
    </w:p>
    <w:p w14:paraId="3F05302B" w14:textId="77777777" w:rsidR="007B11FB" w:rsidRPr="00DF3484" w:rsidRDefault="007B11FB" w:rsidP="007B11FB">
      <w:pPr>
        <w:widowControl w:val="0"/>
        <w:numPr>
          <w:ilvl w:val="0"/>
          <w:numId w:val="5"/>
        </w:numPr>
        <w:tabs>
          <w:tab w:val="left" w:pos="867"/>
          <w:tab w:val="left" w:pos="1276"/>
        </w:tabs>
        <w:spacing w:after="0" w:line="240" w:lineRule="auto"/>
        <w:ind w:left="0" w:firstLine="0"/>
        <w:jc w:val="both"/>
        <w:rPr>
          <w:rFonts w:ascii="Arial" w:hAnsi="Arial" w:cs="Arial"/>
          <w:sz w:val="20"/>
          <w:szCs w:val="20"/>
        </w:rPr>
      </w:pPr>
      <w:r w:rsidRPr="00DF3484">
        <w:rPr>
          <w:rFonts w:ascii="Arial" w:hAnsi="Arial" w:cs="Arial"/>
          <w:sz w:val="20"/>
          <w:szCs w:val="20"/>
        </w:rPr>
        <w:t>Aval</w:t>
      </w:r>
    </w:p>
    <w:p w14:paraId="4515B3AB" w14:textId="77777777" w:rsidR="007B11FB" w:rsidRPr="00DF3484" w:rsidRDefault="007B11FB" w:rsidP="007B11FB">
      <w:pPr>
        <w:pStyle w:val="Prrafodelista"/>
        <w:ind w:left="0"/>
        <w:jc w:val="both"/>
        <w:rPr>
          <w:rFonts w:ascii="Arial" w:hAnsi="Arial" w:cs="Arial"/>
          <w:sz w:val="20"/>
          <w:szCs w:val="20"/>
          <w:lang w:val="es-ES"/>
        </w:rPr>
      </w:pPr>
    </w:p>
    <w:p w14:paraId="6C9A7CFD" w14:textId="77777777" w:rsidR="007D1E76" w:rsidRPr="00DF3484" w:rsidRDefault="007B11FB" w:rsidP="007B11FB">
      <w:pPr>
        <w:tabs>
          <w:tab w:val="left" w:leader="underscore" w:pos="9639"/>
        </w:tabs>
        <w:spacing w:after="0" w:line="240" w:lineRule="auto"/>
        <w:jc w:val="both"/>
        <w:rPr>
          <w:rFonts w:ascii="Arial" w:hAnsi="Arial" w:cs="Arial"/>
          <w:sz w:val="20"/>
          <w:szCs w:val="20"/>
        </w:rPr>
      </w:pPr>
      <w:r w:rsidRPr="00DF3484">
        <w:rPr>
          <w:rFonts w:ascii="Arial" w:hAnsi="Arial" w:cs="Arial"/>
          <w:b/>
          <w:i/>
          <w:sz w:val="20"/>
          <w:szCs w:val="20"/>
        </w:rPr>
        <w:lastRenderedPageBreak/>
        <w:t xml:space="preserve">Períodos para su cálculo </w:t>
      </w:r>
      <w:r w:rsidRPr="00DF3484">
        <w:rPr>
          <w:rFonts w:ascii="Arial" w:hAnsi="Arial" w:cs="Arial"/>
          <w:i/>
          <w:sz w:val="20"/>
          <w:szCs w:val="20"/>
        </w:rPr>
        <w:t xml:space="preserve">- </w:t>
      </w:r>
      <w:r w:rsidRPr="00DF3484">
        <w:rPr>
          <w:rFonts w:ascii="Arial" w:hAnsi="Arial" w:cs="Arial"/>
          <w:sz w:val="20"/>
          <w:szCs w:val="20"/>
        </w:rPr>
        <w:t>El Fondo tiene la política de presentar el cálculo de la estimación de cuentas incobrables al 31 de diciembre del ejercicio actual con base en la información de los créditos al 31 de diciembre del ejercicio inmediato anterior.</w:t>
      </w:r>
    </w:p>
    <w:p w14:paraId="7DB9D5E4"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5D4F7FE4"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h)</w:t>
      </w:r>
      <w:r w:rsidRPr="00DF3484">
        <w:rPr>
          <w:rFonts w:ascii="Arial" w:hAnsi="Arial" w:cs="Arial"/>
          <w:sz w:val="20"/>
          <w:szCs w:val="20"/>
        </w:rPr>
        <w:t xml:space="preserve"> Cambios en políticas contables y corrección de errores junto con la revelación de los efectos que se tendrá en la información financiera del ente público, ya sea retrospectivos o prospectivos:</w:t>
      </w:r>
    </w:p>
    <w:p w14:paraId="4DEA359A" w14:textId="77777777" w:rsidR="007D1E76" w:rsidRPr="00DF3484" w:rsidRDefault="00775160"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2D1744BD" w14:textId="77777777" w:rsidR="007D1E76" w:rsidRDefault="007D1E76" w:rsidP="00CB41C4">
      <w:pPr>
        <w:tabs>
          <w:tab w:val="left" w:leader="underscore" w:pos="9639"/>
        </w:tabs>
        <w:spacing w:after="0" w:line="240" w:lineRule="auto"/>
        <w:jc w:val="both"/>
        <w:rPr>
          <w:rFonts w:ascii="Arial" w:hAnsi="Arial" w:cs="Arial"/>
          <w:sz w:val="20"/>
          <w:szCs w:val="20"/>
        </w:rPr>
      </w:pPr>
    </w:p>
    <w:p w14:paraId="70B4E0CC" w14:textId="77777777" w:rsidR="00D63E65" w:rsidRPr="00DF3484" w:rsidRDefault="00D63E65" w:rsidP="00CB41C4">
      <w:pPr>
        <w:tabs>
          <w:tab w:val="left" w:leader="underscore" w:pos="9639"/>
        </w:tabs>
        <w:spacing w:after="0" w:line="240" w:lineRule="auto"/>
        <w:jc w:val="both"/>
        <w:rPr>
          <w:rFonts w:ascii="Arial" w:hAnsi="Arial" w:cs="Arial"/>
          <w:sz w:val="20"/>
          <w:szCs w:val="20"/>
        </w:rPr>
      </w:pPr>
    </w:p>
    <w:p w14:paraId="6620DFA7"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i)</w:t>
      </w:r>
      <w:r w:rsidRPr="00DF3484">
        <w:rPr>
          <w:rFonts w:ascii="Arial" w:hAnsi="Arial" w:cs="Arial"/>
          <w:sz w:val="20"/>
          <w:szCs w:val="20"/>
        </w:rPr>
        <w:t xml:space="preserve"> Reclasificaciones: Se deben revelar todos aquellos movimientos entre cuentas por efectos de cambios en los tipos de operaciones:</w:t>
      </w:r>
    </w:p>
    <w:p w14:paraId="1630F917" w14:textId="77777777" w:rsidR="007D1E76" w:rsidRPr="00DF3484" w:rsidRDefault="00775160"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6FD09EA6"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31634875"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j)</w:t>
      </w:r>
      <w:r w:rsidRPr="00DF3484">
        <w:rPr>
          <w:rFonts w:ascii="Arial" w:hAnsi="Arial" w:cs="Arial"/>
          <w:sz w:val="20"/>
          <w:szCs w:val="20"/>
        </w:rPr>
        <w:t xml:space="preserve"> Depuración y cancelación de saldos:</w:t>
      </w:r>
    </w:p>
    <w:p w14:paraId="48DF779C" w14:textId="77777777" w:rsidR="007D1E76" w:rsidRPr="00DF3484" w:rsidRDefault="00775160"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3FFC83F9" w14:textId="77777777" w:rsidR="00E00323" w:rsidRPr="00DF3484" w:rsidRDefault="00E00323" w:rsidP="006A5AC6">
      <w:pPr>
        <w:tabs>
          <w:tab w:val="left" w:leader="underscore" w:pos="9639"/>
        </w:tabs>
        <w:spacing w:after="0" w:line="240" w:lineRule="auto"/>
        <w:jc w:val="both"/>
        <w:rPr>
          <w:rFonts w:ascii="Arial" w:hAnsi="Arial" w:cs="Arial"/>
          <w:sz w:val="20"/>
          <w:szCs w:val="20"/>
        </w:rPr>
      </w:pPr>
    </w:p>
    <w:p w14:paraId="555FBB4D" w14:textId="77777777" w:rsidR="007D1E76" w:rsidRPr="00DF3484" w:rsidRDefault="00983283" w:rsidP="006A5AC6">
      <w:pPr>
        <w:pStyle w:val="Ttulo2"/>
        <w:jc w:val="both"/>
        <w:rPr>
          <w:rFonts w:ascii="Arial" w:hAnsi="Arial" w:cs="Arial"/>
          <w:b/>
          <w:color w:val="auto"/>
          <w:sz w:val="20"/>
          <w:szCs w:val="20"/>
        </w:rPr>
      </w:pPr>
      <w:bookmarkStart w:id="5" w:name="_Toc136350935"/>
      <w:r>
        <w:rPr>
          <w:rFonts w:ascii="Arial" w:hAnsi="Arial" w:cs="Arial"/>
          <w:b/>
          <w:color w:val="auto"/>
          <w:sz w:val="20"/>
          <w:szCs w:val="20"/>
        </w:rPr>
        <w:t>6</w:t>
      </w:r>
      <w:r w:rsidR="007D1E76" w:rsidRPr="00DF3484">
        <w:rPr>
          <w:rFonts w:ascii="Arial" w:hAnsi="Arial" w:cs="Arial"/>
          <w:b/>
          <w:color w:val="auto"/>
          <w:sz w:val="20"/>
          <w:szCs w:val="20"/>
        </w:rPr>
        <w:t>. Posición en Moneda Extranjera y Pro</w:t>
      </w:r>
      <w:r w:rsidR="00E00323" w:rsidRPr="00DF3484">
        <w:rPr>
          <w:rFonts w:ascii="Arial" w:hAnsi="Arial" w:cs="Arial"/>
          <w:b/>
          <w:color w:val="auto"/>
          <w:sz w:val="20"/>
          <w:szCs w:val="20"/>
        </w:rPr>
        <w:t>tección por Riesgo Cambiario:</w:t>
      </w:r>
      <w:bookmarkEnd w:id="5"/>
    </w:p>
    <w:p w14:paraId="54A15CA0" w14:textId="77777777" w:rsidR="007D1E76" w:rsidRPr="00DF3484" w:rsidRDefault="007D1E76" w:rsidP="006A5AC6">
      <w:pPr>
        <w:tabs>
          <w:tab w:val="left" w:leader="underscore" w:pos="9639"/>
        </w:tabs>
        <w:spacing w:after="0" w:line="240" w:lineRule="auto"/>
        <w:jc w:val="both"/>
        <w:rPr>
          <w:rFonts w:ascii="Arial" w:hAnsi="Arial" w:cs="Arial"/>
          <w:sz w:val="20"/>
          <w:szCs w:val="20"/>
        </w:rPr>
      </w:pPr>
    </w:p>
    <w:p w14:paraId="4D6B564B" w14:textId="77777777" w:rsidR="007D1E76" w:rsidRPr="00DF3484" w:rsidRDefault="007D1E76" w:rsidP="006A5AC6">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Se informará sobre:</w:t>
      </w:r>
    </w:p>
    <w:p w14:paraId="29DA51DD" w14:textId="77777777" w:rsidR="007D1E76" w:rsidRPr="00DF3484" w:rsidRDefault="007D1E76" w:rsidP="006A5AC6">
      <w:pPr>
        <w:tabs>
          <w:tab w:val="left" w:leader="underscore" w:pos="9639"/>
        </w:tabs>
        <w:spacing w:after="0" w:line="240" w:lineRule="auto"/>
        <w:jc w:val="both"/>
        <w:rPr>
          <w:rFonts w:ascii="Arial" w:hAnsi="Arial" w:cs="Arial"/>
          <w:sz w:val="20"/>
          <w:szCs w:val="20"/>
        </w:rPr>
      </w:pPr>
    </w:p>
    <w:p w14:paraId="3783643A" w14:textId="77777777" w:rsidR="007D1E76" w:rsidRPr="00DF3484" w:rsidRDefault="007D1E76" w:rsidP="006A5AC6">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a)</w:t>
      </w:r>
      <w:r w:rsidRPr="00DF3484">
        <w:rPr>
          <w:rFonts w:ascii="Arial" w:hAnsi="Arial" w:cs="Arial"/>
          <w:sz w:val="20"/>
          <w:szCs w:val="20"/>
        </w:rPr>
        <w:t xml:space="preserve"> Activos en moneda extranjera:</w:t>
      </w:r>
    </w:p>
    <w:p w14:paraId="46A8CFD9" w14:textId="77777777" w:rsidR="007D1E76" w:rsidRPr="00DF3484" w:rsidRDefault="00775160" w:rsidP="006A5AC6">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553A9C4F" w14:textId="77777777" w:rsidR="007D1E76" w:rsidRPr="00DF3484" w:rsidRDefault="007D1E76" w:rsidP="006A5AC6">
      <w:pPr>
        <w:tabs>
          <w:tab w:val="left" w:leader="underscore" w:pos="9639"/>
        </w:tabs>
        <w:spacing w:after="0" w:line="240" w:lineRule="auto"/>
        <w:jc w:val="both"/>
        <w:rPr>
          <w:rFonts w:ascii="Arial" w:hAnsi="Arial" w:cs="Arial"/>
          <w:sz w:val="20"/>
          <w:szCs w:val="20"/>
        </w:rPr>
      </w:pPr>
    </w:p>
    <w:p w14:paraId="448B72CB" w14:textId="77777777" w:rsidR="00E62A88" w:rsidRDefault="00E62A88" w:rsidP="006A5AC6">
      <w:pPr>
        <w:tabs>
          <w:tab w:val="left" w:leader="underscore" w:pos="9639"/>
        </w:tabs>
        <w:spacing w:after="0" w:line="240" w:lineRule="auto"/>
        <w:jc w:val="both"/>
        <w:rPr>
          <w:rFonts w:ascii="Arial" w:hAnsi="Arial" w:cs="Arial"/>
          <w:b/>
          <w:sz w:val="20"/>
          <w:szCs w:val="20"/>
        </w:rPr>
      </w:pPr>
    </w:p>
    <w:p w14:paraId="34BFA565" w14:textId="77777777" w:rsidR="007D1E76" w:rsidRPr="00DF3484" w:rsidRDefault="007D1E76" w:rsidP="006A5AC6">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b)</w:t>
      </w:r>
      <w:r w:rsidRPr="00DF3484">
        <w:rPr>
          <w:rFonts w:ascii="Arial" w:hAnsi="Arial" w:cs="Arial"/>
          <w:sz w:val="20"/>
          <w:szCs w:val="20"/>
        </w:rPr>
        <w:t xml:space="preserve"> Pasivos en moneda extranjera:</w:t>
      </w:r>
    </w:p>
    <w:p w14:paraId="3738F0C1" w14:textId="77777777" w:rsidR="007D1E76" w:rsidRPr="00DF3484" w:rsidRDefault="00775160" w:rsidP="006A5AC6">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1E78E685" w14:textId="77777777" w:rsidR="00104B24" w:rsidRDefault="00104B24" w:rsidP="006A5AC6">
      <w:pPr>
        <w:tabs>
          <w:tab w:val="left" w:leader="underscore" w:pos="9639"/>
        </w:tabs>
        <w:spacing w:after="0" w:line="240" w:lineRule="auto"/>
        <w:jc w:val="both"/>
        <w:rPr>
          <w:rFonts w:ascii="Arial" w:hAnsi="Arial" w:cs="Arial"/>
          <w:b/>
          <w:sz w:val="20"/>
          <w:szCs w:val="20"/>
        </w:rPr>
      </w:pPr>
    </w:p>
    <w:p w14:paraId="1F303DF5" w14:textId="77777777" w:rsidR="007D1E76" w:rsidRPr="00DF3484" w:rsidRDefault="007D1E76" w:rsidP="006A5AC6">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 xml:space="preserve">c) </w:t>
      </w:r>
      <w:r w:rsidRPr="00DF3484">
        <w:rPr>
          <w:rFonts w:ascii="Arial" w:hAnsi="Arial" w:cs="Arial"/>
          <w:sz w:val="20"/>
          <w:szCs w:val="20"/>
        </w:rPr>
        <w:t>Posición en moneda extranjera:</w:t>
      </w:r>
    </w:p>
    <w:p w14:paraId="18C597FA" w14:textId="77777777" w:rsidR="007D1E76" w:rsidRPr="00DF3484" w:rsidRDefault="00775160" w:rsidP="006A5AC6">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6F641F98"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6F1CF8E3"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d)</w:t>
      </w:r>
      <w:r w:rsidRPr="00DF3484">
        <w:rPr>
          <w:rFonts w:ascii="Arial" w:hAnsi="Arial" w:cs="Arial"/>
          <w:sz w:val="20"/>
          <w:szCs w:val="20"/>
        </w:rPr>
        <w:t xml:space="preserve"> Tipo de cambio:</w:t>
      </w:r>
    </w:p>
    <w:p w14:paraId="4585013E" w14:textId="77777777" w:rsidR="007D1E76" w:rsidRPr="00DF3484" w:rsidRDefault="00775160"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1A8D8D34"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p>
    <w:p w14:paraId="436ECA06" w14:textId="77777777" w:rsidR="007D1E76" w:rsidRPr="00DF3484" w:rsidRDefault="007D1E76" w:rsidP="00CB41C4">
      <w:pPr>
        <w:tabs>
          <w:tab w:val="left" w:leader="underscore" w:pos="9639"/>
        </w:tabs>
        <w:spacing w:after="0" w:line="240" w:lineRule="auto"/>
        <w:jc w:val="both"/>
        <w:rPr>
          <w:rFonts w:ascii="Arial" w:hAnsi="Arial" w:cs="Arial"/>
          <w:sz w:val="20"/>
          <w:szCs w:val="20"/>
        </w:rPr>
      </w:pPr>
      <w:r w:rsidRPr="00DF3484">
        <w:rPr>
          <w:rFonts w:ascii="Arial" w:hAnsi="Arial" w:cs="Arial"/>
          <w:b/>
          <w:sz w:val="20"/>
          <w:szCs w:val="20"/>
        </w:rPr>
        <w:t xml:space="preserve">e) </w:t>
      </w:r>
      <w:r w:rsidRPr="00DF3484">
        <w:rPr>
          <w:rFonts w:ascii="Arial" w:hAnsi="Arial" w:cs="Arial"/>
          <w:sz w:val="20"/>
          <w:szCs w:val="20"/>
        </w:rPr>
        <w:t>Equivalente en moneda nacional:</w:t>
      </w:r>
    </w:p>
    <w:p w14:paraId="0C49229F" w14:textId="77777777" w:rsidR="007D1E76" w:rsidRPr="00DF3484" w:rsidRDefault="00775160" w:rsidP="00CB41C4">
      <w:pPr>
        <w:tabs>
          <w:tab w:val="left" w:leader="underscore" w:pos="9639"/>
        </w:tabs>
        <w:spacing w:after="0" w:line="240" w:lineRule="auto"/>
        <w:jc w:val="both"/>
        <w:rPr>
          <w:rFonts w:ascii="Arial" w:hAnsi="Arial" w:cs="Arial"/>
          <w:sz w:val="20"/>
          <w:szCs w:val="20"/>
        </w:rPr>
      </w:pPr>
      <w:r w:rsidRPr="00DF3484">
        <w:rPr>
          <w:rFonts w:ascii="Arial" w:hAnsi="Arial" w:cs="Arial"/>
          <w:sz w:val="20"/>
          <w:szCs w:val="20"/>
        </w:rPr>
        <w:t>No Aplica.</w:t>
      </w:r>
    </w:p>
    <w:p w14:paraId="6CC1EA74"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664C42EC"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Lo anterior por cada tipo de moneda extranjera que se encuentre en los rubros de activo y pasivo.</w:t>
      </w:r>
    </w:p>
    <w:p w14:paraId="16B04F66"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Adicionalmente se informará sobre los métodos de protección de riesgo por vari</w:t>
      </w:r>
      <w:r w:rsidR="00E00323" w:rsidRPr="008A1738">
        <w:rPr>
          <w:rFonts w:ascii="Arial" w:hAnsi="Arial" w:cs="Arial"/>
          <w:sz w:val="20"/>
          <w:szCs w:val="20"/>
        </w:rPr>
        <w:t>aciones en el tipo de cambio.</w:t>
      </w:r>
    </w:p>
    <w:p w14:paraId="04E2B29B" w14:textId="77777777" w:rsidR="007D1E76" w:rsidRDefault="007D1E76" w:rsidP="006A5AC6">
      <w:pPr>
        <w:tabs>
          <w:tab w:val="left" w:leader="underscore" w:pos="9639"/>
        </w:tabs>
        <w:spacing w:after="0" w:line="240" w:lineRule="auto"/>
        <w:jc w:val="both"/>
        <w:rPr>
          <w:rFonts w:ascii="Arial" w:hAnsi="Arial" w:cs="Arial"/>
          <w:sz w:val="20"/>
          <w:szCs w:val="20"/>
        </w:rPr>
      </w:pPr>
    </w:p>
    <w:p w14:paraId="3971ACEB" w14:textId="77777777" w:rsidR="007D2F06" w:rsidRDefault="007D2F06" w:rsidP="006A5AC6">
      <w:pPr>
        <w:tabs>
          <w:tab w:val="left" w:leader="underscore" w:pos="9639"/>
        </w:tabs>
        <w:spacing w:after="0" w:line="240" w:lineRule="auto"/>
        <w:jc w:val="both"/>
        <w:rPr>
          <w:rFonts w:ascii="Arial" w:hAnsi="Arial" w:cs="Arial"/>
          <w:sz w:val="20"/>
          <w:szCs w:val="20"/>
        </w:rPr>
      </w:pPr>
    </w:p>
    <w:p w14:paraId="790DB99F" w14:textId="77777777" w:rsidR="007D2F06" w:rsidRPr="008A1738" w:rsidRDefault="007D2F06" w:rsidP="006A5AC6">
      <w:pPr>
        <w:tabs>
          <w:tab w:val="left" w:leader="underscore" w:pos="9639"/>
        </w:tabs>
        <w:spacing w:after="0" w:line="240" w:lineRule="auto"/>
        <w:jc w:val="both"/>
        <w:rPr>
          <w:rFonts w:ascii="Arial" w:hAnsi="Arial" w:cs="Arial"/>
          <w:sz w:val="20"/>
          <w:szCs w:val="20"/>
        </w:rPr>
      </w:pPr>
    </w:p>
    <w:p w14:paraId="07EAA0C8" w14:textId="77777777" w:rsidR="007D1E76" w:rsidRPr="008A1738" w:rsidRDefault="00983283" w:rsidP="006A5AC6">
      <w:pPr>
        <w:pStyle w:val="Ttulo2"/>
        <w:jc w:val="both"/>
        <w:rPr>
          <w:rFonts w:ascii="Arial" w:hAnsi="Arial" w:cs="Arial"/>
          <w:b/>
          <w:color w:val="auto"/>
          <w:sz w:val="20"/>
          <w:szCs w:val="20"/>
        </w:rPr>
      </w:pPr>
      <w:bookmarkStart w:id="6" w:name="_Toc136350936"/>
      <w:r>
        <w:rPr>
          <w:rFonts w:ascii="Arial" w:hAnsi="Arial" w:cs="Arial"/>
          <w:b/>
          <w:color w:val="auto"/>
          <w:sz w:val="20"/>
          <w:szCs w:val="20"/>
        </w:rPr>
        <w:t>7</w:t>
      </w:r>
      <w:r w:rsidR="007D1E76" w:rsidRPr="008A1738">
        <w:rPr>
          <w:rFonts w:ascii="Arial" w:hAnsi="Arial" w:cs="Arial"/>
          <w:b/>
          <w:color w:val="auto"/>
          <w:sz w:val="20"/>
          <w:szCs w:val="20"/>
        </w:rPr>
        <w:t xml:space="preserve">. </w:t>
      </w:r>
      <w:r w:rsidR="00E00323" w:rsidRPr="008A1738">
        <w:rPr>
          <w:rFonts w:ascii="Arial" w:hAnsi="Arial" w:cs="Arial"/>
          <w:b/>
          <w:color w:val="auto"/>
          <w:sz w:val="20"/>
          <w:szCs w:val="20"/>
        </w:rPr>
        <w:t>Reporte Analítico del Activo:</w:t>
      </w:r>
      <w:bookmarkEnd w:id="6"/>
    </w:p>
    <w:p w14:paraId="4F26BC2C" w14:textId="77777777" w:rsidR="007D1E76" w:rsidRPr="008A1738" w:rsidRDefault="007D1E76" w:rsidP="006A5AC6">
      <w:pPr>
        <w:tabs>
          <w:tab w:val="left" w:leader="underscore" w:pos="9639"/>
        </w:tabs>
        <w:spacing w:after="0" w:line="240" w:lineRule="auto"/>
        <w:jc w:val="both"/>
        <w:rPr>
          <w:rFonts w:ascii="Arial" w:hAnsi="Arial" w:cs="Arial"/>
          <w:sz w:val="20"/>
          <w:szCs w:val="20"/>
        </w:rPr>
      </w:pPr>
    </w:p>
    <w:p w14:paraId="1C0DC193" w14:textId="77777777" w:rsidR="007D1E76" w:rsidRPr="008A1738" w:rsidRDefault="007D1E76" w:rsidP="006A5AC6">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Debe mostrar la siguien</w:t>
      </w:r>
      <w:r w:rsidR="00E00323" w:rsidRPr="008A1738">
        <w:rPr>
          <w:rFonts w:ascii="Arial" w:hAnsi="Arial" w:cs="Arial"/>
          <w:sz w:val="20"/>
          <w:szCs w:val="20"/>
        </w:rPr>
        <w:t>te información:</w:t>
      </w:r>
    </w:p>
    <w:p w14:paraId="56C7D2DB" w14:textId="77777777" w:rsidR="007D1E76" w:rsidRPr="008A1738" w:rsidRDefault="007D1E76" w:rsidP="006A5AC6">
      <w:pPr>
        <w:tabs>
          <w:tab w:val="left" w:leader="underscore" w:pos="9639"/>
        </w:tabs>
        <w:spacing w:after="0" w:line="240" w:lineRule="auto"/>
        <w:jc w:val="both"/>
        <w:rPr>
          <w:rFonts w:ascii="Arial" w:hAnsi="Arial" w:cs="Arial"/>
          <w:sz w:val="20"/>
          <w:szCs w:val="20"/>
        </w:rPr>
      </w:pPr>
    </w:p>
    <w:p w14:paraId="4AF10D13" w14:textId="77777777" w:rsidR="00775160" w:rsidRPr="008A1738" w:rsidRDefault="007D1E76" w:rsidP="006A5AC6">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a)</w:t>
      </w:r>
      <w:r w:rsidRPr="008A1738">
        <w:rPr>
          <w:rFonts w:ascii="Arial" w:hAnsi="Arial" w:cs="Arial"/>
          <w:sz w:val="20"/>
          <w:szCs w:val="20"/>
        </w:rPr>
        <w:t xml:space="preserve"> Vida útil o porcentajes de depreciación, deterioro o amortización utilizados en los diferentes tipos de activos:</w:t>
      </w:r>
    </w:p>
    <w:p w14:paraId="1C8F72DD" w14:textId="77777777" w:rsidR="00775160" w:rsidRDefault="00775160" w:rsidP="006A5AC6">
      <w:pPr>
        <w:tabs>
          <w:tab w:val="left" w:leader="underscore" w:pos="9639"/>
        </w:tabs>
        <w:spacing w:after="0" w:line="240" w:lineRule="auto"/>
        <w:jc w:val="both"/>
        <w:rPr>
          <w:rFonts w:ascii="Arial" w:hAnsi="Arial" w:cs="Arial"/>
          <w:b/>
          <w:i/>
          <w:sz w:val="20"/>
          <w:szCs w:val="20"/>
          <w:lang w:eastAsia="es-MX"/>
        </w:rPr>
      </w:pPr>
    </w:p>
    <w:p w14:paraId="5FD6FA3E" w14:textId="77777777" w:rsidR="007D2F06" w:rsidRDefault="007D2F06" w:rsidP="006A5AC6">
      <w:pPr>
        <w:tabs>
          <w:tab w:val="left" w:leader="underscore" w:pos="9639"/>
        </w:tabs>
        <w:spacing w:after="0" w:line="240" w:lineRule="auto"/>
        <w:jc w:val="both"/>
        <w:rPr>
          <w:rFonts w:ascii="Arial" w:hAnsi="Arial" w:cs="Arial"/>
          <w:b/>
          <w:i/>
          <w:sz w:val="20"/>
          <w:szCs w:val="20"/>
          <w:lang w:eastAsia="es-MX"/>
        </w:rPr>
      </w:pPr>
    </w:p>
    <w:p w14:paraId="3AC85DB4" w14:textId="77777777" w:rsidR="007D2F06" w:rsidRPr="008A1738" w:rsidRDefault="007D2F06" w:rsidP="006A5AC6">
      <w:pPr>
        <w:tabs>
          <w:tab w:val="left" w:leader="underscore" w:pos="9639"/>
        </w:tabs>
        <w:spacing w:after="0" w:line="240" w:lineRule="auto"/>
        <w:jc w:val="both"/>
        <w:rPr>
          <w:rFonts w:ascii="Arial" w:hAnsi="Arial" w:cs="Arial"/>
          <w:b/>
          <w:i/>
          <w:sz w:val="20"/>
          <w:szCs w:val="20"/>
          <w:lang w:eastAsia="es-MX"/>
        </w:rPr>
      </w:pPr>
    </w:p>
    <w:p w14:paraId="46363D69" w14:textId="474A3990" w:rsidR="00775160" w:rsidRPr="007D2F06" w:rsidRDefault="00775160" w:rsidP="006A5AC6">
      <w:pPr>
        <w:tabs>
          <w:tab w:val="left" w:leader="underscore" w:pos="9639"/>
        </w:tabs>
        <w:spacing w:after="0" w:line="240" w:lineRule="auto"/>
        <w:jc w:val="both"/>
        <w:rPr>
          <w:rFonts w:ascii="Arial" w:hAnsi="Arial" w:cs="Arial"/>
          <w:b/>
          <w:i/>
          <w:sz w:val="20"/>
          <w:szCs w:val="20"/>
          <w:lang w:eastAsia="es-MX"/>
        </w:rPr>
      </w:pPr>
      <w:r w:rsidRPr="008A1738">
        <w:rPr>
          <w:rFonts w:ascii="Arial" w:hAnsi="Arial" w:cs="Arial"/>
          <w:b/>
          <w:i/>
          <w:sz w:val="20"/>
          <w:szCs w:val="20"/>
          <w:lang w:eastAsia="es-MX"/>
        </w:rPr>
        <w:t>Bienes muebles:</w:t>
      </w:r>
    </w:p>
    <w:p w14:paraId="29DEB6AB" w14:textId="77777777" w:rsidR="00775160" w:rsidRDefault="00775160" w:rsidP="006A5AC6">
      <w:pPr>
        <w:pStyle w:val="Prrafodelista"/>
        <w:tabs>
          <w:tab w:val="left" w:pos="1134"/>
        </w:tabs>
        <w:ind w:left="0" w:hanging="76"/>
        <w:jc w:val="both"/>
        <w:rPr>
          <w:rFonts w:ascii="Arial" w:hAnsi="Arial" w:cs="Arial"/>
          <w:color w:val="000000"/>
          <w:sz w:val="20"/>
          <w:szCs w:val="20"/>
        </w:rPr>
      </w:pPr>
      <w:r w:rsidRPr="008A1738">
        <w:rPr>
          <w:rFonts w:ascii="Arial" w:eastAsia="Times New Roman" w:hAnsi="Arial" w:cs="Arial"/>
          <w:sz w:val="20"/>
          <w:szCs w:val="20"/>
          <w:lang w:val="es-ES" w:eastAsia="es-MX"/>
        </w:rPr>
        <w:t xml:space="preserve">Los bienes muebles, se expresan a su costo de adquisición (histórico). La depreciación se calcula por el método de línea recta con base en las vidas útiles de los activos y porcentajes de depreciación, aplicadas a los valores de los bienes muebles </w:t>
      </w:r>
      <w:r w:rsidRPr="008A1738">
        <w:rPr>
          <w:rFonts w:ascii="Arial" w:hAnsi="Arial" w:cs="Arial"/>
          <w:color w:val="000000"/>
          <w:sz w:val="20"/>
          <w:szCs w:val="20"/>
        </w:rPr>
        <w:t>como sigue:</w:t>
      </w:r>
    </w:p>
    <w:p w14:paraId="58917856" w14:textId="77777777" w:rsidR="007D2F06" w:rsidRDefault="007D2F06" w:rsidP="006A5AC6">
      <w:pPr>
        <w:pStyle w:val="Prrafodelista"/>
        <w:tabs>
          <w:tab w:val="left" w:pos="1134"/>
        </w:tabs>
        <w:ind w:left="0" w:hanging="76"/>
        <w:jc w:val="both"/>
        <w:rPr>
          <w:rFonts w:ascii="Arial" w:eastAsia="Times New Roman" w:hAnsi="Arial" w:cs="Arial"/>
          <w:color w:val="000000"/>
          <w:sz w:val="20"/>
          <w:szCs w:val="20"/>
          <w:lang w:val="es-ES"/>
        </w:rPr>
      </w:pPr>
    </w:p>
    <w:p w14:paraId="41268BAF" w14:textId="77777777" w:rsidR="007D2F06" w:rsidRPr="008A1738" w:rsidRDefault="007D2F06" w:rsidP="006A5AC6">
      <w:pPr>
        <w:pStyle w:val="Prrafodelista"/>
        <w:tabs>
          <w:tab w:val="left" w:pos="1134"/>
        </w:tabs>
        <w:ind w:left="0" w:hanging="76"/>
        <w:jc w:val="both"/>
        <w:rPr>
          <w:rFonts w:ascii="Arial" w:eastAsia="Times New Roman" w:hAnsi="Arial" w:cs="Arial"/>
          <w:sz w:val="20"/>
          <w:szCs w:val="20"/>
          <w:lang w:val="es-ES" w:eastAsia="es-MX"/>
        </w:rPr>
      </w:pPr>
    </w:p>
    <w:tbl>
      <w:tblPr>
        <w:tblW w:w="7336" w:type="dxa"/>
        <w:tblInd w:w="1455" w:type="dxa"/>
        <w:tblCellMar>
          <w:left w:w="72" w:type="dxa"/>
          <w:right w:w="72" w:type="dxa"/>
        </w:tblCellMar>
        <w:tblLook w:val="0000" w:firstRow="0" w:lastRow="0" w:firstColumn="0" w:lastColumn="0" w:noHBand="0" w:noVBand="0"/>
      </w:tblPr>
      <w:tblGrid>
        <w:gridCol w:w="5068"/>
        <w:gridCol w:w="1134"/>
        <w:gridCol w:w="1134"/>
      </w:tblGrid>
      <w:tr w:rsidR="00775160" w:rsidRPr="008A1738" w14:paraId="5BDE33F6" w14:textId="77777777" w:rsidTr="009663F0">
        <w:trPr>
          <w:trHeight w:val="329"/>
          <w:tblHeader/>
        </w:trPr>
        <w:tc>
          <w:tcPr>
            <w:tcW w:w="5068" w:type="dxa"/>
            <w:vAlign w:val="bottom"/>
          </w:tcPr>
          <w:p w14:paraId="2733200A" w14:textId="7C88A774" w:rsidR="00775160" w:rsidRPr="008A1738" w:rsidRDefault="007D2F06" w:rsidP="009663F0">
            <w:pPr>
              <w:ind w:hanging="76"/>
              <w:jc w:val="both"/>
              <w:rPr>
                <w:rFonts w:ascii="Arial" w:hAnsi="Arial" w:cs="Arial"/>
                <w:color w:val="000000"/>
                <w:sz w:val="20"/>
                <w:szCs w:val="20"/>
              </w:rPr>
            </w:pPr>
            <w:r>
              <w:rPr>
                <w:rFonts w:ascii="Arial" w:hAnsi="Arial" w:cs="Arial"/>
                <w:b/>
                <w:bCs/>
                <w:color w:val="000000"/>
                <w:sz w:val="20"/>
                <w:szCs w:val="20"/>
                <w:lang w:eastAsia="es-MX"/>
              </w:rPr>
              <w:t>Ti</w:t>
            </w:r>
            <w:r w:rsidR="00775160" w:rsidRPr="008A1738">
              <w:rPr>
                <w:rFonts w:ascii="Arial" w:hAnsi="Arial" w:cs="Arial"/>
                <w:b/>
                <w:bCs/>
                <w:color w:val="000000"/>
                <w:sz w:val="20"/>
                <w:szCs w:val="20"/>
                <w:lang w:eastAsia="es-MX"/>
              </w:rPr>
              <w:t>po de bien</w:t>
            </w:r>
          </w:p>
        </w:tc>
        <w:tc>
          <w:tcPr>
            <w:tcW w:w="2268" w:type="dxa"/>
            <w:gridSpan w:val="2"/>
            <w:vAlign w:val="bottom"/>
          </w:tcPr>
          <w:p w14:paraId="6F60EA55" w14:textId="77777777" w:rsidR="00775160" w:rsidRPr="008A1738" w:rsidRDefault="00775160" w:rsidP="009663F0">
            <w:pPr>
              <w:ind w:hanging="76"/>
              <w:jc w:val="both"/>
              <w:rPr>
                <w:rFonts w:ascii="Arial" w:hAnsi="Arial" w:cs="Arial"/>
                <w:b/>
                <w:bCs/>
                <w:color w:val="000000"/>
                <w:sz w:val="20"/>
                <w:szCs w:val="20"/>
                <w:lang w:eastAsia="es-MX"/>
              </w:rPr>
            </w:pPr>
            <w:r w:rsidRPr="008A1738">
              <w:rPr>
                <w:rFonts w:ascii="Arial" w:hAnsi="Arial" w:cs="Arial"/>
                <w:b/>
                <w:bCs/>
                <w:color w:val="000000"/>
                <w:sz w:val="20"/>
                <w:szCs w:val="20"/>
                <w:lang w:eastAsia="es-MX"/>
              </w:rPr>
              <w:t xml:space="preserve">Años de vida </w:t>
            </w:r>
          </w:p>
          <w:p w14:paraId="740AC2C0" w14:textId="77777777" w:rsidR="00775160" w:rsidRPr="008A1738" w:rsidRDefault="00775160" w:rsidP="009663F0">
            <w:pPr>
              <w:ind w:hanging="76"/>
              <w:jc w:val="both"/>
              <w:rPr>
                <w:rFonts w:ascii="Arial" w:hAnsi="Arial" w:cs="Arial"/>
                <w:b/>
                <w:bCs/>
                <w:color w:val="000000"/>
                <w:sz w:val="20"/>
                <w:szCs w:val="20"/>
                <w:lang w:eastAsia="es-MX"/>
              </w:rPr>
            </w:pPr>
            <w:r w:rsidRPr="008A1738">
              <w:rPr>
                <w:rFonts w:ascii="Arial" w:hAnsi="Arial" w:cs="Arial"/>
                <w:b/>
                <w:bCs/>
                <w:color w:val="000000"/>
                <w:sz w:val="20"/>
                <w:szCs w:val="20"/>
                <w:lang w:eastAsia="es-MX"/>
              </w:rPr>
              <w:t>útil estimada</w:t>
            </w:r>
          </w:p>
        </w:tc>
      </w:tr>
      <w:tr w:rsidR="00775160" w:rsidRPr="008A1738" w14:paraId="43CD25CE" w14:textId="77777777" w:rsidTr="009663F0">
        <w:trPr>
          <w:trHeight w:val="235"/>
        </w:trPr>
        <w:tc>
          <w:tcPr>
            <w:tcW w:w="5068" w:type="dxa"/>
            <w:vAlign w:val="bottom"/>
          </w:tcPr>
          <w:p w14:paraId="767C5A14" w14:textId="77777777" w:rsidR="00775160" w:rsidRPr="008A1738" w:rsidRDefault="00775160" w:rsidP="009663F0">
            <w:pPr>
              <w:ind w:hanging="76"/>
              <w:jc w:val="both"/>
              <w:rPr>
                <w:rFonts w:ascii="Arial" w:hAnsi="Arial" w:cs="Arial"/>
                <w:color w:val="000000"/>
                <w:sz w:val="20"/>
                <w:szCs w:val="20"/>
                <w:lang w:eastAsia="es-MX"/>
              </w:rPr>
            </w:pPr>
          </w:p>
        </w:tc>
        <w:tc>
          <w:tcPr>
            <w:tcW w:w="1134" w:type="dxa"/>
            <w:vAlign w:val="bottom"/>
          </w:tcPr>
          <w:p w14:paraId="1B9898D2" w14:textId="3FC88C64" w:rsidR="00775160" w:rsidRPr="008A1738" w:rsidRDefault="00775160" w:rsidP="00636B2D">
            <w:pPr>
              <w:ind w:hanging="76"/>
              <w:jc w:val="both"/>
              <w:rPr>
                <w:rFonts w:ascii="Arial" w:hAnsi="Arial" w:cs="Arial"/>
                <w:b/>
                <w:color w:val="000000"/>
                <w:sz w:val="20"/>
                <w:szCs w:val="20"/>
                <w:lang w:eastAsia="es-MX"/>
              </w:rPr>
            </w:pPr>
            <w:r w:rsidRPr="008A1738">
              <w:rPr>
                <w:rFonts w:ascii="Arial" w:hAnsi="Arial" w:cs="Arial"/>
                <w:b/>
                <w:color w:val="000000"/>
                <w:sz w:val="20"/>
                <w:szCs w:val="20"/>
                <w:lang w:eastAsia="es-MX"/>
              </w:rPr>
              <w:t>20</w:t>
            </w:r>
            <w:r w:rsidR="0039136B" w:rsidRPr="008A1738">
              <w:rPr>
                <w:rFonts w:ascii="Arial" w:hAnsi="Arial" w:cs="Arial"/>
                <w:b/>
                <w:color w:val="000000"/>
                <w:sz w:val="20"/>
                <w:szCs w:val="20"/>
                <w:lang w:eastAsia="es-MX"/>
              </w:rPr>
              <w:t>2</w:t>
            </w:r>
            <w:r w:rsidR="000C42F7">
              <w:rPr>
                <w:rFonts w:ascii="Arial" w:hAnsi="Arial" w:cs="Arial"/>
                <w:b/>
                <w:color w:val="000000"/>
                <w:sz w:val="20"/>
                <w:szCs w:val="20"/>
                <w:lang w:eastAsia="es-MX"/>
              </w:rPr>
              <w:t>4</w:t>
            </w:r>
          </w:p>
        </w:tc>
        <w:tc>
          <w:tcPr>
            <w:tcW w:w="1134" w:type="dxa"/>
            <w:vAlign w:val="bottom"/>
          </w:tcPr>
          <w:p w14:paraId="482B64F7" w14:textId="77777777" w:rsidR="00775160" w:rsidRPr="008A1738" w:rsidRDefault="00775160" w:rsidP="009663F0">
            <w:pPr>
              <w:ind w:hanging="76"/>
              <w:jc w:val="both"/>
              <w:rPr>
                <w:rFonts w:ascii="Arial" w:hAnsi="Arial" w:cs="Arial"/>
                <w:b/>
                <w:color w:val="000000"/>
                <w:sz w:val="20"/>
                <w:szCs w:val="20"/>
                <w:lang w:eastAsia="es-MX"/>
              </w:rPr>
            </w:pPr>
            <w:r w:rsidRPr="008A1738">
              <w:rPr>
                <w:rFonts w:ascii="Arial" w:hAnsi="Arial" w:cs="Arial"/>
                <w:b/>
                <w:color w:val="000000"/>
                <w:sz w:val="20"/>
                <w:szCs w:val="20"/>
                <w:lang w:eastAsia="es-MX"/>
              </w:rPr>
              <w:t>% DEP</w:t>
            </w:r>
          </w:p>
        </w:tc>
      </w:tr>
      <w:tr w:rsidR="00775160" w:rsidRPr="008A1738" w14:paraId="24676FF6" w14:textId="77777777" w:rsidTr="009663F0">
        <w:trPr>
          <w:trHeight w:val="20"/>
        </w:trPr>
        <w:tc>
          <w:tcPr>
            <w:tcW w:w="5068" w:type="dxa"/>
            <w:vAlign w:val="bottom"/>
          </w:tcPr>
          <w:p w14:paraId="30303404"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Bienes muebles</w:t>
            </w:r>
          </w:p>
        </w:tc>
        <w:tc>
          <w:tcPr>
            <w:tcW w:w="1134" w:type="dxa"/>
            <w:vAlign w:val="bottom"/>
          </w:tcPr>
          <w:p w14:paraId="444851AC" w14:textId="77777777" w:rsidR="00775160" w:rsidRPr="008A1738" w:rsidRDefault="00775160" w:rsidP="009663F0">
            <w:pPr>
              <w:ind w:hanging="76"/>
              <w:jc w:val="both"/>
              <w:rPr>
                <w:rFonts w:ascii="Arial" w:hAnsi="Arial" w:cs="Arial"/>
                <w:color w:val="000000"/>
                <w:sz w:val="20"/>
                <w:szCs w:val="20"/>
                <w:lang w:eastAsia="es-MX"/>
              </w:rPr>
            </w:pPr>
          </w:p>
        </w:tc>
        <w:tc>
          <w:tcPr>
            <w:tcW w:w="1134" w:type="dxa"/>
            <w:vAlign w:val="bottom"/>
          </w:tcPr>
          <w:p w14:paraId="2572139F" w14:textId="77777777" w:rsidR="00775160" w:rsidRPr="008A1738" w:rsidRDefault="00775160" w:rsidP="009663F0">
            <w:pPr>
              <w:ind w:hanging="76"/>
              <w:jc w:val="both"/>
              <w:rPr>
                <w:rFonts w:ascii="Arial" w:hAnsi="Arial" w:cs="Arial"/>
                <w:color w:val="000000"/>
                <w:sz w:val="20"/>
                <w:szCs w:val="20"/>
                <w:lang w:eastAsia="es-MX"/>
              </w:rPr>
            </w:pPr>
          </w:p>
        </w:tc>
      </w:tr>
      <w:tr w:rsidR="00775160" w:rsidRPr="008A1738" w14:paraId="2CB332FD" w14:textId="77777777" w:rsidTr="009663F0">
        <w:trPr>
          <w:trHeight w:val="20"/>
        </w:trPr>
        <w:tc>
          <w:tcPr>
            <w:tcW w:w="5068" w:type="dxa"/>
            <w:vAlign w:val="bottom"/>
          </w:tcPr>
          <w:p w14:paraId="2F3F08DC"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Mobiliario y equipo de administración</w:t>
            </w:r>
          </w:p>
        </w:tc>
        <w:tc>
          <w:tcPr>
            <w:tcW w:w="1134" w:type="dxa"/>
            <w:vAlign w:val="bottom"/>
          </w:tcPr>
          <w:p w14:paraId="2043A742" w14:textId="77777777" w:rsidR="00775160" w:rsidRPr="008A1738" w:rsidRDefault="00775160" w:rsidP="009663F0">
            <w:pPr>
              <w:ind w:hanging="76"/>
              <w:jc w:val="both"/>
              <w:rPr>
                <w:rFonts w:ascii="Arial" w:hAnsi="Arial" w:cs="Arial"/>
                <w:color w:val="000000"/>
                <w:sz w:val="20"/>
                <w:szCs w:val="20"/>
                <w:lang w:eastAsia="es-MX"/>
              </w:rPr>
            </w:pPr>
          </w:p>
        </w:tc>
        <w:tc>
          <w:tcPr>
            <w:tcW w:w="1134" w:type="dxa"/>
            <w:vAlign w:val="bottom"/>
          </w:tcPr>
          <w:p w14:paraId="5E743F74" w14:textId="77777777" w:rsidR="00775160" w:rsidRPr="008A1738" w:rsidRDefault="00775160" w:rsidP="009663F0">
            <w:pPr>
              <w:ind w:hanging="76"/>
              <w:jc w:val="both"/>
              <w:rPr>
                <w:rFonts w:ascii="Arial" w:hAnsi="Arial" w:cs="Arial"/>
                <w:color w:val="000000"/>
                <w:sz w:val="20"/>
                <w:szCs w:val="20"/>
                <w:lang w:eastAsia="es-MX"/>
              </w:rPr>
            </w:pPr>
          </w:p>
        </w:tc>
      </w:tr>
      <w:tr w:rsidR="00775160" w:rsidRPr="008A1738" w14:paraId="7EA83622" w14:textId="77777777" w:rsidTr="009663F0">
        <w:trPr>
          <w:trHeight w:val="20"/>
        </w:trPr>
        <w:tc>
          <w:tcPr>
            <w:tcW w:w="5068" w:type="dxa"/>
            <w:vAlign w:val="bottom"/>
          </w:tcPr>
          <w:p w14:paraId="71B7D253"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Muebles de oficina y estantería</w:t>
            </w:r>
          </w:p>
        </w:tc>
        <w:tc>
          <w:tcPr>
            <w:tcW w:w="1134" w:type="dxa"/>
            <w:vAlign w:val="bottom"/>
          </w:tcPr>
          <w:p w14:paraId="340C9FC2"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10</w:t>
            </w:r>
          </w:p>
        </w:tc>
        <w:tc>
          <w:tcPr>
            <w:tcW w:w="1134" w:type="dxa"/>
            <w:vAlign w:val="bottom"/>
          </w:tcPr>
          <w:p w14:paraId="635994A4"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10</w:t>
            </w:r>
          </w:p>
        </w:tc>
      </w:tr>
      <w:tr w:rsidR="00775160" w:rsidRPr="008A1738" w14:paraId="2E421E31" w14:textId="77777777" w:rsidTr="009663F0">
        <w:trPr>
          <w:trHeight w:val="20"/>
        </w:trPr>
        <w:tc>
          <w:tcPr>
            <w:tcW w:w="5068" w:type="dxa"/>
            <w:vAlign w:val="bottom"/>
          </w:tcPr>
          <w:p w14:paraId="1631BF66"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Muebles, excepto de oficina y estantería</w:t>
            </w:r>
          </w:p>
        </w:tc>
        <w:tc>
          <w:tcPr>
            <w:tcW w:w="1134" w:type="dxa"/>
            <w:vAlign w:val="bottom"/>
          </w:tcPr>
          <w:p w14:paraId="0D886813"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10</w:t>
            </w:r>
          </w:p>
        </w:tc>
        <w:tc>
          <w:tcPr>
            <w:tcW w:w="1134" w:type="dxa"/>
            <w:vAlign w:val="bottom"/>
          </w:tcPr>
          <w:p w14:paraId="450D6756"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10</w:t>
            </w:r>
          </w:p>
        </w:tc>
      </w:tr>
      <w:tr w:rsidR="00775160" w:rsidRPr="008A1738" w14:paraId="1CA86E23" w14:textId="77777777" w:rsidTr="009663F0">
        <w:trPr>
          <w:trHeight w:val="20"/>
        </w:trPr>
        <w:tc>
          <w:tcPr>
            <w:tcW w:w="5068" w:type="dxa"/>
            <w:vAlign w:val="bottom"/>
          </w:tcPr>
          <w:p w14:paraId="398D105F"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Equipo de cómputo y de tecnologías de la información</w:t>
            </w:r>
          </w:p>
        </w:tc>
        <w:tc>
          <w:tcPr>
            <w:tcW w:w="1134" w:type="dxa"/>
            <w:vAlign w:val="bottom"/>
          </w:tcPr>
          <w:p w14:paraId="73B9ECCB"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3.3</w:t>
            </w:r>
          </w:p>
        </w:tc>
        <w:tc>
          <w:tcPr>
            <w:tcW w:w="1134" w:type="dxa"/>
            <w:vAlign w:val="bottom"/>
          </w:tcPr>
          <w:p w14:paraId="3EBE113F"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30</w:t>
            </w:r>
          </w:p>
        </w:tc>
      </w:tr>
      <w:tr w:rsidR="00775160" w:rsidRPr="008A1738" w14:paraId="41DE3451" w14:textId="77777777" w:rsidTr="009663F0">
        <w:trPr>
          <w:trHeight w:val="20"/>
        </w:trPr>
        <w:tc>
          <w:tcPr>
            <w:tcW w:w="5068" w:type="dxa"/>
            <w:vAlign w:val="bottom"/>
          </w:tcPr>
          <w:p w14:paraId="0495FCCD"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Otros mobiliarios y equipos de administración</w:t>
            </w:r>
          </w:p>
        </w:tc>
        <w:tc>
          <w:tcPr>
            <w:tcW w:w="1134" w:type="dxa"/>
            <w:vAlign w:val="bottom"/>
          </w:tcPr>
          <w:p w14:paraId="090FEDE9"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10</w:t>
            </w:r>
          </w:p>
        </w:tc>
        <w:tc>
          <w:tcPr>
            <w:tcW w:w="1134" w:type="dxa"/>
            <w:vAlign w:val="bottom"/>
          </w:tcPr>
          <w:p w14:paraId="4326C847"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10</w:t>
            </w:r>
          </w:p>
        </w:tc>
      </w:tr>
      <w:tr w:rsidR="00775160" w:rsidRPr="008A1738" w14:paraId="103A1A48" w14:textId="77777777" w:rsidTr="009663F0">
        <w:trPr>
          <w:trHeight w:val="20"/>
        </w:trPr>
        <w:tc>
          <w:tcPr>
            <w:tcW w:w="5068" w:type="dxa"/>
            <w:vAlign w:val="bottom"/>
          </w:tcPr>
          <w:p w14:paraId="0489F02E"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Equipo de transporte</w:t>
            </w:r>
          </w:p>
        </w:tc>
        <w:tc>
          <w:tcPr>
            <w:tcW w:w="1134" w:type="dxa"/>
            <w:vAlign w:val="bottom"/>
          </w:tcPr>
          <w:p w14:paraId="3ACFC5A4" w14:textId="77777777" w:rsidR="00775160" w:rsidRPr="008A1738" w:rsidRDefault="00775160" w:rsidP="009663F0">
            <w:pPr>
              <w:ind w:hanging="76"/>
              <w:jc w:val="both"/>
              <w:rPr>
                <w:rFonts w:ascii="Arial" w:hAnsi="Arial" w:cs="Arial"/>
                <w:color w:val="000000"/>
                <w:sz w:val="20"/>
                <w:szCs w:val="20"/>
                <w:lang w:eastAsia="es-MX"/>
              </w:rPr>
            </w:pPr>
          </w:p>
        </w:tc>
        <w:tc>
          <w:tcPr>
            <w:tcW w:w="1134" w:type="dxa"/>
            <w:vAlign w:val="bottom"/>
          </w:tcPr>
          <w:p w14:paraId="4FDDEF81" w14:textId="77777777" w:rsidR="00775160" w:rsidRPr="008A1738" w:rsidRDefault="00775160" w:rsidP="009663F0">
            <w:pPr>
              <w:ind w:hanging="76"/>
              <w:jc w:val="both"/>
              <w:rPr>
                <w:rFonts w:ascii="Arial" w:hAnsi="Arial" w:cs="Arial"/>
                <w:color w:val="000000"/>
                <w:sz w:val="20"/>
                <w:szCs w:val="20"/>
                <w:lang w:eastAsia="es-MX"/>
              </w:rPr>
            </w:pPr>
          </w:p>
        </w:tc>
      </w:tr>
      <w:tr w:rsidR="00775160" w:rsidRPr="008A1738" w14:paraId="24F30FAF" w14:textId="77777777" w:rsidTr="009663F0">
        <w:trPr>
          <w:trHeight w:val="20"/>
        </w:trPr>
        <w:tc>
          <w:tcPr>
            <w:tcW w:w="5068" w:type="dxa"/>
            <w:vAlign w:val="bottom"/>
          </w:tcPr>
          <w:p w14:paraId="200EFDA5"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Automóviles y equipo terrestre</w:t>
            </w:r>
          </w:p>
        </w:tc>
        <w:tc>
          <w:tcPr>
            <w:tcW w:w="1134" w:type="dxa"/>
            <w:vAlign w:val="bottom"/>
          </w:tcPr>
          <w:p w14:paraId="7A257356"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4</w:t>
            </w:r>
          </w:p>
        </w:tc>
        <w:tc>
          <w:tcPr>
            <w:tcW w:w="1134" w:type="dxa"/>
            <w:vAlign w:val="bottom"/>
          </w:tcPr>
          <w:p w14:paraId="09C6A6A0" w14:textId="77777777" w:rsidR="00775160" w:rsidRPr="008A1738" w:rsidRDefault="00775160" w:rsidP="009663F0">
            <w:pPr>
              <w:ind w:hanging="76"/>
              <w:jc w:val="both"/>
              <w:rPr>
                <w:rFonts w:ascii="Arial" w:hAnsi="Arial" w:cs="Arial"/>
                <w:color w:val="000000"/>
                <w:sz w:val="20"/>
                <w:szCs w:val="20"/>
                <w:lang w:eastAsia="es-MX"/>
              </w:rPr>
            </w:pPr>
            <w:r w:rsidRPr="008A1738">
              <w:rPr>
                <w:rFonts w:ascii="Arial" w:hAnsi="Arial" w:cs="Arial"/>
                <w:color w:val="000000"/>
                <w:sz w:val="20"/>
                <w:szCs w:val="20"/>
                <w:lang w:eastAsia="es-MX"/>
              </w:rPr>
              <w:t>25</w:t>
            </w:r>
          </w:p>
        </w:tc>
      </w:tr>
    </w:tbl>
    <w:p w14:paraId="1BAD71F6"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159862F8"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67F9A57C" w14:textId="7EC98FA3"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b)</w:t>
      </w:r>
      <w:r w:rsidRPr="008A1738">
        <w:rPr>
          <w:rFonts w:ascii="Arial" w:hAnsi="Arial" w:cs="Arial"/>
          <w:sz w:val="20"/>
          <w:szCs w:val="20"/>
        </w:rPr>
        <w:t xml:space="preserve"> Cambios en el porcentaje de depreciación o valor residual de los activos:</w:t>
      </w:r>
    </w:p>
    <w:p w14:paraId="6F4E6BF2"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2E902451"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75D93009"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6ACE0593" w14:textId="12197639"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c)</w:t>
      </w:r>
      <w:r w:rsidRPr="008A1738">
        <w:rPr>
          <w:rFonts w:ascii="Arial" w:hAnsi="Arial" w:cs="Arial"/>
          <w:sz w:val="20"/>
          <w:szCs w:val="20"/>
        </w:rPr>
        <w:t xml:space="preserve"> Importe de los gastos capitalizados en el ejercicio, tanto financieros como de investigación y desarrollo:</w:t>
      </w:r>
    </w:p>
    <w:p w14:paraId="7CB8C38C"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5732C878"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400EFDE1"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5241921D" w14:textId="2814C67A"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d)</w:t>
      </w:r>
      <w:r w:rsidRPr="008A1738">
        <w:rPr>
          <w:rFonts w:ascii="Arial" w:hAnsi="Arial" w:cs="Arial"/>
          <w:sz w:val="20"/>
          <w:szCs w:val="20"/>
        </w:rPr>
        <w:t xml:space="preserve"> Rie</w:t>
      </w:r>
      <w:r w:rsidR="001973A2" w:rsidRPr="008A1738">
        <w:rPr>
          <w:rFonts w:ascii="Arial" w:hAnsi="Arial" w:cs="Arial"/>
          <w:sz w:val="20"/>
          <w:szCs w:val="20"/>
        </w:rPr>
        <w:t>s</w:t>
      </w:r>
      <w:r w:rsidRPr="008A1738">
        <w:rPr>
          <w:rFonts w:ascii="Arial" w:hAnsi="Arial" w:cs="Arial"/>
          <w:sz w:val="20"/>
          <w:szCs w:val="20"/>
        </w:rPr>
        <w:t>gos por tipo de cambio o tipo de interés de las inversiones financieras:</w:t>
      </w:r>
    </w:p>
    <w:p w14:paraId="388F394E"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699625D9"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011094BF"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4036DEBB" w14:textId="1A2E6620"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 xml:space="preserve">e) </w:t>
      </w:r>
      <w:r w:rsidRPr="008A1738">
        <w:rPr>
          <w:rFonts w:ascii="Arial" w:hAnsi="Arial" w:cs="Arial"/>
          <w:sz w:val="20"/>
          <w:szCs w:val="20"/>
        </w:rPr>
        <w:t>Valor activado en el ejercicio de los bienes construidos por la entidad:</w:t>
      </w:r>
    </w:p>
    <w:p w14:paraId="140B912A"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1ACCBAF2" w14:textId="77777777" w:rsidR="007D1E76" w:rsidRPr="008A1738" w:rsidRDefault="007D1E76" w:rsidP="00CB41C4">
      <w:pPr>
        <w:tabs>
          <w:tab w:val="left" w:leader="underscore" w:pos="9639"/>
        </w:tabs>
        <w:spacing w:after="0" w:line="240" w:lineRule="auto"/>
        <w:jc w:val="both"/>
        <w:rPr>
          <w:rFonts w:ascii="Arial" w:hAnsi="Arial" w:cs="Arial"/>
          <w:b/>
          <w:sz w:val="20"/>
          <w:szCs w:val="20"/>
        </w:rPr>
      </w:pPr>
    </w:p>
    <w:p w14:paraId="1C73B924"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3B2CA2B7" w14:textId="742722EC"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f)</w:t>
      </w:r>
      <w:r w:rsidRPr="008A1738">
        <w:rPr>
          <w:rFonts w:ascii="Arial" w:hAnsi="Arial" w:cs="Arial"/>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A6B274A"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3BCF0F6F" w14:textId="77777777" w:rsidR="00775160" w:rsidRPr="008A1738" w:rsidRDefault="00775160" w:rsidP="00CB41C4">
      <w:pPr>
        <w:tabs>
          <w:tab w:val="left" w:leader="underscore" w:pos="9639"/>
        </w:tabs>
        <w:spacing w:after="0" w:line="240" w:lineRule="auto"/>
        <w:jc w:val="both"/>
        <w:rPr>
          <w:rFonts w:ascii="Arial" w:hAnsi="Arial" w:cs="Arial"/>
          <w:sz w:val="20"/>
          <w:szCs w:val="20"/>
        </w:rPr>
      </w:pPr>
    </w:p>
    <w:p w14:paraId="6DB05284"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49110F0B"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118FEF17" w14:textId="205A7396"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g)</w:t>
      </w:r>
      <w:r w:rsidRPr="008A1738">
        <w:rPr>
          <w:rFonts w:ascii="Arial" w:hAnsi="Arial" w:cs="Arial"/>
          <w:sz w:val="20"/>
          <w:szCs w:val="20"/>
        </w:rPr>
        <w:t xml:space="preserve"> Desmantelamiento de Activos, procedimientos, implicaciones, efectos contables:</w:t>
      </w:r>
    </w:p>
    <w:p w14:paraId="59D4100F"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3778ECF6"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3DBFED8B"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7760D993"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4A91AA5D" w14:textId="77777777" w:rsidR="007D2F06" w:rsidRDefault="007D2F06" w:rsidP="00CB41C4">
      <w:pPr>
        <w:tabs>
          <w:tab w:val="left" w:leader="underscore" w:pos="9639"/>
        </w:tabs>
        <w:spacing w:after="0" w:line="240" w:lineRule="auto"/>
        <w:jc w:val="both"/>
        <w:rPr>
          <w:rFonts w:ascii="Arial" w:hAnsi="Arial" w:cs="Arial"/>
          <w:b/>
          <w:sz w:val="20"/>
          <w:szCs w:val="20"/>
        </w:rPr>
      </w:pPr>
    </w:p>
    <w:p w14:paraId="35276738" w14:textId="5987D20A"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lastRenderedPageBreak/>
        <w:t>h)</w:t>
      </w:r>
      <w:r w:rsidRPr="008A1738">
        <w:rPr>
          <w:rFonts w:ascii="Arial" w:hAnsi="Arial" w:cs="Arial"/>
          <w:sz w:val="20"/>
          <w:szCs w:val="20"/>
        </w:rPr>
        <w:t xml:space="preserve"> Administración de activos; planeación con el objetivo de que el ente los utilice de manera más efectiva:</w:t>
      </w:r>
    </w:p>
    <w:p w14:paraId="43AF9E9E"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4364F3FB" w14:textId="77777777" w:rsidR="005E231E" w:rsidRPr="008A1738" w:rsidRDefault="005E231E" w:rsidP="00CB41C4">
      <w:pPr>
        <w:tabs>
          <w:tab w:val="left" w:leader="underscore" w:pos="9639"/>
        </w:tabs>
        <w:spacing w:after="0" w:line="240" w:lineRule="auto"/>
        <w:jc w:val="both"/>
        <w:rPr>
          <w:rFonts w:ascii="Arial" w:hAnsi="Arial" w:cs="Arial"/>
          <w:sz w:val="20"/>
          <w:szCs w:val="20"/>
        </w:rPr>
      </w:pPr>
    </w:p>
    <w:p w14:paraId="12F0C332"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Adicionalmente, se deben incluir las explicaciones de las principales variaciones en el activo, en cua</w:t>
      </w:r>
      <w:r w:rsidR="005E231E" w:rsidRPr="008A1738">
        <w:rPr>
          <w:rFonts w:ascii="Arial" w:hAnsi="Arial" w:cs="Arial"/>
          <w:sz w:val="20"/>
          <w:szCs w:val="20"/>
        </w:rPr>
        <w:t>dros comparativos como sigue:</w:t>
      </w:r>
    </w:p>
    <w:p w14:paraId="397D14EE"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0E98B80B"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a)</w:t>
      </w:r>
      <w:r w:rsidRPr="008A1738">
        <w:rPr>
          <w:rFonts w:ascii="Arial" w:hAnsi="Arial" w:cs="Arial"/>
          <w:sz w:val="20"/>
          <w:szCs w:val="20"/>
        </w:rPr>
        <w:t xml:space="preserve"> Inversiones en valores:</w:t>
      </w:r>
    </w:p>
    <w:p w14:paraId="13D93FB6"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106DE80F"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636C511A"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b)</w:t>
      </w:r>
      <w:r w:rsidRPr="008A1738">
        <w:rPr>
          <w:rFonts w:ascii="Arial" w:hAnsi="Arial" w:cs="Arial"/>
          <w:sz w:val="20"/>
          <w:szCs w:val="20"/>
        </w:rPr>
        <w:t xml:space="preserve"> Patrimonio de Organismos descentralizados de Control Presupuestario Indirecto:</w:t>
      </w:r>
    </w:p>
    <w:p w14:paraId="4D70417D"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668D3997"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52E7463F"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c)</w:t>
      </w:r>
      <w:r w:rsidRPr="008A1738">
        <w:rPr>
          <w:rFonts w:ascii="Arial" w:hAnsi="Arial" w:cs="Arial"/>
          <w:sz w:val="20"/>
          <w:szCs w:val="20"/>
        </w:rPr>
        <w:t xml:space="preserve"> Inversiones en empresas de participación mayoritaria:</w:t>
      </w:r>
    </w:p>
    <w:p w14:paraId="0D7ECA6A"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5427EAB8"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1A64871D"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d)</w:t>
      </w:r>
      <w:r w:rsidRPr="008A1738">
        <w:rPr>
          <w:rFonts w:ascii="Arial" w:hAnsi="Arial" w:cs="Arial"/>
          <w:sz w:val="20"/>
          <w:szCs w:val="20"/>
        </w:rPr>
        <w:t xml:space="preserve"> Inversiones en empresas de participación minoritaria:</w:t>
      </w:r>
    </w:p>
    <w:p w14:paraId="1DA01717"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21A27FA2"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72073F1E"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e)</w:t>
      </w:r>
      <w:r w:rsidRPr="008A1738">
        <w:rPr>
          <w:rFonts w:ascii="Arial" w:hAnsi="Arial" w:cs="Arial"/>
          <w:sz w:val="20"/>
          <w:szCs w:val="20"/>
        </w:rPr>
        <w:t xml:space="preserve"> Patrimonio de organismos descentralizados de control presupuestario directo, según corresponda:</w:t>
      </w:r>
    </w:p>
    <w:p w14:paraId="1B0D56DD"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69CA2497"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0AEA9990" w14:textId="77777777" w:rsidR="007D1E76" w:rsidRPr="008A1738" w:rsidRDefault="00983283" w:rsidP="000C3365">
      <w:pPr>
        <w:pStyle w:val="Ttulo2"/>
        <w:rPr>
          <w:rFonts w:ascii="Arial" w:hAnsi="Arial" w:cs="Arial"/>
          <w:b/>
          <w:color w:val="auto"/>
          <w:sz w:val="20"/>
          <w:szCs w:val="20"/>
        </w:rPr>
      </w:pPr>
      <w:bookmarkStart w:id="7" w:name="_Toc136350937"/>
      <w:r>
        <w:rPr>
          <w:rFonts w:ascii="Arial" w:hAnsi="Arial" w:cs="Arial"/>
          <w:b/>
          <w:color w:val="auto"/>
          <w:sz w:val="20"/>
          <w:szCs w:val="20"/>
        </w:rPr>
        <w:t>8</w:t>
      </w:r>
      <w:r w:rsidR="007D1E76" w:rsidRPr="008A1738">
        <w:rPr>
          <w:rFonts w:ascii="Arial" w:hAnsi="Arial" w:cs="Arial"/>
          <w:b/>
          <w:color w:val="auto"/>
          <w:sz w:val="20"/>
          <w:szCs w:val="20"/>
        </w:rPr>
        <w:t>. Fidei</w:t>
      </w:r>
      <w:r w:rsidR="005E231E" w:rsidRPr="008A1738">
        <w:rPr>
          <w:rFonts w:ascii="Arial" w:hAnsi="Arial" w:cs="Arial"/>
          <w:b/>
          <w:color w:val="auto"/>
          <w:sz w:val="20"/>
          <w:szCs w:val="20"/>
        </w:rPr>
        <w:t>comisos, Mandatos y Análogos:</w:t>
      </w:r>
      <w:bookmarkEnd w:id="7"/>
    </w:p>
    <w:p w14:paraId="6511E195"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Se deberá informar:</w:t>
      </w:r>
    </w:p>
    <w:p w14:paraId="7A07FAC6"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1F2C827B"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a)</w:t>
      </w:r>
      <w:r w:rsidRPr="008A1738">
        <w:rPr>
          <w:rFonts w:ascii="Arial" w:hAnsi="Arial" w:cs="Arial"/>
          <w:sz w:val="20"/>
          <w:szCs w:val="20"/>
        </w:rPr>
        <w:t xml:space="preserve"> Por ramo administrativo que los reporta:</w:t>
      </w:r>
    </w:p>
    <w:p w14:paraId="0996689A"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6A378D19"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702CD7EA"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b)</w:t>
      </w:r>
      <w:r w:rsidRPr="008A1738">
        <w:rPr>
          <w:rFonts w:ascii="Arial" w:hAnsi="Arial" w:cs="Arial"/>
          <w:sz w:val="20"/>
          <w:szCs w:val="20"/>
        </w:rPr>
        <w:t xml:space="preserve"> Enlistar los de mayor monto de disponibilidad, relacionando aquéllos que conforman el 80% de las disponibilidades:</w:t>
      </w:r>
    </w:p>
    <w:p w14:paraId="03641210" w14:textId="77777777" w:rsidR="007D1E76" w:rsidRPr="008A1738" w:rsidRDefault="00775160"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3115B293"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2870852D" w14:textId="77777777" w:rsidR="007D1E76" w:rsidRPr="008A1738" w:rsidRDefault="00983283" w:rsidP="000C3365">
      <w:pPr>
        <w:pStyle w:val="Ttulo2"/>
        <w:rPr>
          <w:rFonts w:ascii="Arial" w:hAnsi="Arial" w:cs="Arial"/>
          <w:b/>
          <w:color w:val="auto"/>
          <w:sz w:val="20"/>
          <w:szCs w:val="20"/>
        </w:rPr>
      </w:pPr>
      <w:bookmarkStart w:id="8" w:name="_Toc136350938"/>
      <w:r>
        <w:rPr>
          <w:rFonts w:ascii="Arial" w:hAnsi="Arial" w:cs="Arial"/>
          <w:b/>
          <w:color w:val="auto"/>
          <w:sz w:val="20"/>
          <w:szCs w:val="20"/>
        </w:rPr>
        <w:t>9</w:t>
      </w:r>
      <w:r w:rsidR="007D1E76" w:rsidRPr="008A1738">
        <w:rPr>
          <w:rFonts w:ascii="Arial" w:hAnsi="Arial" w:cs="Arial"/>
          <w:b/>
          <w:color w:val="auto"/>
          <w:sz w:val="20"/>
          <w:szCs w:val="20"/>
        </w:rPr>
        <w:t>. Reporte de la Recaudación:</w:t>
      </w:r>
      <w:bookmarkEnd w:id="8"/>
    </w:p>
    <w:p w14:paraId="7FB1C5AB" w14:textId="77777777" w:rsidR="008D6298" w:rsidRPr="008A1738" w:rsidRDefault="008D6298" w:rsidP="00CB41C4">
      <w:pPr>
        <w:tabs>
          <w:tab w:val="left" w:leader="underscore" w:pos="9639"/>
        </w:tabs>
        <w:spacing w:after="0" w:line="240" w:lineRule="auto"/>
        <w:jc w:val="both"/>
        <w:rPr>
          <w:rFonts w:ascii="Arial" w:hAnsi="Arial" w:cs="Arial"/>
          <w:b/>
          <w:sz w:val="20"/>
          <w:szCs w:val="20"/>
        </w:rPr>
      </w:pPr>
    </w:p>
    <w:p w14:paraId="61F92568"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a)</w:t>
      </w:r>
      <w:r w:rsidRPr="008A1738">
        <w:rPr>
          <w:rFonts w:ascii="Arial" w:hAnsi="Arial" w:cs="Arial"/>
          <w:sz w:val="20"/>
          <w:szCs w:val="20"/>
        </w:rPr>
        <w:t xml:space="preserve"> Análisis del comportamiento de la recaudación correspondiente al ente público o cualquier tipo de ingreso, de forma separada los ingresos locales de los federales:</w:t>
      </w:r>
    </w:p>
    <w:p w14:paraId="2E1D0363" w14:textId="77777777" w:rsidR="007D1E76" w:rsidRPr="008A1738" w:rsidRDefault="00A25E9E"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2A17C96E" w14:textId="77777777" w:rsidR="007D1E76" w:rsidRDefault="007D1E76" w:rsidP="00CB41C4">
      <w:pPr>
        <w:tabs>
          <w:tab w:val="left" w:leader="underscore" w:pos="9639"/>
        </w:tabs>
        <w:spacing w:after="0" w:line="240" w:lineRule="auto"/>
        <w:jc w:val="both"/>
        <w:rPr>
          <w:rFonts w:ascii="Arial" w:hAnsi="Arial" w:cs="Arial"/>
          <w:sz w:val="20"/>
          <w:szCs w:val="20"/>
        </w:rPr>
      </w:pPr>
    </w:p>
    <w:p w14:paraId="6D9739FB" w14:textId="77777777" w:rsidR="00E62A88" w:rsidRPr="008A1738" w:rsidRDefault="00E62A88" w:rsidP="00CB41C4">
      <w:pPr>
        <w:tabs>
          <w:tab w:val="left" w:leader="underscore" w:pos="9639"/>
        </w:tabs>
        <w:spacing w:after="0" w:line="240" w:lineRule="auto"/>
        <w:jc w:val="both"/>
        <w:rPr>
          <w:rFonts w:ascii="Arial" w:hAnsi="Arial" w:cs="Arial"/>
          <w:sz w:val="20"/>
          <w:szCs w:val="20"/>
        </w:rPr>
      </w:pPr>
    </w:p>
    <w:p w14:paraId="5D9834CA"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b)</w:t>
      </w:r>
      <w:r w:rsidRPr="008A1738">
        <w:rPr>
          <w:rFonts w:ascii="Arial" w:hAnsi="Arial" w:cs="Arial"/>
          <w:sz w:val="20"/>
          <w:szCs w:val="20"/>
        </w:rPr>
        <w:t xml:space="preserve"> Proyección de la recaudación e ingresos en el mediano plazo:</w:t>
      </w:r>
    </w:p>
    <w:p w14:paraId="332E04B9" w14:textId="77777777" w:rsidR="007D1E76" w:rsidRPr="008A1738" w:rsidRDefault="00A25E9E"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0777F0CC"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1F5D6F71" w14:textId="77777777" w:rsidR="007D1E76" w:rsidRPr="008A1738" w:rsidRDefault="007D1E76" w:rsidP="000C3365">
      <w:pPr>
        <w:pStyle w:val="Ttulo2"/>
        <w:rPr>
          <w:rFonts w:ascii="Arial" w:hAnsi="Arial" w:cs="Arial"/>
          <w:b/>
          <w:color w:val="auto"/>
          <w:sz w:val="20"/>
          <w:szCs w:val="20"/>
        </w:rPr>
      </w:pPr>
      <w:bookmarkStart w:id="9" w:name="_Toc136350939"/>
      <w:r w:rsidRPr="008A1738">
        <w:rPr>
          <w:rFonts w:ascii="Arial" w:hAnsi="Arial" w:cs="Arial"/>
          <w:b/>
          <w:color w:val="auto"/>
          <w:sz w:val="20"/>
          <w:szCs w:val="20"/>
        </w:rPr>
        <w:t>1</w:t>
      </w:r>
      <w:r w:rsidR="00983283">
        <w:rPr>
          <w:rFonts w:ascii="Arial" w:hAnsi="Arial" w:cs="Arial"/>
          <w:b/>
          <w:color w:val="auto"/>
          <w:sz w:val="20"/>
          <w:szCs w:val="20"/>
        </w:rPr>
        <w:t>0</w:t>
      </w:r>
      <w:r w:rsidRPr="008A1738">
        <w:rPr>
          <w:rFonts w:ascii="Arial" w:hAnsi="Arial" w:cs="Arial"/>
          <w:b/>
          <w:color w:val="auto"/>
          <w:sz w:val="20"/>
          <w:szCs w:val="20"/>
        </w:rPr>
        <w:t>. Información sobre la Deuda y el R</w:t>
      </w:r>
      <w:r w:rsidR="005E231E" w:rsidRPr="008A1738">
        <w:rPr>
          <w:rFonts w:ascii="Arial" w:hAnsi="Arial" w:cs="Arial"/>
          <w:b/>
          <w:color w:val="auto"/>
          <w:sz w:val="20"/>
          <w:szCs w:val="20"/>
        </w:rPr>
        <w:t>eporte Analítico de la Deuda:</w:t>
      </w:r>
      <w:bookmarkEnd w:id="9"/>
    </w:p>
    <w:p w14:paraId="5E8917C4"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4C61B29D"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a)</w:t>
      </w:r>
      <w:r w:rsidRPr="008A1738">
        <w:rPr>
          <w:rFonts w:ascii="Arial" w:hAnsi="Arial" w:cs="Arial"/>
          <w:sz w:val="20"/>
          <w:szCs w:val="20"/>
        </w:rPr>
        <w:t xml:space="preserve"> Utilizar al menos los siguientes indicadores: deuda respecto al PIB y deuda respecto a la recaudación tomando, como mínimo, un período igual o menor a 5 años.</w:t>
      </w:r>
    </w:p>
    <w:p w14:paraId="5B0E06E7" w14:textId="77777777" w:rsidR="007D1E76" w:rsidRPr="008A1738" w:rsidRDefault="00C05222"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442BABE7" w14:textId="77777777" w:rsidR="00C05222" w:rsidRPr="008A1738" w:rsidRDefault="00C05222" w:rsidP="00CB41C4">
      <w:pPr>
        <w:tabs>
          <w:tab w:val="left" w:leader="underscore" w:pos="9639"/>
        </w:tabs>
        <w:spacing w:after="0" w:line="240" w:lineRule="auto"/>
        <w:jc w:val="both"/>
        <w:rPr>
          <w:rFonts w:ascii="Arial" w:hAnsi="Arial" w:cs="Arial"/>
          <w:sz w:val="20"/>
          <w:szCs w:val="20"/>
        </w:rPr>
      </w:pPr>
    </w:p>
    <w:p w14:paraId="5A6E8A8B"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b)</w:t>
      </w:r>
      <w:r w:rsidRPr="008A1738">
        <w:rPr>
          <w:rFonts w:ascii="Arial" w:hAnsi="Arial" w:cs="Arial"/>
          <w:sz w:val="20"/>
          <w:szCs w:val="20"/>
        </w:rPr>
        <w:t xml:space="preserve"> Información de manera agrupada por tipo de valor gubernamental o instrumento financiero en la que se considere</w:t>
      </w:r>
      <w:r w:rsidR="001973A2" w:rsidRPr="008A1738">
        <w:rPr>
          <w:rFonts w:ascii="Arial" w:hAnsi="Arial" w:cs="Arial"/>
          <w:sz w:val="20"/>
          <w:szCs w:val="20"/>
        </w:rPr>
        <w:t>n</w:t>
      </w:r>
      <w:r w:rsidRPr="008A1738">
        <w:rPr>
          <w:rFonts w:ascii="Arial" w:hAnsi="Arial" w:cs="Arial"/>
          <w:sz w:val="20"/>
          <w:szCs w:val="20"/>
        </w:rPr>
        <w:t xml:space="preserve"> intereses, comisiones, tasa, perfil de vencimiento y otros gastos de la deuda.</w:t>
      </w:r>
    </w:p>
    <w:p w14:paraId="5DC5D73A"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 xml:space="preserve">* Se </w:t>
      </w:r>
      <w:r w:rsidR="000C3365" w:rsidRPr="008A1738">
        <w:rPr>
          <w:rFonts w:ascii="Arial" w:hAnsi="Arial" w:cs="Arial"/>
          <w:sz w:val="20"/>
          <w:szCs w:val="20"/>
        </w:rPr>
        <w:t>anexará</w:t>
      </w:r>
      <w:r w:rsidRPr="008A1738">
        <w:rPr>
          <w:rFonts w:ascii="Arial" w:hAnsi="Arial" w:cs="Arial"/>
          <w:sz w:val="20"/>
          <w:szCs w:val="20"/>
        </w:rPr>
        <w:t xml:space="preserve"> la informació</w:t>
      </w:r>
      <w:r w:rsidR="005E231E" w:rsidRPr="008A1738">
        <w:rPr>
          <w:rFonts w:ascii="Arial" w:hAnsi="Arial" w:cs="Arial"/>
          <w:sz w:val="20"/>
          <w:szCs w:val="20"/>
        </w:rPr>
        <w:t>n en las notas de desglose.</w:t>
      </w:r>
    </w:p>
    <w:p w14:paraId="09DEB905" w14:textId="77777777" w:rsidR="007D1E76" w:rsidRPr="008A1738" w:rsidRDefault="00C05222"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406CAC57"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241C4FF0" w14:textId="77777777" w:rsidR="007D1E76" w:rsidRPr="008A1738" w:rsidRDefault="00983283" w:rsidP="000C3365">
      <w:pPr>
        <w:pStyle w:val="Ttulo2"/>
        <w:rPr>
          <w:rFonts w:ascii="Arial" w:hAnsi="Arial" w:cs="Arial"/>
          <w:b/>
          <w:color w:val="auto"/>
          <w:sz w:val="20"/>
          <w:szCs w:val="20"/>
        </w:rPr>
      </w:pPr>
      <w:bookmarkStart w:id="10" w:name="_Toc136350940"/>
      <w:r>
        <w:rPr>
          <w:rFonts w:ascii="Arial" w:hAnsi="Arial" w:cs="Arial"/>
          <w:b/>
          <w:color w:val="auto"/>
          <w:sz w:val="20"/>
          <w:szCs w:val="20"/>
        </w:rPr>
        <w:t>11</w:t>
      </w:r>
      <w:r w:rsidR="007D1E76" w:rsidRPr="008A1738">
        <w:rPr>
          <w:rFonts w:ascii="Arial" w:hAnsi="Arial" w:cs="Arial"/>
          <w:b/>
          <w:color w:val="auto"/>
          <w:sz w:val="20"/>
          <w:szCs w:val="20"/>
        </w:rPr>
        <w:t>.</w:t>
      </w:r>
      <w:r w:rsidR="005E231E" w:rsidRPr="008A1738">
        <w:rPr>
          <w:rFonts w:ascii="Arial" w:hAnsi="Arial" w:cs="Arial"/>
          <w:b/>
          <w:color w:val="auto"/>
          <w:sz w:val="20"/>
          <w:szCs w:val="20"/>
        </w:rPr>
        <w:t xml:space="preserve"> Calificaciones otorgadas:</w:t>
      </w:r>
      <w:bookmarkEnd w:id="10"/>
    </w:p>
    <w:p w14:paraId="6D3364DB"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67B10803"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lastRenderedPageBreak/>
        <w:t>Informar, tanto del ente público como cualquier transacción realizada, que haya sido sujeta a una calificación crediticia:</w:t>
      </w:r>
    </w:p>
    <w:p w14:paraId="0D8D4F02" w14:textId="77777777" w:rsidR="007D1E76" w:rsidRPr="008A1738" w:rsidRDefault="00A25E9E"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011CB322"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4510C3B1" w14:textId="77777777" w:rsidR="007D1E76" w:rsidRPr="008A1738" w:rsidRDefault="00983283" w:rsidP="000C3365">
      <w:pPr>
        <w:pStyle w:val="Ttulo2"/>
        <w:rPr>
          <w:rFonts w:ascii="Arial" w:hAnsi="Arial" w:cs="Arial"/>
          <w:b/>
          <w:color w:val="auto"/>
          <w:sz w:val="20"/>
          <w:szCs w:val="20"/>
        </w:rPr>
      </w:pPr>
      <w:bookmarkStart w:id="11" w:name="_Toc136350941"/>
      <w:r>
        <w:rPr>
          <w:rFonts w:ascii="Arial" w:hAnsi="Arial" w:cs="Arial"/>
          <w:b/>
          <w:color w:val="auto"/>
          <w:sz w:val="20"/>
          <w:szCs w:val="20"/>
        </w:rPr>
        <w:t>12</w:t>
      </w:r>
      <w:r w:rsidR="007D1E76" w:rsidRPr="008A1738">
        <w:rPr>
          <w:rFonts w:ascii="Arial" w:hAnsi="Arial" w:cs="Arial"/>
          <w:b/>
          <w:color w:val="auto"/>
          <w:sz w:val="20"/>
          <w:szCs w:val="20"/>
        </w:rPr>
        <w:t>. Proceso de Mejora:</w:t>
      </w:r>
      <w:bookmarkEnd w:id="11"/>
    </w:p>
    <w:p w14:paraId="2F303AD0"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684D16E0"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Se informará de:</w:t>
      </w:r>
    </w:p>
    <w:p w14:paraId="7AAD42CB" w14:textId="77777777" w:rsidR="003A0EDB" w:rsidRPr="008A1738" w:rsidRDefault="003A0EDB" w:rsidP="00CB41C4">
      <w:pPr>
        <w:tabs>
          <w:tab w:val="left" w:leader="underscore" w:pos="9639"/>
        </w:tabs>
        <w:spacing w:after="0" w:line="240" w:lineRule="auto"/>
        <w:jc w:val="both"/>
        <w:rPr>
          <w:rFonts w:ascii="Arial" w:hAnsi="Arial" w:cs="Arial"/>
          <w:sz w:val="20"/>
          <w:szCs w:val="20"/>
        </w:rPr>
      </w:pPr>
    </w:p>
    <w:p w14:paraId="64CFD621" w14:textId="218D08C6" w:rsidR="008D6298" w:rsidRPr="008A1738" w:rsidRDefault="007D1E76" w:rsidP="007D2F06">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a)</w:t>
      </w:r>
      <w:r w:rsidRPr="008A1738">
        <w:rPr>
          <w:rFonts w:ascii="Arial" w:hAnsi="Arial" w:cs="Arial"/>
          <w:sz w:val="20"/>
          <w:szCs w:val="20"/>
        </w:rPr>
        <w:t xml:space="preserve"> Principales Políticas de control interno:</w:t>
      </w:r>
    </w:p>
    <w:p w14:paraId="1456A16F" w14:textId="77777777" w:rsidR="007D1E76" w:rsidRPr="008A1738" w:rsidRDefault="00E907BD" w:rsidP="00E907BD">
      <w:pPr>
        <w:jc w:val="both"/>
        <w:rPr>
          <w:rFonts w:ascii="Arial" w:hAnsi="Arial" w:cs="Arial"/>
          <w:sz w:val="20"/>
          <w:szCs w:val="20"/>
        </w:rPr>
      </w:pPr>
      <w:r w:rsidRPr="008A1738">
        <w:rPr>
          <w:rFonts w:ascii="Arial" w:hAnsi="Arial" w:cs="Arial"/>
          <w:sz w:val="20"/>
          <w:szCs w:val="20"/>
        </w:rPr>
        <w:t>Normativas al interior del Fideicomiso que regulan el apego a los procesos. Implementación de Administración de riegos. Se adjunta.</w:t>
      </w:r>
    </w:p>
    <w:p w14:paraId="5A7BD2F3"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b)</w:t>
      </w:r>
      <w:r w:rsidRPr="008A1738">
        <w:rPr>
          <w:rFonts w:ascii="Arial" w:hAnsi="Arial" w:cs="Arial"/>
          <w:sz w:val="20"/>
          <w:szCs w:val="20"/>
        </w:rPr>
        <w:t xml:space="preserve"> Medidas de desempeño financiero, metas y alcance:</w:t>
      </w:r>
    </w:p>
    <w:p w14:paraId="5B5893E2" w14:textId="77777777" w:rsidR="008D6298" w:rsidRPr="008A1738" w:rsidRDefault="008D6298" w:rsidP="00E907BD">
      <w:pPr>
        <w:spacing w:after="0" w:line="240" w:lineRule="auto"/>
        <w:jc w:val="both"/>
        <w:rPr>
          <w:rFonts w:ascii="Arial" w:hAnsi="Arial" w:cs="Arial"/>
          <w:sz w:val="20"/>
          <w:szCs w:val="20"/>
        </w:rPr>
      </w:pPr>
    </w:p>
    <w:p w14:paraId="702E3C9C" w14:textId="77777777" w:rsidR="00E907BD" w:rsidRPr="008A1738" w:rsidRDefault="00E907BD" w:rsidP="00E907BD">
      <w:pPr>
        <w:spacing w:after="0" w:line="240" w:lineRule="auto"/>
        <w:jc w:val="both"/>
        <w:rPr>
          <w:rFonts w:ascii="Arial" w:hAnsi="Arial" w:cs="Arial"/>
          <w:sz w:val="20"/>
          <w:szCs w:val="20"/>
        </w:rPr>
      </w:pPr>
      <w:r w:rsidRPr="008A1738">
        <w:rPr>
          <w:rFonts w:ascii="Arial" w:hAnsi="Arial" w:cs="Arial"/>
          <w:sz w:val="20"/>
          <w:szCs w:val="20"/>
        </w:rPr>
        <w:t xml:space="preserve">Se cuenta con un esquema de medición basado en resultados, donde los Ejecutivos de Promoción y Gerentes de Sucursal tienen asignación de metas. Las metas </w:t>
      </w:r>
      <w:r w:rsidR="002565EE" w:rsidRPr="008A1738">
        <w:rPr>
          <w:rFonts w:ascii="Arial" w:hAnsi="Arial" w:cs="Arial"/>
          <w:sz w:val="20"/>
          <w:szCs w:val="20"/>
        </w:rPr>
        <w:t>son número</w:t>
      </w:r>
      <w:r w:rsidRPr="008A1738">
        <w:rPr>
          <w:rFonts w:ascii="Arial" w:hAnsi="Arial" w:cs="Arial"/>
          <w:sz w:val="20"/>
          <w:szCs w:val="20"/>
        </w:rPr>
        <w:t xml:space="preserve"> de créditos a colocar y cartera vencida por recuperar. En junta directiva se revisa semanalmente el resultado de productividad de créditos a colocar por </w:t>
      </w:r>
      <w:r w:rsidR="002565EE" w:rsidRPr="008A1738">
        <w:rPr>
          <w:rFonts w:ascii="Arial" w:hAnsi="Arial" w:cs="Arial"/>
          <w:sz w:val="20"/>
          <w:szCs w:val="20"/>
        </w:rPr>
        <w:t>Ejecutivo de</w:t>
      </w:r>
      <w:r w:rsidRPr="008A1738">
        <w:rPr>
          <w:rFonts w:ascii="Arial" w:hAnsi="Arial" w:cs="Arial"/>
          <w:sz w:val="20"/>
          <w:szCs w:val="20"/>
        </w:rPr>
        <w:t xml:space="preserve"> Promoción y Gerentes de Sucursal.</w:t>
      </w:r>
    </w:p>
    <w:p w14:paraId="38D82203" w14:textId="77777777" w:rsidR="00E907BD" w:rsidRPr="008A1738" w:rsidRDefault="00E907BD" w:rsidP="00E907BD">
      <w:pPr>
        <w:spacing w:after="0" w:line="240" w:lineRule="auto"/>
        <w:jc w:val="both"/>
        <w:rPr>
          <w:rFonts w:ascii="Arial" w:hAnsi="Arial" w:cs="Arial"/>
          <w:sz w:val="20"/>
          <w:szCs w:val="20"/>
        </w:rPr>
      </w:pPr>
      <w:r w:rsidRPr="008A1738">
        <w:rPr>
          <w:rFonts w:ascii="Arial" w:hAnsi="Arial" w:cs="Arial"/>
          <w:sz w:val="20"/>
          <w:szCs w:val="20"/>
        </w:rPr>
        <w:t xml:space="preserve">El resultado de cumplimiento a metas se presenta al Comité Técnico. </w:t>
      </w:r>
    </w:p>
    <w:p w14:paraId="569D91F3" w14:textId="77777777" w:rsidR="007D1E76" w:rsidRPr="008A1738" w:rsidRDefault="00E907BD" w:rsidP="006A5AC6">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Se adjunta presentación de cumplimiento a metas, resultado o ranking de Ejecutivos de Promoción y Gerentes de Sucursal.</w:t>
      </w:r>
    </w:p>
    <w:p w14:paraId="75F4EE57" w14:textId="77777777" w:rsidR="00B869D6" w:rsidRPr="008A1738" w:rsidRDefault="00B869D6" w:rsidP="006A5AC6">
      <w:pPr>
        <w:pStyle w:val="Ttulo2"/>
        <w:jc w:val="both"/>
        <w:rPr>
          <w:rFonts w:ascii="Arial" w:hAnsi="Arial" w:cs="Arial"/>
          <w:b/>
          <w:color w:val="auto"/>
          <w:sz w:val="20"/>
          <w:szCs w:val="20"/>
        </w:rPr>
      </w:pPr>
    </w:p>
    <w:p w14:paraId="5068825B" w14:textId="77777777" w:rsidR="007D1E76" w:rsidRPr="008A1738" w:rsidRDefault="007D1E76" w:rsidP="006A5AC6">
      <w:pPr>
        <w:pStyle w:val="Ttulo2"/>
        <w:jc w:val="both"/>
        <w:rPr>
          <w:rFonts w:ascii="Arial" w:hAnsi="Arial" w:cs="Arial"/>
          <w:b/>
          <w:color w:val="auto"/>
          <w:sz w:val="20"/>
          <w:szCs w:val="20"/>
        </w:rPr>
      </w:pPr>
      <w:bookmarkStart w:id="12" w:name="_Toc136350942"/>
      <w:r w:rsidRPr="008A1738">
        <w:rPr>
          <w:rFonts w:ascii="Arial" w:hAnsi="Arial" w:cs="Arial"/>
          <w:b/>
          <w:color w:val="auto"/>
          <w:sz w:val="20"/>
          <w:szCs w:val="20"/>
        </w:rPr>
        <w:t>1</w:t>
      </w:r>
      <w:r w:rsidR="00983283">
        <w:rPr>
          <w:rFonts w:ascii="Arial" w:hAnsi="Arial" w:cs="Arial"/>
          <w:b/>
          <w:color w:val="auto"/>
          <w:sz w:val="20"/>
          <w:szCs w:val="20"/>
        </w:rPr>
        <w:t>3</w:t>
      </w:r>
      <w:r w:rsidR="005E231E" w:rsidRPr="008A1738">
        <w:rPr>
          <w:rFonts w:ascii="Arial" w:hAnsi="Arial" w:cs="Arial"/>
          <w:b/>
          <w:color w:val="auto"/>
          <w:sz w:val="20"/>
          <w:szCs w:val="20"/>
        </w:rPr>
        <w:t>. Información por Segmentos:</w:t>
      </w:r>
      <w:bookmarkEnd w:id="12"/>
    </w:p>
    <w:p w14:paraId="545DB58C" w14:textId="77777777" w:rsidR="007D1E76" w:rsidRPr="008A1738" w:rsidRDefault="007D1E76" w:rsidP="006A5AC6">
      <w:pPr>
        <w:tabs>
          <w:tab w:val="left" w:leader="underscore" w:pos="9639"/>
        </w:tabs>
        <w:spacing w:after="0" w:line="240" w:lineRule="auto"/>
        <w:jc w:val="both"/>
        <w:rPr>
          <w:rFonts w:ascii="Arial" w:hAnsi="Arial" w:cs="Arial"/>
          <w:sz w:val="20"/>
          <w:szCs w:val="20"/>
        </w:rPr>
      </w:pPr>
    </w:p>
    <w:p w14:paraId="2A0AA98E"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617836D"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p>
    <w:p w14:paraId="7F19DA70"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Consecuentemente, esta información contribuye al análisis más preciso de la situación financiera, grados y fuentes de riesgo y crec</w:t>
      </w:r>
      <w:r w:rsidR="005E231E" w:rsidRPr="008A1738">
        <w:rPr>
          <w:rFonts w:ascii="Arial" w:hAnsi="Arial" w:cs="Arial"/>
          <w:sz w:val="20"/>
          <w:szCs w:val="20"/>
        </w:rPr>
        <w:t>imiento potencial de negocio.</w:t>
      </w:r>
    </w:p>
    <w:p w14:paraId="1DDE05FB" w14:textId="77777777" w:rsidR="00E907BD" w:rsidRDefault="00E907BD"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Aplica.</w:t>
      </w:r>
    </w:p>
    <w:p w14:paraId="69983B6F" w14:textId="77777777" w:rsidR="00AD46C7" w:rsidRPr="008A1738" w:rsidRDefault="00AD46C7" w:rsidP="006A5AC6">
      <w:pPr>
        <w:pStyle w:val="Ttulo2"/>
        <w:jc w:val="both"/>
        <w:rPr>
          <w:rFonts w:ascii="Arial" w:hAnsi="Arial" w:cs="Arial"/>
          <w:b/>
          <w:color w:val="auto"/>
          <w:sz w:val="20"/>
          <w:szCs w:val="20"/>
        </w:rPr>
      </w:pPr>
    </w:p>
    <w:p w14:paraId="5D7349D1" w14:textId="77777777" w:rsidR="007D2F06" w:rsidRDefault="007D2F06" w:rsidP="006A5AC6">
      <w:pPr>
        <w:pStyle w:val="Ttulo2"/>
        <w:jc w:val="both"/>
        <w:rPr>
          <w:rFonts w:ascii="Arial" w:hAnsi="Arial" w:cs="Arial"/>
          <w:b/>
          <w:color w:val="auto"/>
          <w:sz w:val="20"/>
          <w:szCs w:val="20"/>
        </w:rPr>
      </w:pPr>
      <w:bookmarkStart w:id="13" w:name="_Toc136350943"/>
    </w:p>
    <w:p w14:paraId="102CF595" w14:textId="51419EBB" w:rsidR="007D1E76" w:rsidRPr="008A1738" w:rsidRDefault="00983283" w:rsidP="006A5AC6">
      <w:pPr>
        <w:pStyle w:val="Ttulo2"/>
        <w:jc w:val="both"/>
        <w:rPr>
          <w:rFonts w:ascii="Arial" w:hAnsi="Arial" w:cs="Arial"/>
          <w:b/>
          <w:color w:val="auto"/>
          <w:sz w:val="20"/>
          <w:szCs w:val="20"/>
        </w:rPr>
      </w:pPr>
      <w:r>
        <w:rPr>
          <w:rFonts w:ascii="Arial" w:hAnsi="Arial" w:cs="Arial"/>
          <w:b/>
          <w:color w:val="auto"/>
          <w:sz w:val="20"/>
          <w:szCs w:val="20"/>
        </w:rPr>
        <w:t>14</w:t>
      </w:r>
      <w:r w:rsidR="007D1E76" w:rsidRPr="008A1738">
        <w:rPr>
          <w:rFonts w:ascii="Arial" w:hAnsi="Arial" w:cs="Arial"/>
          <w:b/>
          <w:color w:val="auto"/>
          <w:sz w:val="20"/>
          <w:szCs w:val="20"/>
        </w:rPr>
        <w:t>. E</w:t>
      </w:r>
      <w:r w:rsidR="005E231E" w:rsidRPr="008A1738">
        <w:rPr>
          <w:rFonts w:ascii="Arial" w:hAnsi="Arial" w:cs="Arial"/>
          <w:b/>
          <w:color w:val="auto"/>
          <w:sz w:val="20"/>
          <w:szCs w:val="20"/>
        </w:rPr>
        <w:t>ventos Posteriores al Cierre:</w:t>
      </w:r>
      <w:bookmarkEnd w:id="13"/>
    </w:p>
    <w:p w14:paraId="27D609F5" w14:textId="77777777" w:rsidR="007D1E76" w:rsidRPr="008A1738" w:rsidRDefault="007D1E76" w:rsidP="006A5AC6">
      <w:pPr>
        <w:tabs>
          <w:tab w:val="left" w:leader="underscore" w:pos="9639"/>
        </w:tabs>
        <w:spacing w:after="0" w:line="240" w:lineRule="auto"/>
        <w:jc w:val="both"/>
        <w:rPr>
          <w:rFonts w:ascii="Arial" w:hAnsi="Arial" w:cs="Arial"/>
          <w:sz w:val="20"/>
          <w:szCs w:val="20"/>
        </w:rPr>
      </w:pPr>
    </w:p>
    <w:p w14:paraId="5948B1A7" w14:textId="77777777" w:rsidR="007D1E76" w:rsidRPr="008A1738" w:rsidRDefault="007D1E76" w:rsidP="007D2F06">
      <w:pPr>
        <w:tabs>
          <w:tab w:val="left" w:leader="underscore" w:pos="9639"/>
        </w:tabs>
        <w:spacing w:after="0" w:line="240" w:lineRule="auto"/>
        <w:rPr>
          <w:rFonts w:ascii="Arial" w:hAnsi="Arial" w:cs="Arial"/>
          <w:sz w:val="20"/>
          <w:szCs w:val="20"/>
        </w:rPr>
      </w:pPr>
      <w:r w:rsidRPr="008A1738">
        <w:rPr>
          <w:rFonts w:ascii="Arial" w:hAnsi="Arial" w:cs="Arial"/>
          <w:sz w:val="20"/>
          <w:szCs w:val="20"/>
        </w:rPr>
        <w:t xml:space="preserve">El ente público informará el efecto en sus estados financieros de aquellos hechos ocurridos en el período posterior al que informa, que proporcionan mayor evidencia sobre eventos que le </w:t>
      </w:r>
      <w:r w:rsidR="002565EE" w:rsidRPr="008A1738">
        <w:rPr>
          <w:rFonts w:ascii="Arial" w:hAnsi="Arial" w:cs="Arial"/>
          <w:sz w:val="20"/>
          <w:szCs w:val="20"/>
        </w:rPr>
        <w:t>afectan económicamente</w:t>
      </w:r>
      <w:r w:rsidRPr="008A1738">
        <w:rPr>
          <w:rFonts w:ascii="Arial" w:hAnsi="Arial" w:cs="Arial"/>
          <w:sz w:val="20"/>
          <w:szCs w:val="20"/>
        </w:rPr>
        <w:t xml:space="preserve"> y que no se cono</w:t>
      </w:r>
      <w:r w:rsidR="005E231E" w:rsidRPr="008A1738">
        <w:rPr>
          <w:rFonts w:ascii="Arial" w:hAnsi="Arial" w:cs="Arial"/>
          <w:sz w:val="20"/>
          <w:szCs w:val="20"/>
        </w:rPr>
        <w:t>cían a la fecha de cierre.</w:t>
      </w:r>
      <w:r w:rsidR="005E231E" w:rsidRPr="008A1738">
        <w:rPr>
          <w:rFonts w:ascii="Arial" w:hAnsi="Arial" w:cs="Arial"/>
          <w:sz w:val="20"/>
          <w:szCs w:val="20"/>
        </w:rPr>
        <w:cr/>
      </w:r>
      <w:r w:rsidR="00C05222" w:rsidRPr="008A1738">
        <w:rPr>
          <w:rFonts w:ascii="Arial" w:hAnsi="Arial" w:cs="Arial"/>
          <w:sz w:val="20"/>
          <w:szCs w:val="20"/>
        </w:rPr>
        <w:t>No Aplica.</w:t>
      </w:r>
    </w:p>
    <w:p w14:paraId="54D42F9B" w14:textId="77777777" w:rsidR="007D1E76" w:rsidRPr="008A1738" w:rsidRDefault="007D1E76" w:rsidP="00F71420">
      <w:pPr>
        <w:tabs>
          <w:tab w:val="left" w:leader="underscore" w:pos="9639"/>
        </w:tabs>
        <w:spacing w:after="0" w:line="240" w:lineRule="auto"/>
        <w:jc w:val="both"/>
        <w:rPr>
          <w:rFonts w:ascii="Arial" w:hAnsi="Arial" w:cs="Arial"/>
          <w:sz w:val="20"/>
          <w:szCs w:val="20"/>
        </w:rPr>
      </w:pPr>
    </w:p>
    <w:p w14:paraId="7F6DD96D" w14:textId="77777777" w:rsidR="007D2F06" w:rsidRDefault="007D2F06" w:rsidP="00F71420">
      <w:pPr>
        <w:pStyle w:val="Ttulo2"/>
        <w:jc w:val="both"/>
        <w:rPr>
          <w:rFonts w:ascii="Arial" w:hAnsi="Arial" w:cs="Arial"/>
          <w:b/>
          <w:color w:val="auto"/>
          <w:sz w:val="20"/>
          <w:szCs w:val="20"/>
        </w:rPr>
      </w:pPr>
      <w:bookmarkStart w:id="14" w:name="_Toc136350944"/>
    </w:p>
    <w:p w14:paraId="6B332246" w14:textId="2AE3C79F" w:rsidR="007D1E76" w:rsidRPr="008A1738" w:rsidRDefault="00983283" w:rsidP="00F71420">
      <w:pPr>
        <w:pStyle w:val="Ttulo2"/>
        <w:jc w:val="both"/>
        <w:rPr>
          <w:rFonts w:ascii="Arial" w:hAnsi="Arial" w:cs="Arial"/>
          <w:b/>
          <w:color w:val="auto"/>
          <w:sz w:val="20"/>
          <w:szCs w:val="20"/>
        </w:rPr>
      </w:pPr>
      <w:r>
        <w:rPr>
          <w:rFonts w:ascii="Arial" w:hAnsi="Arial" w:cs="Arial"/>
          <w:b/>
          <w:color w:val="auto"/>
          <w:sz w:val="20"/>
          <w:szCs w:val="20"/>
        </w:rPr>
        <w:t>15</w:t>
      </w:r>
      <w:r w:rsidR="005E231E" w:rsidRPr="008A1738">
        <w:rPr>
          <w:rFonts w:ascii="Arial" w:hAnsi="Arial" w:cs="Arial"/>
          <w:b/>
          <w:color w:val="auto"/>
          <w:sz w:val="20"/>
          <w:szCs w:val="20"/>
        </w:rPr>
        <w:t>. Partes Relacionadas:</w:t>
      </w:r>
      <w:bookmarkEnd w:id="14"/>
    </w:p>
    <w:p w14:paraId="23B6D6E3" w14:textId="77777777" w:rsidR="007D1E76" w:rsidRPr="008A1738" w:rsidRDefault="007D1E76" w:rsidP="00F71420">
      <w:pPr>
        <w:tabs>
          <w:tab w:val="left" w:leader="underscore" w:pos="9639"/>
        </w:tabs>
        <w:spacing w:after="0" w:line="240" w:lineRule="auto"/>
        <w:jc w:val="both"/>
        <w:rPr>
          <w:rFonts w:ascii="Arial" w:hAnsi="Arial" w:cs="Arial"/>
          <w:sz w:val="20"/>
          <w:szCs w:val="20"/>
        </w:rPr>
      </w:pPr>
    </w:p>
    <w:p w14:paraId="385E74E4" w14:textId="77777777" w:rsidR="007D1E76" w:rsidRPr="008A1738" w:rsidRDefault="007D1E76"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Se debe establecer por escrito que no existen partes relacionadas que pudieran ejercer influencia significativa sobre la toma de decisiones financieras y operativas:</w:t>
      </w:r>
    </w:p>
    <w:p w14:paraId="1AB73209" w14:textId="77777777" w:rsidR="007D1E76" w:rsidRPr="008A1738" w:rsidRDefault="00E907BD"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No Existen Partes Relacionadas.</w:t>
      </w:r>
    </w:p>
    <w:p w14:paraId="010749A2" w14:textId="77777777" w:rsidR="007D1E76" w:rsidRPr="008A1738" w:rsidRDefault="007D1E76" w:rsidP="00F71420">
      <w:pPr>
        <w:tabs>
          <w:tab w:val="left" w:leader="underscore" w:pos="9639"/>
        </w:tabs>
        <w:spacing w:after="0" w:line="240" w:lineRule="auto"/>
        <w:jc w:val="both"/>
        <w:rPr>
          <w:rFonts w:ascii="Arial" w:hAnsi="Arial" w:cs="Arial"/>
          <w:sz w:val="20"/>
          <w:szCs w:val="20"/>
        </w:rPr>
      </w:pPr>
    </w:p>
    <w:p w14:paraId="5E305D6C" w14:textId="77777777" w:rsidR="007D2F06" w:rsidRDefault="007D2F06" w:rsidP="00F71420">
      <w:pPr>
        <w:pStyle w:val="Ttulo2"/>
        <w:jc w:val="both"/>
        <w:rPr>
          <w:rFonts w:ascii="Arial" w:hAnsi="Arial" w:cs="Arial"/>
          <w:b/>
          <w:color w:val="auto"/>
          <w:sz w:val="20"/>
          <w:szCs w:val="20"/>
        </w:rPr>
      </w:pPr>
      <w:bookmarkStart w:id="15" w:name="_Toc508279637"/>
      <w:bookmarkStart w:id="16" w:name="_Toc136350945"/>
    </w:p>
    <w:p w14:paraId="0FA06E79" w14:textId="343B336B" w:rsidR="007D1E76" w:rsidRPr="008A1738" w:rsidRDefault="00983283" w:rsidP="00F71420">
      <w:pPr>
        <w:pStyle w:val="Ttulo2"/>
        <w:jc w:val="both"/>
        <w:rPr>
          <w:rFonts w:ascii="Arial" w:hAnsi="Arial" w:cs="Arial"/>
          <w:b/>
          <w:color w:val="auto"/>
          <w:sz w:val="20"/>
          <w:szCs w:val="20"/>
        </w:rPr>
      </w:pPr>
      <w:r>
        <w:rPr>
          <w:rFonts w:ascii="Arial" w:hAnsi="Arial" w:cs="Arial"/>
          <w:b/>
          <w:color w:val="auto"/>
          <w:sz w:val="20"/>
          <w:szCs w:val="20"/>
        </w:rPr>
        <w:t>16</w:t>
      </w:r>
      <w:r w:rsidR="007D1E76" w:rsidRPr="008A1738">
        <w:rPr>
          <w:rFonts w:ascii="Arial" w:hAnsi="Arial" w:cs="Arial"/>
          <w:b/>
          <w:color w:val="auto"/>
          <w:sz w:val="20"/>
          <w:szCs w:val="20"/>
        </w:rPr>
        <w:t xml:space="preserve">. </w:t>
      </w:r>
      <w:r w:rsidR="001973A2" w:rsidRPr="008A1738">
        <w:rPr>
          <w:rFonts w:ascii="Arial" w:hAnsi="Arial" w:cs="Arial"/>
          <w:b/>
          <w:color w:val="auto"/>
          <w:sz w:val="20"/>
          <w:szCs w:val="20"/>
        </w:rPr>
        <w:t>Responsabilidad Sobre la Presentación Razonable de la Información Contable</w:t>
      </w:r>
      <w:r w:rsidR="005E231E" w:rsidRPr="008A1738">
        <w:rPr>
          <w:rFonts w:ascii="Arial" w:hAnsi="Arial" w:cs="Arial"/>
          <w:b/>
          <w:color w:val="auto"/>
          <w:sz w:val="20"/>
          <w:szCs w:val="20"/>
        </w:rPr>
        <w:t>:</w:t>
      </w:r>
      <w:bookmarkEnd w:id="15"/>
      <w:bookmarkEnd w:id="16"/>
    </w:p>
    <w:p w14:paraId="18BAC84A" w14:textId="77777777" w:rsidR="007D1E76" w:rsidRPr="008A1738" w:rsidRDefault="007D1E76" w:rsidP="00F71420">
      <w:pPr>
        <w:tabs>
          <w:tab w:val="left" w:leader="underscore" w:pos="9639"/>
        </w:tabs>
        <w:spacing w:after="0" w:line="240" w:lineRule="auto"/>
        <w:jc w:val="both"/>
        <w:rPr>
          <w:rFonts w:ascii="Arial" w:hAnsi="Arial" w:cs="Arial"/>
          <w:sz w:val="20"/>
          <w:szCs w:val="20"/>
        </w:rPr>
      </w:pPr>
    </w:p>
    <w:p w14:paraId="50A283EE" w14:textId="77777777" w:rsidR="007D1E76" w:rsidRPr="008A1738" w:rsidRDefault="001973A2" w:rsidP="00CB41C4">
      <w:pPr>
        <w:tabs>
          <w:tab w:val="left" w:leader="underscore" w:pos="9639"/>
        </w:tabs>
        <w:spacing w:after="0" w:line="240" w:lineRule="auto"/>
        <w:jc w:val="both"/>
        <w:rPr>
          <w:rFonts w:ascii="Arial" w:hAnsi="Arial" w:cs="Arial"/>
          <w:sz w:val="20"/>
          <w:szCs w:val="20"/>
        </w:rPr>
      </w:pPr>
      <w:r w:rsidRPr="008A1738">
        <w:rPr>
          <w:rFonts w:ascii="Arial" w:hAnsi="Arial" w:cs="Arial"/>
          <w:sz w:val="20"/>
          <w:szCs w:val="20"/>
        </w:rPr>
        <w:t xml:space="preserve">La Información Contable </w:t>
      </w:r>
      <w:r w:rsidR="00040D4F" w:rsidRPr="008A1738">
        <w:rPr>
          <w:rFonts w:ascii="Arial" w:hAnsi="Arial" w:cs="Arial"/>
          <w:sz w:val="20"/>
          <w:szCs w:val="20"/>
        </w:rPr>
        <w:t xml:space="preserve">está </w:t>
      </w:r>
      <w:r w:rsidRPr="008A1738">
        <w:rPr>
          <w:rFonts w:ascii="Arial" w:hAnsi="Arial" w:cs="Arial"/>
          <w:sz w:val="20"/>
          <w:szCs w:val="20"/>
        </w:rPr>
        <w:t xml:space="preserve">firmada en cada página de </w:t>
      </w:r>
      <w:proofErr w:type="gramStart"/>
      <w:r w:rsidRPr="008A1738">
        <w:rPr>
          <w:rFonts w:ascii="Arial" w:hAnsi="Arial" w:cs="Arial"/>
          <w:sz w:val="20"/>
          <w:szCs w:val="20"/>
        </w:rPr>
        <w:t>la misma</w:t>
      </w:r>
      <w:proofErr w:type="gramEnd"/>
      <w:r w:rsidR="00040D4F" w:rsidRPr="008A1738">
        <w:rPr>
          <w:rFonts w:ascii="Arial" w:hAnsi="Arial" w:cs="Arial"/>
          <w:sz w:val="20"/>
          <w:szCs w:val="20"/>
        </w:rPr>
        <w:t xml:space="preserve"> y se </w:t>
      </w:r>
      <w:r w:rsidRPr="008A1738">
        <w:rPr>
          <w:rFonts w:ascii="Arial" w:hAnsi="Arial" w:cs="Arial"/>
          <w:sz w:val="20"/>
          <w:szCs w:val="20"/>
        </w:rPr>
        <w:t>inclu</w:t>
      </w:r>
      <w:r w:rsidR="00040D4F" w:rsidRPr="008A1738">
        <w:rPr>
          <w:rFonts w:ascii="Arial" w:hAnsi="Arial" w:cs="Arial"/>
          <w:sz w:val="20"/>
          <w:szCs w:val="20"/>
        </w:rPr>
        <w:t>ye</w:t>
      </w:r>
      <w:r w:rsidRPr="008A1738">
        <w:rPr>
          <w:rFonts w:ascii="Arial" w:hAnsi="Arial" w:cs="Arial"/>
          <w:sz w:val="20"/>
          <w:szCs w:val="20"/>
        </w:rPr>
        <w:t xml:space="preserve"> al final la siguiente leyenda: “Bajo protesta de decir verdad declaramos que los Estados Financieros y sus notas, son razonablemente correctos y son responsabilidad del emisor”. Lo anterior, no </w:t>
      </w:r>
      <w:r w:rsidR="00040D4F" w:rsidRPr="008A1738">
        <w:rPr>
          <w:rFonts w:ascii="Arial" w:hAnsi="Arial" w:cs="Arial"/>
          <w:sz w:val="20"/>
          <w:szCs w:val="20"/>
        </w:rPr>
        <w:t>es</w:t>
      </w:r>
      <w:r w:rsidRPr="008A1738">
        <w:rPr>
          <w:rFonts w:ascii="Arial" w:hAnsi="Arial" w:cs="Arial"/>
          <w:sz w:val="20"/>
          <w:szCs w:val="20"/>
        </w:rPr>
        <w:t xml:space="preserve"> aplicable para la información contable consolidada.</w:t>
      </w:r>
    </w:p>
    <w:p w14:paraId="05AC16C5" w14:textId="77777777" w:rsidR="004C5235" w:rsidRPr="008A1738" w:rsidRDefault="004C5235" w:rsidP="00CB41C4">
      <w:pPr>
        <w:pBdr>
          <w:bottom w:val="single" w:sz="12" w:space="1" w:color="auto"/>
        </w:pBdr>
        <w:tabs>
          <w:tab w:val="left" w:leader="underscore" w:pos="9639"/>
        </w:tabs>
        <w:spacing w:after="0" w:line="240" w:lineRule="auto"/>
        <w:jc w:val="both"/>
        <w:rPr>
          <w:rFonts w:ascii="Arial" w:hAnsi="Arial" w:cs="Arial"/>
          <w:sz w:val="20"/>
          <w:szCs w:val="20"/>
        </w:rPr>
      </w:pPr>
    </w:p>
    <w:p w14:paraId="289CFAE0" w14:textId="77777777" w:rsidR="004C5235" w:rsidRPr="008A1738" w:rsidRDefault="004C5235" w:rsidP="00CB41C4">
      <w:pPr>
        <w:pBdr>
          <w:bottom w:val="single" w:sz="12" w:space="1" w:color="auto"/>
        </w:pBdr>
        <w:tabs>
          <w:tab w:val="left" w:leader="underscore" w:pos="9639"/>
        </w:tabs>
        <w:spacing w:after="0" w:line="240" w:lineRule="auto"/>
        <w:jc w:val="both"/>
        <w:rPr>
          <w:rFonts w:ascii="Arial" w:hAnsi="Arial" w:cs="Arial"/>
          <w:sz w:val="20"/>
          <w:szCs w:val="20"/>
        </w:rPr>
      </w:pPr>
    </w:p>
    <w:p w14:paraId="29512FF4" w14:textId="77777777" w:rsidR="00AE1F6A" w:rsidRPr="008A1738" w:rsidRDefault="00AE1F6A" w:rsidP="00CB41C4">
      <w:pPr>
        <w:tabs>
          <w:tab w:val="left" w:leader="underscore" w:pos="9639"/>
        </w:tabs>
        <w:spacing w:after="0" w:line="240" w:lineRule="auto"/>
        <w:jc w:val="both"/>
        <w:rPr>
          <w:rFonts w:ascii="Arial" w:hAnsi="Arial" w:cs="Arial"/>
          <w:sz w:val="20"/>
          <w:szCs w:val="20"/>
        </w:rPr>
      </w:pPr>
      <w:r w:rsidRPr="008A1738">
        <w:rPr>
          <w:rFonts w:ascii="Arial" w:hAnsi="Arial" w:cs="Arial"/>
          <w:b/>
          <w:sz w:val="20"/>
          <w:szCs w:val="20"/>
        </w:rPr>
        <w:t xml:space="preserve">Nota </w:t>
      </w:r>
      <w:r w:rsidR="00CF1316" w:rsidRPr="008A1738">
        <w:rPr>
          <w:rFonts w:ascii="Arial" w:hAnsi="Arial" w:cs="Arial"/>
          <w:b/>
          <w:sz w:val="20"/>
          <w:szCs w:val="20"/>
        </w:rPr>
        <w:t>1</w:t>
      </w:r>
      <w:r w:rsidRPr="008A1738">
        <w:rPr>
          <w:rFonts w:ascii="Arial" w:hAnsi="Arial" w:cs="Arial"/>
          <w:sz w:val="20"/>
          <w:szCs w:val="20"/>
        </w:rPr>
        <w:t>: En cada una de las 16 notas de gestión administrativa el ente público deberá poner la nota correspondiente o en su caso la leyenda “Esta nota no le aplica al ente público” y una breve explicación del motivo por el cual no le es aplicable.</w:t>
      </w:r>
    </w:p>
    <w:p w14:paraId="3C6E8EF2" w14:textId="77777777" w:rsidR="00904E29" w:rsidRPr="008A1738" w:rsidRDefault="00904E29" w:rsidP="00CB41C4">
      <w:pPr>
        <w:pBdr>
          <w:bottom w:val="single" w:sz="12" w:space="1" w:color="auto"/>
        </w:pBdr>
        <w:tabs>
          <w:tab w:val="left" w:leader="underscore" w:pos="9639"/>
        </w:tabs>
        <w:spacing w:after="0" w:line="240" w:lineRule="auto"/>
        <w:jc w:val="both"/>
        <w:rPr>
          <w:rFonts w:ascii="Arial" w:hAnsi="Arial" w:cs="Arial"/>
          <w:sz w:val="20"/>
          <w:szCs w:val="20"/>
        </w:rPr>
      </w:pPr>
    </w:p>
    <w:p w14:paraId="4B0C781C" w14:textId="77777777" w:rsidR="00904E29" w:rsidRDefault="00904E29" w:rsidP="007D2F06">
      <w:pPr>
        <w:jc w:val="both"/>
        <w:rPr>
          <w:rFonts w:ascii="Arial" w:hAnsi="Arial" w:cs="Arial"/>
          <w:sz w:val="20"/>
          <w:szCs w:val="20"/>
        </w:rPr>
      </w:pPr>
    </w:p>
    <w:p w14:paraId="240F3A3E" w14:textId="77777777" w:rsidR="00904E29" w:rsidRDefault="00881DA6" w:rsidP="007D2F06">
      <w:pPr>
        <w:jc w:val="both"/>
        <w:rPr>
          <w:rFonts w:ascii="Arial" w:hAnsi="Arial" w:cs="Arial"/>
          <w:sz w:val="20"/>
          <w:szCs w:val="20"/>
        </w:rPr>
      </w:pPr>
      <w:r w:rsidRPr="008A1738">
        <w:rPr>
          <w:rFonts w:ascii="Arial" w:hAnsi="Arial" w:cs="Arial"/>
          <w:sz w:val="20"/>
          <w:szCs w:val="20"/>
        </w:rPr>
        <w:t>“Bajo protesta de decir verdad declaramos que los Estados Financieros y sus notas, son razonablemente correctos y son responsabilidad del emisor”</w:t>
      </w:r>
    </w:p>
    <w:p w14:paraId="0D2DB784" w14:textId="77777777" w:rsidR="00904E29" w:rsidRDefault="00904E29" w:rsidP="007D2F06">
      <w:pPr>
        <w:jc w:val="both"/>
        <w:rPr>
          <w:rFonts w:ascii="Arial" w:hAnsi="Arial" w:cs="Arial"/>
          <w:sz w:val="20"/>
          <w:szCs w:val="20"/>
        </w:rPr>
      </w:pPr>
    </w:p>
    <w:p w14:paraId="69FDADB3" w14:textId="77777777" w:rsidR="00904E29" w:rsidRDefault="00904E29" w:rsidP="007D2F06">
      <w:pPr>
        <w:jc w:val="both"/>
        <w:rPr>
          <w:rFonts w:ascii="Arial" w:hAnsi="Arial" w:cs="Arial"/>
          <w:sz w:val="20"/>
          <w:szCs w:val="20"/>
        </w:rPr>
      </w:pPr>
    </w:p>
    <w:p w14:paraId="7415F880" w14:textId="77777777" w:rsidR="00904E29" w:rsidRDefault="00904E29" w:rsidP="007D2F06">
      <w:pPr>
        <w:jc w:val="both"/>
        <w:rPr>
          <w:rFonts w:ascii="Arial" w:hAnsi="Arial" w:cs="Arial"/>
          <w:sz w:val="20"/>
          <w:szCs w:val="20"/>
        </w:rPr>
      </w:pPr>
    </w:p>
    <w:p w14:paraId="4A33C27B" w14:textId="43FDA0FE" w:rsidR="009C3AB2" w:rsidRPr="008A1738" w:rsidRDefault="00983283" w:rsidP="007D2F06">
      <w:pPr>
        <w:jc w:val="both"/>
        <w:rPr>
          <w:rFonts w:ascii="Arial" w:hAnsi="Arial" w:cs="Arial"/>
          <w:sz w:val="20"/>
          <w:szCs w:val="20"/>
        </w:rPr>
      </w:pPr>
      <w:r>
        <w:rPr>
          <w:rFonts w:ascii="Arial" w:hAnsi="Arial" w:cs="Arial"/>
          <w:noProof/>
          <w:sz w:val="20"/>
          <w:szCs w:val="20"/>
          <w:lang w:eastAsia="es-MX"/>
        </w:rPr>
        <mc:AlternateContent>
          <mc:Choice Requires="wps">
            <w:drawing>
              <wp:anchor distT="4294967295" distB="4294967295" distL="114300" distR="114300" simplePos="0" relativeHeight="251661312" behindDoc="0" locked="0" layoutInCell="1" allowOverlap="1" wp14:anchorId="7B38114E" wp14:editId="30FCD825">
                <wp:simplePos x="0" y="0"/>
                <wp:positionH relativeFrom="column">
                  <wp:posOffset>3314700</wp:posOffset>
                </wp:positionH>
                <wp:positionV relativeFrom="paragraph">
                  <wp:posOffset>311149</wp:posOffset>
                </wp:positionV>
                <wp:extent cx="2464435" cy="0"/>
                <wp:effectExtent l="0" t="0" r="12065" b="0"/>
                <wp:wrapNone/>
                <wp:docPr id="1"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44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7220ED" id="4 Conector recto"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1pt,24.5pt" to="455.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" strokecolor="black [3200]" strokeweight=".5pt">
                <v:stroke joinstyle="miter"/>
                <o:lock v:ext="edit" shapetype="f"/>
              </v:line>
            </w:pict>
          </mc:Fallback>
        </mc:AlternateContent>
      </w:r>
      <w:r>
        <w:rPr>
          <w:rFonts w:ascii="Arial" w:hAnsi="Arial" w:cs="Arial"/>
          <w:noProof/>
          <w:sz w:val="20"/>
          <w:szCs w:val="20"/>
          <w:lang w:eastAsia="es-MX"/>
        </w:rPr>
        <mc:AlternateContent>
          <mc:Choice Requires="wps">
            <w:drawing>
              <wp:anchor distT="4294967295" distB="4294967295" distL="114300" distR="114300" simplePos="0" relativeHeight="251659264" behindDoc="0" locked="0" layoutInCell="1" allowOverlap="1" wp14:anchorId="6EFCD230" wp14:editId="741877F7">
                <wp:simplePos x="0" y="0"/>
                <wp:positionH relativeFrom="column">
                  <wp:posOffset>609600</wp:posOffset>
                </wp:positionH>
                <wp:positionV relativeFrom="paragraph">
                  <wp:posOffset>311149</wp:posOffset>
                </wp:positionV>
                <wp:extent cx="2464435" cy="0"/>
                <wp:effectExtent l="0" t="0" r="12065" b="0"/>
                <wp:wrapNone/>
                <wp:docPr id="3"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44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80E882" id="4 Conector recto"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24.5pt" to="242.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" strokecolor="black [3200]" strokeweight=".5pt">
                <v:stroke joinstyle="miter"/>
                <o:lock v:ext="edit" shapetype="f"/>
              </v:line>
            </w:pict>
          </mc:Fallback>
        </mc:AlternateContent>
      </w:r>
    </w:p>
    <w:p w14:paraId="3EB8D747" w14:textId="41228B3F" w:rsidR="007610BC" w:rsidRPr="008A1738" w:rsidRDefault="00F64E92" w:rsidP="000967D5">
      <w:pPr>
        <w:tabs>
          <w:tab w:val="left" w:pos="5310"/>
        </w:tabs>
        <w:spacing w:line="240" w:lineRule="auto"/>
        <w:jc w:val="center"/>
        <w:rPr>
          <w:rFonts w:ascii="Arial" w:hAnsi="Arial" w:cs="Arial"/>
          <w:sz w:val="20"/>
          <w:szCs w:val="20"/>
        </w:rPr>
      </w:pPr>
      <w:r>
        <w:rPr>
          <w:rFonts w:ascii="Arial" w:hAnsi="Arial" w:cs="Arial"/>
          <w:sz w:val="20"/>
          <w:szCs w:val="20"/>
        </w:rPr>
        <w:t xml:space="preserve">    </w:t>
      </w:r>
      <w:r w:rsidR="001E5D83">
        <w:rPr>
          <w:rFonts w:ascii="Arial" w:hAnsi="Arial" w:cs="Arial"/>
          <w:sz w:val="20"/>
          <w:szCs w:val="20"/>
        </w:rPr>
        <w:t xml:space="preserve">    Ricardo Martínez Huaracha</w:t>
      </w:r>
      <w:r w:rsidR="00AA4DD8" w:rsidRPr="008A1738">
        <w:rPr>
          <w:rFonts w:ascii="Arial" w:hAnsi="Arial" w:cs="Arial"/>
          <w:sz w:val="20"/>
          <w:szCs w:val="20"/>
        </w:rPr>
        <w:t xml:space="preserve">          </w:t>
      </w:r>
      <w:r>
        <w:rPr>
          <w:rFonts w:ascii="Arial" w:hAnsi="Arial" w:cs="Arial"/>
          <w:sz w:val="20"/>
          <w:szCs w:val="20"/>
        </w:rPr>
        <w:t xml:space="preserve">                    Fátima Karina</w:t>
      </w:r>
      <w:r w:rsidR="00AA4DD8" w:rsidRPr="008A1738">
        <w:rPr>
          <w:rFonts w:ascii="Arial" w:hAnsi="Arial" w:cs="Arial"/>
          <w:sz w:val="20"/>
          <w:szCs w:val="20"/>
        </w:rPr>
        <w:t xml:space="preserve"> </w:t>
      </w:r>
      <w:r>
        <w:rPr>
          <w:rFonts w:ascii="Arial" w:hAnsi="Arial" w:cs="Arial"/>
          <w:sz w:val="20"/>
          <w:szCs w:val="20"/>
        </w:rPr>
        <w:t>López</w:t>
      </w:r>
      <w:r w:rsidR="00AA4DD8" w:rsidRPr="008A1738">
        <w:rPr>
          <w:rFonts w:ascii="Arial" w:hAnsi="Arial" w:cs="Arial"/>
          <w:sz w:val="20"/>
          <w:szCs w:val="20"/>
        </w:rPr>
        <w:t xml:space="preserve"> </w:t>
      </w:r>
      <w:r>
        <w:rPr>
          <w:rFonts w:ascii="Arial" w:hAnsi="Arial" w:cs="Arial"/>
          <w:sz w:val="20"/>
          <w:szCs w:val="20"/>
        </w:rPr>
        <w:t>Jiménez</w:t>
      </w:r>
    </w:p>
    <w:p w14:paraId="54279C87" w14:textId="7F6C82CD" w:rsidR="00AA4DD8" w:rsidRPr="008A1738" w:rsidRDefault="00D65C14" w:rsidP="000967D5">
      <w:pPr>
        <w:tabs>
          <w:tab w:val="left" w:pos="5310"/>
        </w:tabs>
        <w:spacing w:line="240" w:lineRule="auto"/>
        <w:rPr>
          <w:rFonts w:ascii="Arial" w:hAnsi="Arial" w:cs="Arial"/>
          <w:sz w:val="20"/>
          <w:szCs w:val="20"/>
        </w:rPr>
      </w:pPr>
      <w:r w:rsidRPr="008A1738">
        <w:rPr>
          <w:rFonts w:ascii="Arial" w:hAnsi="Arial" w:cs="Arial"/>
          <w:sz w:val="20"/>
          <w:szCs w:val="20"/>
        </w:rPr>
        <w:t xml:space="preserve">            </w:t>
      </w:r>
      <w:r w:rsidR="00996308">
        <w:rPr>
          <w:rFonts w:ascii="Arial" w:hAnsi="Arial" w:cs="Arial"/>
          <w:sz w:val="20"/>
          <w:szCs w:val="20"/>
        </w:rPr>
        <w:t xml:space="preserve">                 </w:t>
      </w:r>
      <w:r w:rsidR="00AA4DD8" w:rsidRPr="008A1738">
        <w:rPr>
          <w:rFonts w:ascii="Arial" w:hAnsi="Arial" w:cs="Arial"/>
          <w:sz w:val="20"/>
          <w:szCs w:val="20"/>
        </w:rPr>
        <w:t>Direc</w:t>
      </w:r>
      <w:r w:rsidR="003A2374" w:rsidRPr="008A1738">
        <w:rPr>
          <w:rFonts w:ascii="Arial" w:hAnsi="Arial" w:cs="Arial"/>
          <w:sz w:val="20"/>
          <w:szCs w:val="20"/>
        </w:rPr>
        <w:t>tor</w:t>
      </w:r>
      <w:r w:rsidR="00AA4DD8" w:rsidRPr="008A1738">
        <w:rPr>
          <w:rFonts w:ascii="Arial" w:hAnsi="Arial" w:cs="Arial"/>
          <w:sz w:val="20"/>
          <w:szCs w:val="20"/>
        </w:rPr>
        <w:t xml:space="preserve"> General</w:t>
      </w:r>
      <w:r w:rsidR="00F66FC3">
        <w:rPr>
          <w:rFonts w:ascii="Arial" w:hAnsi="Arial" w:cs="Arial"/>
          <w:sz w:val="20"/>
          <w:szCs w:val="20"/>
        </w:rPr>
        <w:t xml:space="preserve"> y Liquidador</w:t>
      </w:r>
      <w:r w:rsidR="00AA4DD8" w:rsidRPr="008A1738">
        <w:rPr>
          <w:rFonts w:ascii="Arial" w:hAnsi="Arial" w:cs="Arial"/>
          <w:sz w:val="20"/>
          <w:szCs w:val="20"/>
        </w:rPr>
        <w:t xml:space="preserve">   </w:t>
      </w:r>
      <w:r w:rsidRPr="008A1738">
        <w:rPr>
          <w:rFonts w:ascii="Arial" w:hAnsi="Arial" w:cs="Arial"/>
          <w:sz w:val="20"/>
          <w:szCs w:val="20"/>
        </w:rPr>
        <w:t xml:space="preserve">          </w:t>
      </w:r>
      <w:r w:rsidR="00F931AE">
        <w:rPr>
          <w:rFonts w:ascii="Arial" w:hAnsi="Arial" w:cs="Arial"/>
          <w:sz w:val="20"/>
          <w:szCs w:val="20"/>
        </w:rPr>
        <w:t xml:space="preserve">                Coordinador</w:t>
      </w:r>
      <w:r w:rsidR="00AA4DD8" w:rsidRPr="008A1738">
        <w:rPr>
          <w:rFonts w:ascii="Arial" w:hAnsi="Arial" w:cs="Arial"/>
          <w:sz w:val="20"/>
          <w:szCs w:val="20"/>
        </w:rPr>
        <w:t xml:space="preserve"> de Contabilidad</w:t>
      </w:r>
    </w:p>
    <w:sectPr w:rsidR="00AA4DD8" w:rsidRPr="008A1738" w:rsidSect="0056749D">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228C7" w14:textId="77777777" w:rsidR="00D3695D" w:rsidRDefault="00D3695D" w:rsidP="00E00323">
      <w:pPr>
        <w:spacing w:after="0" w:line="240" w:lineRule="auto"/>
      </w:pPr>
      <w:r>
        <w:separator/>
      </w:r>
    </w:p>
  </w:endnote>
  <w:endnote w:type="continuationSeparator" w:id="0">
    <w:p w14:paraId="60824855" w14:textId="77777777" w:rsidR="00D3695D" w:rsidRDefault="00D3695D"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236D19AB" w14:textId="6488750E" w:rsidR="00344EC4" w:rsidRDefault="00344EC4">
        <w:pPr>
          <w:pStyle w:val="Piedepgina"/>
          <w:jc w:val="right"/>
        </w:pPr>
        <w:r>
          <w:fldChar w:fldCharType="begin"/>
        </w:r>
        <w:r>
          <w:instrText>PAGE   \* MERGEFORMAT</w:instrText>
        </w:r>
        <w:r>
          <w:fldChar w:fldCharType="separate"/>
        </w:r>
        <w:r w:rsidR="00560215" w:rsidRPr="00560215">
          <w:rPr>
            <w:noProof/>
            <w:lang w:val="es-ES"/>
          </w:rPr>
          <w:t>6</w:t>
        </w:r>
        <w:r>
          <w:rPr>
            <w:noProof/>
            <w:lang w:val="es-ES"/>
          </w:rPr>
          <w:fldChar w:fldCharType="end"/>
        </w:r>
      </w:p>
    </w:sdtContent>
  </w:sdt>
  <w:p w14:paraId="2B7E7C61" w14:textId="77777777" w:rsidR="00344EC4" w:rsidRDefault="00344E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70DA4" w14:textId="77777777" w:rsidR="00D3695D" w:rsidRDefault="00D3695D" w:rsidP="00E00323">
      <w:pPr>
        <w:spacing w:after="0" w:line="240" w:lineRule="auto"/>
      </w:pPr>
      <w:r>
        <w:separator/>
      </w:r>
    </w:p>
  </w:footnote>
  <w:footnote w:type="continuationSeparator" w:id="0">
    <w:p w14:paraId="17D09B19" w14:textId="77777777" w:rsidR="00D3695D" w:rsidRDefault="00D3695D"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228D" w14:textId="5190DAFD" w:rsidR="00344EC4" w:rsidRDefault="00344EC4" w:rsidP="00A4610E">
    <w:pPr>
      <w:pStyle w:val="Encabezado"/>
      <w:spacing w:after="0" w:line="240" w:lineRule="auto"/>
      <w:jc w:val="center"/>
    </w:pPr>
    <w:r>
      <w:t>FONDOS GUANAJUATO DE FINANCIAMIENTO</w:t>
    </w:r>
  </w:p>
  <w:p w14:paraId="0C594C00" w14:textId="46E178F7" w:rsidR="00344EC4" w:rsidRDefault="00344EC4" w:rsidP="00CF3378">
    <w:pPr>
      <w:pStyle w:val="Encabezado"/>
      <w:spacing w:after="0" w:line="240" w:lineRule="auto"/>
      <w:jc w:val="center"/>
    </w:pPr>
    <w:r w:rsidRPr="00A4610E">
      <w:t>CORRESPONDI</w:t>
    </w:r>
    <w:r>
      <w:t>E</w:t>
    </w:r>
    <w:r w:rsidRPr="00A4610E">
      <w:t xml:space="preserve">NTE AL </w:t>
    </w:r>
    <w:r>
      <w:t>3</w:t>
    </w:r>
    <w:r w:rsidR="00CF3378">
      <w:t>0</w:t>
    </w:r>
    <w:r>
      <w:t xml:space="preserve"> DE </w:t>
    </w:r>
    <w:r w:rsidR="00CF3378">
      <w:t>JUNI</w:t>
    </w:r>
    <w:r w:rsidR="000967D5">
      <w:t xml:space="preserve">O </w:t>
    </w:r>
    <w:r>
      <w:t>DE 202</w:t>
    </w:r>
    <w:r w:rsidR="000967D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88F"/>
    <w:multiLevelType w:val="hybridMultilevel"/>
    <w:tmpl w:val="9FECC536"/>
    <w:lvl w:ilvl="0" w:tplc="79F2C728">
      <w:start w:val="1"/>
      <w:numFmt w:val="bullet"/>
      <w:lvlText w:val="-"/>
      <w:lvlJc w:val="left"/>
      <w:pPr>
        <w:tabs>
          <w:tab w:val="num" w:pos="2165"/>
        </w:tabs>
        <w:ind w:left="2165"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 w15:restartNumberingAfterBreak="0">
    <w:nsid w:val="07672D5D"/>
    <w:multiLevelType w:val="hybridMultilevel"/>
    <w:tmpl w:val="FF749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6701A4"/>
    <w:multiLevelType w:val="hybridMultilevel"/>
    <w:tmpl w:val="D5BC0B24"/>
    <w:lvl w:ilvl="0" w:tplc="1D9080A6">
      <w:start w:val="1"/>
      <w:numFmt w:val="decimal"/>
      <w:lvlText w:val="%1."/>
      <w:lvlJc w:val="left"/>
      <w:pPr>
        <w:tabs>
          <w:tab w:val="num" w:pos="720"/>
        </w:tabs>
        <w:ind w:left="720" w:hanging="360"/>
      </w:pPr>
      <w:rPr>
        <w:rFonts w:hint="default"/>
        <w:b/>
      </w:rPr>
    </w:lvl>
    <w:lvl w:ilvl="1" w:tplc="9C307B3E">
      <w:start w:val="1"/>
      <w:numFmt w:val="upperLetter"/>
      <w:lvlText w:val="%2)"/>
      <w:lvlJc w:val="left"/>
      <w:pPr>
        <w:ind w:left="2055" w:hanging="975"/>
      </w:pPr>
      <w:rPr>
        <w:rFonts w:cs="Times New Roman" w:hint="default"/>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27A81270"/>
    <w:multiLevelType w:val="hybridMultilevel"/>
    <w:tmpl w:val="ED9AE0E8"/>
    <w:lvl w:ilvl="0" w:tplc="04090019">
      <w:start w:val="1"/>
      <w:numFmt w:val="lowerLetter"/>
      <w:lvlText w:val="%1."/>
      <w:lvlJc w:val="left"/>
      <w:pPr>
        <w:ind w:left="2705" w:hanging="360"/>
      </w:pPr>
      <w:rPr>
        <w:rFonts w:hint="default"/>
      </w:rPr>
    </w:lvl>
    <w:lvl w:ilvl="1" w:tplc="080A0019" w:tentative="1">
      <w:start w:val="1"/>
      <w:numFmt w:val="lowerLetter"/>
      <w:lvlText w:val="%2."/>
      <w:lvlJc w:val="left"/>
      <w:pPr>
        <w:ind w:left="3425" w:hanging="360"/>
      </w:pPr>
    </w:lvl>
    <w:lvl w:ilvl="2" w:tplc="080A001B" w:tentative="1">
      <w:start w:val="1"/>
      <w:numFmt w:val="lowerRoman"/>
      <w:lvlText w:val="%3."/>
      <w:lvlJc w:val="right"/>
      <w:pPr>
        <w:ind w:left="4145" w:hanging="180"/>
      </w:pPr>
    </w:lvl>
    <w:lvl w:ilvl="3" w:tplc="080A000F" w:tentative="1">
      <w:start w:val="1"/>
      <w:numFmt w:val="decimal"/>
      <w:lvlText w:val="%4."/>
      <w:lvlJc w:val="left"/>
      <w:pPr>
        <w:ind w:left="4865" w:hanging="360"/>
      </w:pPr>
    </w:lvl>
    <w:lvl w:ilvl="4" w:tplc="080A0019" w:tentative="1">
      <w:start w:val="1"/>
      <w:numFmt w:val="lowerLetter"/>
      <w:lvlText w:val="%5."/>
      <w:lvlJc w:val="left"/>
      <w:pPr>
        <w:ind w:left="5585" w:hanging="360"/>
      </w:pPr>
    </w:lvl>
    <w:lvl w:ilvl="5" w:tplc="080A001B" w:tentative="1">
      <w:start w:val="1"/>
      <w:numFmt w:val="lowerRoman"/>
      <w:lvlText w:val="%6."/>
      <w:lvlJc w:val="right"/>
      <w:pPr>
        <w:ind w:left="6305" w:hanging="180"/>
      </w:pPr>
    </w:lvl>
    <w:lvl w:ilvl="6" w:tplc="080A000F" w:tentative="1">
      <w:start w:val="1"/>
      <w:numFmt w:val="decimal"/>
      <w:lvlText w:val="%7."/>
      <w:lvlJc w:val="left"/>
      <w:pPr>
        <w:ind w:left="7025" w:hanging="360"/>
      </w:pPr>
    </w:lvl>
    <w:lvl w:ilvl="7" w:tplc="080A0019" w:tentative="1">
      <w:start w:val="1"/>
      <w:numFmt w:val="lowerLetter"/>
      <w:lvlText w:val="%8."/>
      <w:lvlJc w:val="left"/>
      <w:pPr>
        <w:ind w:left="7745" w:hanging="360"/>
      </w:pPr>
    </w:lvl>
    <w:lvl w:ilvl="8" w:tplc="080A001B" w:tentative="1">
      <w:start w:val="1"/>
      <w:numFmt w:val="lowerRoman"/>
      <w:lvlText w:val="%9."/>
      <w:lvlJc w:val="right"/>
      <w:pPr>
        <w:ind w:left="8465" w:hanging="180"/>
      </w:pPr>
    </w:lvl>
  </w:abstractNum>
  <w:abstractNum w:abstractNumId="4" w15:restartNumberingAfterBreak="0">
    <w:nsid w:val="2E4B371D"/>
    <w:multiLevelType w:val="hybridMultilevel"/>
    <w:tmpl w:val="28522916"/>
    <w:lvl w:ilvl="0" w:tplc="7D1653BA">
      <w:start w:val="2"/>
      <w:numFmt w:val="lowerLetter"/>
      <w:lvlText w:val="%1)"/>
      <w:lvlJc w:val="left"/>
      <w:pPr>
        <w:ind w:left="1713" w:hanging="360"/>
      </w:pPr>
      <w:rPr>
        <w:rFonts w:hint="default"/>
        <w:b w:val="0"/>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1332331"/>
    <w:multiLevelType w:val="hybridMultilevel"/>
    <w:tmpl w:val="121889B6"/>
    <w:lvl w:ilvl="0" w:tplc="04090019">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6" w15:restartNumberingAfterBreak="0">
    <w:nsid w:val="3C03711B"/>
    <w:multiLevelType w:val="hybridMultilevel"/>
    <w:tmpl w:val="628869F8"/>
    <w:lvl w:ilvl="0" w:tplc="ADB229BE">
      <w:start w:val="1"/>
      <w:numFmt w:val="upperRoman"/>
      <w:lvlText w:val="%1."/>
      <w:lvlJc w:val="right"/>
      <w:pPr>
        <w:ind w:left="1068" w:hanging="360"/>
      </w:pPr>
      <w:rPr>
        <w:rFonts w:ascii="Times New Roman" w:hAnsi="Times New Roman" w:cs="Times New Roman" w:hint="default"/>
        <w:b/>
        <w:sz w:val="20"/>
        <w:szCs w:val="2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3C5A1A58"/>
    <w:multiLevelType w:val="multilevel"/>
    <w:tmpl w:val="C59478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b w:val="0"/>
      </w:rPr>
    </w:lvl>
    <w:lvl w:ilvl="3">
      <w:start w:val="1"/>
      <w:numFmt w:val="decimal"/>
      <w:lvlText w:val="(%4)"/>
      <w:lvlJc w:val="left"/>
      <w:pPr>
        <w:ind w:left="1440" w:hanging="360"/>
      </w:pPr>
    </w:lvl>
    <w:lvl w:ilvl="4">
      <w:start w:val="1"/>
      <w:numFmt w:val="upp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7B82947"/>
    <w:multiLevelType w:val="hybridMultilevel"/>
    <w:tmpl w:val="C9E010E6"/>
    <w:lvl w:ilvl="0" w:tplc="79F2C728">
      <w:start w:val="1"/>
      <w:numFmt w:val="bullet"/>
      <w:lvlText w:val="-"/>
      <w:lvlJc w:val="left"/>
      <w:pPr>
        <w:ind w:left="1778" w:hanging="360"/>
      </w:pPr>
      <w:rPr>
        <w:rFonts w:ascii="Symbol" w:hAnsi="Symbol" w:hint="default"/>
      </w:rPr>
    </w:lvl>
    <w:lvl w:ilvl="1" w:tplc="080A0003">
      <w:start w:val="1"/>
      <w:numFmt w:val="bullet"/>
      <w:lvlText w:val="o"/>
      <w:lvlJc w:val="left"/>
      <w:pPr>
        <w:ind w:left="2498" w:hanging="360"/>
      </w:pPr>
      <w:rPr>
        <w:rFonts w:ascii="Courier New" w:hAnsi="Courier New" w:cs="Courier New" w:hint="default"/>
      </w:rPr>
    </w:lvl>
    <w:lvl w:ilvl="2" w:tplc="080A0005" w:tentative="1">
      <w:start w:val="1"/>
      <w:numFmt w:val="bullet"/>
      <w:lvlText w:val=""/>
      <w:lvlJc w:val="left"/>
      <w:pPr>
        <w:ind w:left="3218" w:hanging="360"/>
      </w:pPr>
      <w:rPr>
        <w:rFonts w:ascii="Wingdings" w:hAnsi="Wingdings" w:hint="default"/>
      </w:rPr>
    </w:lvl>
    <w:lvl w:ilvl="3" w:tplc="080A0001" w:tentative="1">
      <w:start w:val="1"/>
      <w:numFmt w:val="bullet"/>
      <w:lvlText w:val=""/>
      <w:lvlJc w:val="left"/>
      <w:pPr>
        <w:ind w:left="3938" w:hanging="360"/>
      </w:pPr>
      <w:rPr>
        <w:rFonts w:ascii="Symbol" w:hAnsi="Symbol" w:hint="default"/>
      </w:rPr>
    </w:lvl>
    <w:lvl w:ilvl="4" w:tplc="080A0003" w:tentative="1">
      <w:start w:val="1"/>
      <w:numFmt w:val="bullet"/>
      <w:lvlText w:val="o"/>
      <w:lvlJc w:val="left"/>
      <w:pPr>
        <w:ind w:left="4658" w:hanging="360"/>
      </w:pPr>
      <w:rPr>
        <w:rFonts w:ascii="Courier New" w:hAnsi="Courier New" w:cs="Courier New" w:hint="default"/>
      </w:rPr>
    </w:lvl>
    <w:lvl w:ilvl="5" w:tplc="080A0005" w:tentative="1">
      <w:start w:val="1"/>
      <w:numFmt w:val="bullet"/>
      <w:lvlText w:val=""/>
      <w:lvlJc w:val="left"/>
      <w:pPr>
        <w:ind w:left="5378" w:hanging="360"/>
      </w:pPr>
      <w:rPr>
        <w:rFonts w:ascii="Wingdings" w:hAnsi="Wingdings" w:hint="default"/>
      </w:rPr>
    </w:lvl>
    <w:lvl w:ilvl="6" w:tplc="080A0001" w:tentative="1">
      <w:start w:val="1"/>
      <w:numFmt w:val="bullet"/>
      <w:lvlText w:val=""/>
      <w:lvlJc w:val="left"/>
      <w:pPr>
        <w:ind w:left="6098" w:hanging="360"/>
      </w:pPr>
      <w:rPr>
        <w:rFonts w:ascii="Symbol" w:hAnsi="Symbol" w:hint="default"/>
      </w:rPr>
    </w:lvl>
    <w:lvl w:ilvl="7" w:tplc="080A0003" w:tentative="1">
      <w:start w:val="1"/>
      <w:numFmt w:val="bullet"/>
      <w:lvlText w:val="o"/>
      <w:lvlJc w:val="left"/>
      <w:pPr>
        <w:ind w:left="6818" w:hanging="360"/>
      </w:pPr>
      <w:rPr>
        <w:rFonts w:ascii="Courier New" w:hAnsi="Courier New" w:cs="Courier New" w:hint="default"/>
      </w:rPr>
    </w:lvl>
    <w:lvl w:ilvl="8" w:tplc="080A0005" w:tentative="1">
      <w:start w:val="1"/>
      <w:numFmt w:val="bullet"/>
      <w:lvlText w:val=""/>
      <w:lvlJc w:val="left"/>
      <w:pPr>
        <w:ind w:left="7538" w:hanging="360"/>
      </w:pPr>
      <w:rPr>
        <w:rFonts w:ascii="Wingdings" w:hAnsi="Wingdings" w:hint="default"/>
      </w:rPr>
    </w:lvl>
  </w:abstractNum>
  <w:abstractNum w:abstractNumId="9" w15:restartNumberingAfterBreak="0">
    <w:nsid w:val="52FC4A74"/>
    <w:multiLevelType w:val="hybridMultilevel"/>
    <w:tmpl w:val="EB62CC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5E1595F"/>
    <w:multiLevelType w:val="hybridMultilevel"/>
    <w:tmpl w:val="0EC625CE"/>
    <w:lvl w:ilvl="0" w:tplc="C0E22EBE">
      <w:start w:val="1"/>
      <w:numFmt w:val="lowerLetter"/>
      <w:lvlText w:val="%1)"/>
      <w:lvlJc w:val="left"/>
      <w:pPr>
        <w:ind w:left="1080" w:hanging="360"/>
      </w:pPr>
      <w:rPr>
        <w:rFonts w:ascii="Times New Roman" w:hAnsi="Times New Roman" w:cs="Times New Roman" w:hint="default"/>
        <w:b w:val="0"/>
        <w:i w:val="0"/>
        <w:sz w:val="20"/>
        <w:szCs w:val="20"/>
      </w:rPr>
    </w:lvl>
    <w:lvl w:ilvl="1" w:tplc="080A0019" w:tentative="1">
      <w:start w:val="1"/>
      <w:numFmt w:val="lowerLetter"/>
      <w:lvlText w:val="%2."/>
      <w:lvlJc w:val="left"/>
      <w:pPr>
        <w:ind w:left="807" w:hanging="360"/>
      </w:pPr>
    </w:lvl>
    <w:lvl w:ilvl="2" w:tplc="080A001B" w:tentative="1">
      <w:start w:val="1"/>
      <w:numFmt w:val="lowerRoman"/>
      <w:lvlText w:val="%3."/>
      <w:lvlJc w:val="right"/>
      <w:pPr>
        <w:ind w:left="1527" w:hanging="180"/>
      </w:pPr>
    </w:lvl>
    <w:lvl w:ilvl="3" w:tplc="080A000F" w:tentative="1">
      <w:start w:val="1"/>
      <w:numFmt w:val="decimal"/>
      <w:lvlText w:val="%4."/>
      <w:lvlJc w:val="left"/>
      <w:pPr>
        <w:ind w:left="2247" w:hanging="360"/>
      </w:pPr>
    </w:lvl>
    <w:lvl w:ilvl="4" w:tplc="080A0019" w:tentative="1">
      <w:start w:val="1"/>
      <w:numFmt w:val="lowerLetter"/>
      <w:lvlText w:val="%5."/>
      <w:lvlJc w:val="left"/>
      <w:pPr>
        <w:ind w:left="2967" w:hanging="360"/>
      </w:pPr>
    </w:lvl>
    <w:lvl w:ilvl="5" w:tplc="080A001B" w:tentative="1">
      <w:start w:val="1"/>
      <w:numFmt w:val="lowerRoman"/>
      <w:lvlText w:val="%6."/>
      <w:lvlJc w:val="right"/>
      <w:pPr>
        <w:ind w:left="3687" w:hanging="180"/>
      </w:pPr>
    </w:lvl>
    <w:lvl w:ilvl="6" w:tplc="080A000F" w:tentative="1">
      <w:start w:val="1"/>
      <w:numFmt w:val="decimal"/>
      <w:lvlText w:val="%7."/>
      <w:lvlJc w:val="left"/>
      <w:pPr>
        <w:ind w:left="4407" w:hanging="360"/>
      </w:pPr>
    </w:lvl>
    <w:lvl w:ilvl="7" w:tplc="080A0019" w:tentative="1">
      <w:start w:val="1"/>
      <w:numFmt w:val="lowerLetter"/>
      <w:lvlText w:val="%8."/>
      <w:lvlJc w:val="left"/>
      <w:pPr>
        <w:ind w:left="5127" w:hanging="360"/>
      </w:pPr>
    </w:lvl>
    <w:lvl w:ilvl="8" w:tplc="080A001B" w:tentative="1">
      <w:start w:val="1"/>
      <w:numFmt w:val="lowerRoman"/>
      <w:lvlText w:val="%9."/>
      <w:lvlJc w:val="right"/>
      <w:pPr>
        <w:ind w:left="5847" w:hanging="180"/>
      </w:pPr>
    </w:lvl>
  </w:abstractNum>
  <w:abstractNum w:abstractNumId="1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BB8262F"/>
    <w:multiLevelType w:val="hybridMultilevel"/>
    <w:tmpl w:val="1E18DD7A"/>
    <w:lvl w:ilvl="0" w:tplc="8FC600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69840981">
    <w:abstractNumId w:val="11"/>
  </w:num>
  <w:num w:numId="2" w16cid:durableId="77020358">
    <w:abstractNumId w:val="0"/>
  </w:num>
  <w:num w:numId="3" w16cid:durableId="856500938">
    <w:abstractNumId w:val="10"/>
  </w:num>
  <w:num w:numId="4" w16cid:durableId="12078972">
    <w:abstractNumId w:val="8"/>
  </w:num>
  <w:num w:numId="5" w16cid:durableId="847448674">
    <w:abstractNumId w:val="5"/>
  </w:num>
  <w:num w:numId="6" w16cid:durableId="1127774502">
    <w:abstractNumId w:val="3"/>
  </w:num>
  <w:num w:numId="7" w16cid:durableId="474880852">
    <w:abstractNumId w:val="4"/>
  </w:num>
  <w:num w:numId="8" w16cid:durableId="693767668">
    <w:abstractNumId w:val="7"/>
  </w:num>
  <w:num w:numId="9" w16cid:durableId="122309759">
    <w:abstractNumId w:val="6"/>
  </w:num>
  <w:num w:numId="10" w16cid:durableId="1865438034">
    <w:abstractNumId w:val="2"/>
  </w:num>
  <w:num w:numId="11" w16cid:durableId="24186181">
    <w:abstractNumId w:val="1"/>
  </w:num>
  <w:num w:numId="12" w16cid:durableId="651983938">
    <w:abstractNumId w:val="12"/>
  </w:num>
  <w:num w:numId="13" w16cid:durableId="4617770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5467"/>
    <w:rsid w:val="0000608E"/>
    <w:rsid w:val="00026BED"/>
    <w:rsid w:val="000272EC"/>
    <w:rsid w:val="0003334A"/>
    <w:rsid w:val="00040D4F"/>
    <w:rsid w:val="00057CB6"/>
    <w:rsid w:val="000609DB"/>
    <w:rsid w:val="00071812"/>
    <w:rsid w:val="00084EAE"/>
    <w:rsid w:val="00091CE6"/>
    <w:rsid w:val="000932B7"/>
    <w:rsid w:val="000967D5"/>
    <w:rsid w:val="00096873"/>
    <w:rsid w:val="00096EB3"/>
    <w:rsid w:val="00097BDF"/>
    <w:rsid w:val="000A09B7"/>
    <w:rsid w:val="000A3D04"/>
    <w:rsid w:val="000B272D"/>
    <w:rsid w:val="000B7810"/>
    <w:rsid w:val="000C217F"/>
    <w:rsid w:val="000C3365"/>
    <w:rsid w:val="000C42F7"/>
    <w:rsid w:val="000C43A3"/>
    <w:rsid w:val="000C6383"/>
    <w:rsid w:val="000E51A7"/>
    <w:rsid w:val="000F2513"/>
    <w:rsid w:val="00104B24"/>
    <w:rsid w:val="001131F1"/>
    <w:rsid w:val="0012405A"/>
    <w:rsid w:val="00131577"/>
    <w:rsid w:val="00154BA3"/>
    <w:rsid w:val="00160460"/>
    <w:rsid w:val="001749B8"/>
    <w:rsid w:val="00183F20"/>
    <w:rsid w:val="00185E36"/>
    <w:rsid w:val="0019454A"/>
    <w:rsid w:val="001973A2"/>
    <w:rsid w:val="001A7578"/>
    <w:rsid w:val="001A759C"/>
    <w:rsid w:val="001C75F2"/>
    <w:rsid w:val="001C773F"/>
    <w:rsid w:val="001D2063"/>
    <w:rsid w:val="001D43E9"/>
    <w:rsid w:val="001D7711"/>
    <w:rsid w:val="001E5D83"/>
    <w:rsid w:val="001F01B7"/>
    <w:rsid w:val="001F3EA5"/>
    <w:rsid w:val="00205C68"/>
    <w:rsid w:val="002065F0"/>
    <w:rsid w:val="00211831"/>
    <w:rsid w:val="00217EA3"/>
    <w:rsid w:val="00221753"/>
    <w:rsid w:val="002320EE"/>
    <w:rsid w:val="00236555"/>
    <w:rsid w:val="002565EE"/>
    <w:rsid w:val="00260D59"/>
    <w:rsid w:val="00261428"/>
    <w:rsid w:val="002635CA"/>
    <w:rsid w:val="00264535"/>
    <w:rsid w:val="00265427"/>
    <w:rsid w:val="00276DD2"/>
    <w:rsid w:val="002902DD"/>
    <w:rsid w:val="00293D77"/>
    <w:rsid w:val="002949D5"/>
    <w:rsid w:val="002A775D"/>
    <w:rsid w:val="002E799E"/>
    <w:rsid w:val="002E7FA4"/>
    <w:rsid w:val="002F3ED9"/>
    <w:rsid w:val="002F53CF"/>
    <w:rsid w:val="00301876"/>
    <w:rsid w:val="003107E2"/>
    <w:rsid w:val="00327249"/>
    <w:rsid w:val="00330F3E"/>
    <w:rsid w:val="00336840"/>
    <w:rsid w:val="00336DD4"/>
    <w:rsid w:val="00340AF7"/>
    <w:rsid w:val="00344EC4"/>
    <w:rsid w:val="003453CA"/>
    <w:rsid w:val="003473D9"/>
    <w:rsid w:val="0035264A"/>
    <w:rsid w:val="003569CA"/>
    <w:rsid w:val="00370D9F"/>
    <w:rsid w:val="003730D5"/>
    <w:rsid w:val="00373463"/>
    <w:rsid w:val="0037773D"/>
    <w:rsid w:val="00390A3D"/>
    <w:rsid w:val="0039136B"/>
    <w:rsid w:val="00392077"/>
    <w:rsid w:val="003A0EDB"/>
    <w:rsid w:val="003A2374"/>
    <w:rsid w:val="003B41E0"/>
    <w:rsid w:val="003D0B5B"/>
    <w:rsid w:val="003E21BD"/>
    <w:rsid w:val="003E2E8A"/>
    <w:rsid w:val="00400196"/>
    <w:rsid w:val="00400E90"/>
    <w:rsid w:val="00406D48"/>
    <w:rsid w:val="00410785"/>
    <w:rsid w:val="0042079E"/>
    <w:rsid w:val="00422040"/>
    <w:rsid w:val="00435A87"/>
    <w:rsid w:val="00446047"/>
    <w:rsid w:val="00450CCF"/>
    <w:rsid w:val="004510A1"/>
    <w:rsid w:val="00474378"/>
    <w:rsid w:val="00492D2E"/>
    <w:rsid w:val="004A3A40"/>
    <w:rsid w:val="004A58C8"/>
    <w:rsid w:val="004B101D"/>
    <w:rsid w:val="004C46F1"/>
    <w:rsid w:val="004C4FDD"/>
    <w:rsid w:val="004C5235"/>
    <w:rsid w:val="005013C1"/>
    <w:rsid w:val="005162A1"/>
    <w:rsid w:val="00530252"/>
    <w:rsid w:val="0054701E"/>
    <w:rsid w:val="0055030E"/>
    <w:rsid w:val="005516CF"/>
    <w:rsid w:val="00552B89"/>
    <w:rsid w:val="00554E9E"/>
    <w:rsid w:val="00556EB8"/>
    <w:rsid w:val="00560215"/>
    <w:rsid w:val="00565C5B"/>
    <w:rsid w:val="0056749D"/>
    <w:rsid w:val="00570D0C"/>
    <w:rsid w:val="00576DC0"/>
    <w:rsid w:val="00583166"/>
    <w:rsid w:val="005A65AF"/>
    <w:rsid w:val="005B0366"/>
    <w:rsid w:val="005C4BAE"/>
    <w:rsid w:val="005C7689"/>
    <w:rsid w:val="005D14E2"/>
    <w:rsid w:val="005D3E43"/>
    <w:rsid w:val="005D5741"/>
    <w:rsid w:val="005D5811"/>
    <w:rsid w:val="005E062F"/>
    <w:rsid w:val="005E231E"/>
    <w:rsid w:val="005E378C"/>
    <w:rsid w:val="006137CD"/>
    <w:rsid w:val="00621D5C"/>
    <w:rsid w:val="006238CF"/>
    <w:rsid w:val="00626676"/>
    <w:rsid w:val="0063540F"/>
    <w:rsid w:val="00636B2D"/>
    <w:rsid w:val="006425BD"/>
    <w:rsid w:val="00646697"/>
    <w:rsid w:val="00650471"/>
    <w:rsid w:val="00657009"/>
    <w:rsid w:val="00661578"/>
    <w:rsid w:val="006745FE"/>
    <w:rsid w:val="00676B86"/>
    <w:rsid w:val="00681C79"/>
    <w:rsid w:val="006A5AC6"/>
    <w:rsid w:val="006A7328"/>
    <w:rsid w:val="006B4299"/>
    <w:rsid w:val="006C3F9A"/>
    <w:rsid w:val="006C746A"/>
    <w:rsid w:val="00723808"/>
    <w:rsid w:val="00726778"/>
    <w:rsid w:val="007276D6"/>
    <w:rsid w:val="00727B72"/>
    <w:rsid w:val="007420BC"/>
    <w:rsid w:val="0075655D"/>
    <w:rsid w:val="00757C1A"/>
    <w:rsid w:val="00760402"/>
    <w:rsid w:val="007610BC"/>
    <w:rsid w:val="007616E3"/>
    <w:rsid w:val="007714AB"/>
    <w:rsid w:val="00775160"/>
    <w:rsid w:val="007937B0"/>
    <w:rsid w:val="007B038C"/>
    <w:rsid w:val="007B11FB"/>
    <w:rsid w:val="007B4329"/>
    <w:rsid w:val="007B7BF7"/>
    <w:rsid w:val="007D1E76"/>
    <w:rsid w:val="007D2F06"/>
    <w:rsid w:val="007D4484"/>
    <w:rsid w:val="007E6E5D"/>
    <w:rsid w:val="0080489B"/>
    <w:rsid w:val="0081042F"/>
    <w:rsid w:val="0081742C"/>
    <w:rsid w:val="00821A1C"/>
    <w:rsid w:val="008278FA"/>
    <w:rsid w:val="008313AC"/>
    <w:rsid w:val="00843526"/>
    <w:rsid w:val="00851C3A"/>
    <w:rsid w:val="0085679A"/>
    <w:rsid w:val="00860BD8"/>
    <w:rsid w:val="0086459F"/>
    <w:rsid w:val="00866116"/>
    <w:rsid w:val="00877DC1"/>
    <w:rsid w:val="00880F70"/>
    <w:rsid w:val="00881DA6"/>
    <w:rsid w:val="00883759"/>
    <w:rsid w:val="0088690D"/>
    <w:rsid w:val="008A10BD"/>
    <w:rsid w:val="008A1738"/>
    <w:rsid w:val="008B1EB6"/>
    <w:rsid w:val="008B439C"/>
    <w:rsid w:val="008C3BB8"/>
    <w:rsid w:val="008D6298"/>
    <w:rsid w:val="008E076C"/>
    <w:rsid w:val="00904E29"/>
    <w:rsid w:val="00906DF3"/>
    <w:rsid w:val="00912D59"/>
    <w:rsid w:val="00924C03"/>
    <w:rsid w:val="00927112"/>
    <w:rsid w:val="0092765C"/>
    <w:rsid w:val="0095199F"/>
    <w:rsid w:val="00963118"/>
    <w:rsid w:val="009663F0"/>
    <w:rsid w:val="009700D0"/>
    <w:rsid w:val="009730A7"/>
    <w:rsid w:val="00983283"/>
    <w:rsid w:val="00996308"/>
    <w:rsid w:val="009B13C1"/>
    <w:rsid w:val="009B1A6E"/>
    <w:rsid w:val="009B6E6B"/>
    <w:rsid w:val="009B7F8C"/>
    <w:rsid w:val="009C3AB2"/>
    <w:rsid w:val="009E617C"/>
    <w:rsid w:val="009F14C9"/>
    <w:rsid w:val="009F2838"/>
    <w:rsid w:val="009F78EA"/>
    <w:rsid w:val="00A13383"/>
    <w:rsid w:val="00A216CF"/>
    <w:rsid w:val="00A25E9E"/>
    <w:rsid w:val="00A36CE2"/>
    <w:rsid w:val="00A4610E"/>
    <w:rsid w:val="00A47512"/>
    <w:rsid w:val="00A52183"/>
    <w:rsid w:val="00A72C8E"/>
    <w:rsid w:val="00A730E0"/>
    <w:rsid w:val="00A81E49"/>
    <w:rsid w:val="00AA0CBB"/>
    <w:rsid w:val="00AA1066"/>
    <w:rsid w:val="00AA41E5"/>
    <w:rsid w:val="00AA4DD8"/>
    <w:rsid w:val="00AB722B"/>
    <w:rsid w:val="00AC2C25"/>
    <w:rsid w:val="00AD46C7"/>
    <w:rsid w:val="00AE1269"/>
    <w:rsid w:val="00AE1F6A"/>
    <w:rsid w:val="00AF34B0"/>
    <w:rsid w:val="00AF4ED3"/>
    <w:rsid w:val="00B12279"/>
    <w:rsid w:val="00B32340"/>
    <w:rsid w:val="00B3369A"/>
    <w:rsid w:val="00B33F20"/>
    <w:rsid w:val="00B5478D"/>
    <w:rsid w:val="00B60AD4"/>
    <w:rsid w:val="00B60FC3"/>
    <w:rsid w:val="00B64A64"/>
    <w:rsid w:val="00B726A5"/>
    <w:rsid w:val="00B869D6"/>
    <w:rsid w:val="00BA12FC"/>
    <w:rsid w:val="00BA5575"/>
    <w:rsid w:val="00BC42A0"/>
    <w:rsid w:val="00BD3EC9"/>
    <w:rsid w:val="00BE2B69"/>
    <w:rsid w:val="00BE7E31"/>
    <w:rsid w:val="00BF0BE0"/>
    <w:rsid w:val="00BF5502"/>
    <w:rsid w:val="00BF5B9D"/>
    <w:rsid w:val="00C0416A"/>
    <w:rsid w:val="00C05222"/>
    <w:rsid w:val="00C06DC3"/>
    <w:rsid w:val="00C137AB"/>
    <w:rsid w:val="00C3149F"/>
    <w:rsid w:val="00C4208F"/>
    <w:rsid w:val="00C65649"/>
    <w:rsid w:val="00C82F63"/>
    <w:rsid w:val="00C97E1E"/>
    <w:rsid w:val="00CB1D5E"/>
    <w:rsid w:val="00CB41C4"/>
    <w:rsid w:val="00CB5C16"/>
    <w:rsid w:val="00CB7C9F"/>
    <w:rsid w:val="00CC21B8"/>
    <w:rsid w:val="00CD1356"/>
    <w:rsid w:val="00CD1709"/>
    <w:rsid w:val="00CF1316"/>
    <w:rsid w:val="00CF3378"/>
    <w:rsid w:val="00D02462"/>
    <w:rsid w:val="00D1308E"/>
    <w:rsid w:val="00D13C44"/>
    <w:rsid w:val="00D1471F"/>
    <w:rsid w:val="00D23694"/>
    <w:rsid w:val="00D25233"/>
    <w:rsid w:val="00D35088"/>
    <w:rsid w:val="00D3695D"/>
    <w:rsid w:val="00D4360D"/>
    <w:rsid w:val="00D5697F"/>
    <w:rsid w:val="00D615E9"/>
    <w:rsid w:val="00D63E65"/>
    <w:rsid w:val="00D65C14"/>
    <w:rsid w:val="00D76F4D"/>
    <w:rsid w:val="00D87CE3"/>
    <w:rsid w:val="00D94FD9"/>
    <w:rsid w:val="00D975B1"/>
    <w:rsid w:val="00DB6C82"/>
    <w:rsid w:val="00DC0795"/>
    <w:rsid w:val="00DC5CF7"/>
    <w:rsid w:val="00DD72C8"/>
    <w:rsid w:val="00DD753F"/>
    <w:rsid w:val="00DF2FE6"/>
    <w:rsid w:val="00DF3484"/>
    <w:rsid w:val="00E00323"/>
    <w:rsid w:val="00E01FEF"/>
    <w:rsid w:val="00E025A3"/>
    <w:rsid w:val="00E0334D"/>
    <w:rsid w:val="00E10E6F"/>
    <w:rsid w:val="00E43876"/>
    <w:rsid w:val="00E62A88"/>
    <w:rsid w:val="00E70A9D"/>
    <w:rsid w:val="00E736A8"/>
    <w:rsid w:val="00E74967"/>
    <w:rsid w:val="00E75422"/>
    <w:rsid w:val="00E76E66"/>
    <w:rsid w:val="00E81BD2"/>
    <w:rsid w:val="00E835F4"/>
    <w:rsid w:val="00E907BD"/>
    <w:rsid w:val="00E92C95"/>
    <w:rsid w:val="00E96D45"/>
    <w:rsid w:val="00EA37F5"/>
    <w:rsid w:val="00EA7915"/>
    <w:rsid w:val="00EE7150"/>
    <w:rsid w:val="00F22A95"/>
    <w:rsid w:val="00F244EF"/>
    <w:rsid w:val="00F30D2D"/>
    <w:rsid w:val="00F43B8C"/>
    <w:rsid w:val="00F46719"/>
    <w:rsid w:val="00F5494F"/>
    <w:rsid w:val="00F54A8F"/>
    <w:rsid w:val="00F54F6F"/>
    <w:rsid w:val="00F5622B"/>
    <w:rsid w:val="00F64E92"/>
    <w:rsid w:val="00F66FC3"/>
    <w:rsid w:val="00F71420"/>
    <w:rsid w:val="00F74072"/>
    <w:rsid w:val="00F911F6"/>
    <w:rsid w:val="00F931AE"/>
    <w:rsid w:val="00FA4883"/>
    <w:rsid w:val="00FA5518"/>
    <w:rsid w:val="00FA6D63"/>
    <w:rsid w:val="00FA7AE6"/>
    <w:rsid w:val="00FB08BA"/>
    <w:rsid w:val="00FB0E2B"/>
    <w:rsid w:val="00FB117F"/>
    <w:rsid w:val="00FB3D24"/>
    <w:rsid w:val="00FB6468"/>
    <w:rsid w:val="00FC6142"/>
    <w:rsid w:val="00FC68BF"/>
    <w:rsid w:val="00FE414A"/>
    <w:rsid w:val="00FE5C4A"/>
    <w:rsid w:val="00FE71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5C07"/>
  <w15:docId w15:val="{D30D06B1-5BAE-4F80-8D19-52954CA7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INCISO">
    <w:name w:val="INCISO"/>
    <w:basedOn w:val="Normal"/>
    <w:rsid w:val="008B439C"/>
    <w:pPr>
      <w:spacing w:after="101" w:line="216" w:lineRule="exact"/>
      <w:ind w:left="1080" w:hanging="360"/>
      <w:jc w:val="both"/>
    </w:pPr>
    <w:rPr>
      <w:rFonts w:ascii="Arial" w:eastAsia="Times New Roman" w:hAnsi="Arial" w:cs="Arial"/>
      <w:sz w:val="18"/>
      <w:szCs w:val="18"/>
      <w:lang w:val="es-ES" w:eastAsia="es-ES"/>
    </w:rPr>
  </w:style>
  <w:style w:type="paragraph" w:styleId="Textoindependiente">
    <w:name w:val="Body Text"/>
    <w:basedOn w:val="Normal"/>
    <w:link w:val="TextoindependienteCar"/>
    <w:rsid w:val="008B439C"/>
    <w:pPr>
      <w:spacing w:after="100" w:line="240" w:lineRule="auto"/>
      <w:jc w:val="both"/>
    </w:pPr>
    <w:rPr>
      <w:rFonts w:ascii="Times New Roman" w:eastAsia="Times New Roman" w:hAnsi="Times New Roman"/>
      <w:sz w:val="26"/>
      <w:szCs w:val="20"/>
      <w:lang w:val="es-ES_tradnl" w:eastAsia="es-ES"/>
    </w:rPr>
  </w:style>
  <w:style w:type="character" w:customStyle="1" w:styleId="TextoindependienteCar">
    <w:name w:val="Texto independiente Car"/>
    <w:basedOn w:val="Fuentedeprrafopredeter"/>
    <w:link w:val="Textoindependiente"/>
    <w:rsid w:val="008B439C"/>
    <w:rPr>
      <w:rFonts w:ascii="Times New Roman" w:eastAsia="Times New Roman" w:hAnsi="Times New Roman"/>
      <w:sz w:val="26"/>
      <w:lang w:val="es-ES_tradnl" w:eastAsia="es-ES"/>
    </w:rPr>
  </w:style>
  <w:style w:type="paragraph" w:customStyle="1" w:styleId="Prrafodelista1">
    <w:name w:val="Párrafo de lista1"/>
    <w:basedOn w:val="Normal"/>
    <w:rsid w:val="008B439C"/>
    <w:pPr>
      <w:ind w:left="720"/>
      <w:contextualSpacing/>
    </w:pPr>
    <w:rPr>
      <w:rFonts w:eastAsia="Times New Roman"/>
      <w:lang w:val="es-ES"/>
    </w:rPr>
  </w:style>
  <w:style w:type="paragraph" w:customStyle="1" w:styleId="Estndar">
    <w:name w:val="Estándar"/>
    <w:basedOn w:val="Normal"/>
    <w:rsid w:val="008B439C"/>
    <w:pPr>
      <w:autoSpaceDE w:val="0"/>
      <w:autoSpaceDN w:val="0"/>
      <w:adjustRightInd w:val="0"/>
      <w:spacing w:after="0" w:line="240" w:lineRule="auto"/>
    </w:pPr>
    <w:rPr>
      <w:rFonts w:ascii="Times New Roman" w:eastAsia="Times New Roman" w:hAnsi="Times New Roman"/>
      <w:sz w:val="24"/>
      <w:szCs w:val="20"/>
      <w:lang w:val="en-US" w:eastAsia="es-ES"/>
    </w:rPr>
  </w:style>
  <w:style w:type="character" w:styleId="Refdecomentario">
    <w:name w:val="annotation reference"/>
    <w:basedOn w:val="Fuentedeprrafopredeter"/>
    <w:uiPriority w:val="99"/>
    <w:semiHidden/>
    <w:unhideWhenUsed/>
    <w:rsid w:val="00185E36"/>
    <w:rPr>
      <w:sz w:val="16"/>
      <w:szCs w:val="16"/>
    </w:rPr>
  </w:style>
  <w:style w:type="paragraph" w:styleId="Textocomentario">
    <w:name w:val="annotation text"/>
    <w:basedOn w:val="Normal"/>
    <w:link w:val="TextocomentarioCar"/>
    <w:uiPriority w:val="99"/>
    <w:unhideWhenUsed/>
    <w:rsid w:val="00185E36"/>
    <w:pPr>
      <w:spacing w:line="240" w:lineRule="auto"/>
    </w:pPr>
    <w:rPr>
      <w:sz w:val="20"/>
      <w:szCs w:val="20"/>
    </w:rPr>
  </w:style>
  <w:style w:type="character" w:customStyle="1" w:styleId="TextocomentarioCar">
    <w:name w:val="Texto comentario Car"/>
    <w:basedOn w:val="Fuentedeprrafopredeter"/>
    <w:link w:val="Textocomentario"/>
    <w:uiPriority w:val="99"/>
    <w:rsid w:val="00185E36"/>
    <w:rPr>
      <w:lang w:eastAsia="en-US"/>
    </w:rPr>
  </w:style>
  <w:style w:type="paragraph" w:styleId="Asuntodelcomentario">
    <w:name w:val="annotation subject"/>
    <w:basedOn w:val="Textocomentario"/>
    <w:next w:val="Textocomentario"/>
    <w:link w:val="AsuntodelcomentarioCar"/>
    <w:uiPriority w:val="99"/>
    <w:semiHidden/>
    <w:unhideWhenUsed/>
    <w:rsid w:val="00185E36"/>
    <w:rPr>
      <w:b/>
      <w:bCs/>
    </w:rPr>
  </w:style>
  <w:style w:type="character" w:customStyle="1" w:styleId="AsuntodelcomentarioCar">
    <w:name w:val="Asunto del comentario Car"/>
    <w:basedOn w:val="TextocomentarioCar"/>
    <w:link w:val="Asuntodelcomentario"/>
    <w:uiPriority w:val="99"/>
    <w:semiHidden/>
    <w:rsid w:val="00185E3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7C6F5F4-61F5-4C11-995C-5B3864089C12}">
  <ds:schemaRefs>
    <ds:schemaRef ds:uri="http://schemas.openxmlformats.org/officeDocument/2006/bibliography"/>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7804</Words>
  <Characters>42925</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50628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Ma de Lourdes Romero Galvan</cp:lastModifiedBy>
  <cp:revision>2</cp:revision>
  <cp:lastPrinted>2026-02-17T20:32:00Z</cp:lastPrinted>
  <dcterms:created xsi:type="dcterms:W3CDTF">2026-07-16T18:45:00Z</dcterms:created>
  <dcterms:modified xsi:type="dcterms:W3CDTF">2026-07-16T18:45:00Z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