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B21D42" w:rsidRDefault="000B7810" w:rsidP="004F234D">
      <w:pPr>
        <w:tabs>
          <w:tab w:val="left" w:leader="underscore" w:pos="9639"/>
        </w:tabs>
        <w:spacing w:after="0" w:line="240" w:lineRule="auto"/>
        <w:ind w:left="9639" w:hanging="9639"/>
        <w:jc w:val="center"/>
        <w:rPr>
          <w:rFonts w:ascii="Times New Roman" w:hAnsi="Times New Roman"/>
          <w:i/>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42A1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476EBFB8" w:rsidR="007D1E76" w:rsidRDefault="007D1E76" w:rsidP="00CB41C4">
      <w:pPr>
        <w:tabs>
          <w:tab w:val="left" w:leader="underscore" w:pos="9639"/>
        </w:tabs>
        <w:spacing w:after="0" w:line="240" w:lineRule="auto"/>
        <w:jc w:val="both"/>
        <w:rPr>
          <w:rFonts w:cs="Calibri"/>
        </w:rPr>
      </w:pPr>
    </w:p>
    <w:p w14:paraId="7EBDDD04" w14:textId="77777777" w:rsidR="006D29EA" w:rsidRPr="00E74967" w:rsidRDefault="006D29EA"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8B718DA"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D69D6">
              <w:rPr>
                <w:noProof/>
                <w:webHidden/>
              </w:rPr>
              <w:t>2</w:t>
            </w:r>
            <w:r>
              <w:rPr>
                <w:noProof/>
                <w:webHidden/>
              </w:rPr>
              <w:fldChar w:fldCharType="end"/>
            </w:r>
          </w:hyperlink>
        </w:p>
        <w:p w14:paraId="47CC41D1" w14:textId="5DA0D30A" w:rsidR="00F46719" w:rsidRDefault="00442A1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D69D6">
              <w:rPr>
                <w:noProof/>
                <w:webHidden/>
              </w:rPr>
              <w:t>2</w:t>
            </w:r>
            <w:r w:rsidR="00F46719">
              <w:rPr>
                <w:noProof/>
                <w:webHidden/>
              </w:rPr>
              <w:fldChar w:fldCharType="end"/>
            </w:r>
          </w:hyperlink>
        </w:p>
        <w:p w14:paraId="0205BF1A" w14:textId="3BFF9A7C" w:rsidR="00F46719" w:rsidRDefault="00442A1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D69D6">
              <w:rPr>
                <w:noProof/>
                <w:webHidden/>
              </w:rPr>
              <w:t>3</w:t>
            </w:r>
            <w:r w:rsidR="00F46719">
              <w:rPr>
                <w:noProof/>
                <w:webHidden/>
              </w:rPr>
              <w:fldChar w:fldCharType="end"/>
            </w:r>
          </w:hyperlink>
        </w:p>
        <w:p w14:paraId="3181098F" w14:textId="547E0B16" w:rsidR="00F46719" w:rsidRDefault="00442A1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D69D6">
              <w:rPr>
                <w:noProof/>
                <w:webHidden/>
              </w:rPr>
              <w:t>3</w:t>
            </w:r>
            <w:r w:rsidR="00F46719">
              <w:rPr>
                <w:noProof/>
                <w:webHidden/>
              </w:rPr>
              <w:fldChar w:fldCharType="end"/>
            </w:r>
          </w:hyperlink>
        </w:p>
        <w:p w14:paraId="3E5886DF" w14:textId="71DCB72F" w:rsidR="00F46719" w:rsidRDefault="00442A1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D69D6">
              <w:rPr>
                <w:noProof/>
                <w:webHidden/>
              </w:rPr>
              <w:t>5</w:t>
            </w:r>
            <w:r w:rsidR="00F46719">
              <w:rPr>
                <w:noProof/>
                <w:webHidden/>
              </w:rPr>
              <w:fldChar w:fldCharType="end"/>
            </w:r>
          </w:hyperlink>
        </w:p>
        <w:p w14:paraId="653AF446" w14:textId="4A8E1B51" w:rsidR="00F46719" w:rsidRDefault="00442A1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D69D6">
              <w:rPr>
                <w:noProof/>
                <w:webHidden/>
              </w:rPr>
              <w:t>6</w:t>
            </w:r>
            <w:r w:rsidR="00F46719">
              <w:rPr>
                <w:noProof/>
                <w:webHidden/>
              </w:rPr>
              <w:fldChar w:fldCharType="end"/>
            </w:r>
          </w:hyperlink>
        </w:p>
        <w:p w14:paraId="21BA046A" w14:textId="4171BBEB" w:rsidR="00F46719" w:rsidRDefault="00442A1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D69D6">
              <w:rPr>
                <w:noProof/>
                <w:webHidden/>
              </w:rPr>
              <w:t>7</w:t>
            </w:r>
            <w:r w:rsidR="00F46719">
              <w:rPr>
                <w:noProof/>
                <w:webHidden/>
              </w:rPr>
              <w:fldChar w:fldCharType="end"/>
            </w:r>
          </w:hyperlink>
        </w:p>
        <w:p w14:paraId="784807F5" w14:textId="7C1E4CC7" w:rsidR="00F46719" w:rsidRDefault="00442A1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D69D6">
              <w:rPr>
                <w:noProof/>
                <w:webHidden/>
              </w:rPr>
              <w:t>7</w:t>
            </w:r>
            <w:r w:rsidR="00F46719">
              <w:rPr>
                <w:noProof/>
                <w:webHidden/>
              </w:rPr>
              <w:fldChar w:fldCharType="end"/>
            </w:r>
          </w:hyperlink>
        </w:p>
        <w:p w14:paraId="7E663DB5" w14:textId="5A1BF754" w:rsidR="00F46719" w:rsidRDefault="00442A1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D69D6">
              <w:rPr>
                <w:noProof/>
                <w:webHidden/>
              </w:rPr>
              <w:t>9</w:t>
            </w:r>
            <w:r w:rsidR="00F46719">
              <w:rPr>
                <w:noProof/>
                <w:webHidden/>
              </w:rPr>
              <w:fldChar w:fldCharType="end"/>
            </w:r>
          </w:hyperlink>
        </w:p>
        <w:p w14:paraId="335A44C3" w14:textId="6B02944D" w:rsidR="00F46719" w:rsidRDefault="00442A1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D69D6">
              <w:rPr>
                <w:noProof/>
                <w:webHidden/>
              </w:rPr>
              <w:t>9</w:t>
            </w:r>
            <w:r w:rsidR="00F46719">
              <w:rPr>
                <w:noProof/>
                <w:webHidden/>
              </w:rPr>
              <w:fldChar w:fldCharType="end"/>
            </w:r>
          </w:hyperlink>
        </w:p>
        <w:p w14:paraId="290CB7FF" w14:textId="6F1D2D98" w:rsidR="00F46719" w:rsidRDefault="00442A1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D69D6">
              <w:rPr>
                <w:noProof/>
                <w:webHidden/>
              </w:rPr>
              <w:t>9</w:t>
            </w:r>
            <w:r w:rsidR="00F46719">
              <w:rPr>
                <w:noProof/>
                <w:webHidden/>
              </w:rPr>
              <w:fldChar w:fldCharType="end"/>
            </w:r>
          </w:hyperlink>
        </w:p>
        <w:p w14:paraId="67FB6C3B" w14:textId="1E55289D" w:rsidR="00F46719" w:rsidRDefault="00442A1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D69D6">
              <w:rPr>
                <w:noProof/>
                <w:webHidden/>
              </w:rPr>
              <w:t>10</w:t>
            </w:r>
            <w:r w:rsidR="00F46719">
              <w:rPr>
                <w:noProof/>
                <w:webHidden/>
              </w:rPr>
              <w:fldChar w:fldCharType="end"/>
            </w:r>
          </w:hyperlink>
        </w:p>
        <w:p w14:paraId="3373EEEC" w14:textId="5F190F75" w:rsidR="00F46719" w:rsidRDefault="00442A1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D69D6">
              <w:rPr>
                <w:noProof/>
                <w:webHidden/>
              </w:rPr>
              <w:t>10</w:t>
            </w:r>
            <w:r w:rsidR="00F46719">
              <w:rPr>
                <w:noProof/>
                <w:webHidden/>
              </w:rPr>
              <w:fldChar w:fldCharType="end"/>
            </w:r>
          </w:hyperlink>
        </w:p>
        <w:p w14:paraId="01A1A543" w14:textId="581E0CB6" w:rsidR="00F46719" w:rsidRDefault="00442A1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D69D6">
              <w:rPr>
                <w:noProof/>
                <w:webHidden/>
              </w:rPr>
              <w:t>10</w:t>
            </w:r>
            <w:r w:rsidR="00F46719">
              <w:rPr>
                <w:noProof/>
                <w:webHidden/>
              </w:rPr>
              <w:fldChar w:fldCharType="end"/>
            </w:r>
          </w:hyperlink>
        </w:p>
        <w:p w14:paraId="314DA06E" w14:textId="40EECADF" w:rsidR="00F46719" w:rsidRDefault="00442A1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D69D6">
              <w:rPr>
                <w:noProof/>
                <w:webHidden/>
              </w:rPr>
              <w:t>11</w:t>
            </w:r>
            <w:r w:rsidR="00F46719">
              <w:rPr>
                <w:noProof/>
                <w:webHidden/>
              </w:rPr>
              <w:fldChar w:fldCharType="end"/>
            </w:r>
          </w:hyperlink>
        </w:p>
        <w:p w14:paraId="0A10726F" w14:textId="57BB1375" w:rsidR="00F46719" w:rsidRDefault="00442A1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D69D6">
              <w:rPr>
                <w:noProof/>
                <w:webHidden/>
              </w:rPr>
              <w:t>11</w:t>
            </w:r>
            <w:r w:rsidR="00F46719">
              <w:rPr>
                <w:noProof/>
                <w:webHidden/>
              </w:rPr>
              <w:fldChar w:fldCharType="end"/>
            </w:r>
          </w:hyperlink>
        </w:p>
        <w:p w14:paraId="3402BC77" w14:textId="26BA828F" w:rsidR="00F46719" w:rsidRDefault="00442A1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D69D6">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FC5E966" w14:textId="35E713B2" w:rsidR="007D1E76" w:rsidRDefault="00567EE7" w:rsidP="00CB41C4">
      <w:pPr>
        <w:tabs>
          <w:tab w:val="left" w:leader="underscore" w:pos="9639"/>
        </w:tabs>
        <w:spacing w:after="0" w:line="240" w:lineRule="auto"/>
        <w:jc w:val="both"/>
        <w:rPr>
          <w:rFonts w:cs="Calibri"/>
        </w:rPr>
      </w:pPr>
      <w:r w:rsidRPr="00567EE7">
        <w:rPr>
          <w:rFonts w:cs="Calibri"/>
        </w:rPr>
        <w:t xml:space="preserve">El Instituto de Innovación, Ciencia y Emprendimiento para la Competitividad para el estado de Guanajuato, </w:t>
      </w:r>
      <w:r w:rsidR="00BE336A">
        <w:rPr>
          <w:rFonts w:cs="Calibri"/>
        </w:rPr>
        <w:t>tiene principalmente las actividades siguientes:</w:t>
      </w:r>
    </w:p>
    <w:p w14:paraId="7CEB7059" w14:textId="01E36369" w:rsidR="00BE336A" w:rsidRPr="00BE336A" w:rsidRDefault="00BE336A" w:rsidP="00BE336A">
      <w:pPr>
        <w:pStyle w:val="Prrafodelista"/>
        <w:numPr>
          <w:ilvl w:val="0"/>
          <w:numId w:val="2"/>
        </w:numPr>
        <w:tabs>
          <w:tab w:val="left" w:leader="underscore" w:pos="9639"/>
        </w:tabs>
        <w:spacing w:after="0" w:line="240" w:lineRule="auto"/>
        <w:jc w:val="both"/>
        <w:rPr>
          <w:rFonts w:cs="Calibri"/>
        </w:rPr>
      </w:pPr>
      <w:r>
        <w:t xml:space="preserve">Promover la creación, crecimiento y consolidación global de nuevas iniciativas empresariales, para disminuir las brechas de éxito comercial de largo plazo; fortaleciendo así, una economía conducida por la visión de la </w:t>
      </w:r>
      <w:proofErr w:type="spellStart"/>
      <w:r>
        <w:t>mentefactura</w:t>
      </w:r>
      <w:proofErr w:type="spellEnd"/>
      <w:r>
        <w:t xml:space="preserve"> y el desarrollo sostenible.</w:t>
      </w:r>
    </w:p>
    <w:p w14:paraId="0B696A38" w14:textId="0DA84717" w:rsid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 xml:space="preserve">Orientar </w:t>
      </w:r>
      <w:r w:rsidRPr="00BE336A">
        <w:rPr>
          <w:rFonts w:cs="Calibri"/>
        </w:rPr>
        <w:t>la creación de eventos y experiencias de enseñanza-aprendizaje para complementar el proceso educativo y formativo de los estudiantes, primordialmente en el desarrollo de habilidades creadoras, emprendedoras e innovadoras, que logren impacto favorable en la sociedad y demás grupos de interés</w:t>
      </w:r>
      <w:r>
        <w:rPr>
          <w:rFonts w:cs="Calibri"/>
        </w:rPr>
        <w:t>.</w:t>
      </w:r>
    </w:p>
    <w:p w14:paraId="0BBBF854" w14:textId="61484440" w:rsid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B</w:t>
      </w:r>
      <w:r w:rsidRPr="00BE336A">
        <w:rPr>
          <w:rFonts w:cs="Calibri"/>
        </w:rPr>
        <w:t>rindar un acercamiento sobre las nuevas tendencias globales que pudieran afectar y/o ser áreas de oportunidad para las instituciones y sus estudiantes.</w:t>
      </w:r>
    </w:p>
    <w:p w14:paraId="2C6F4456" w14:textId="0EA48438" w:rsidR="00BE336A" w:rsidRPr="00BE336A" w:rsidRDefault="00BE336A" w:rsidP="00BE336A">
      <w:pPr>
        <w:pStyle w:val="Prrafodelista"/>
        <w:numPr>
          <w:ilvl w:val="0"/>
          <w:numId w:val="2"/>
        </w:numPr>
        <w:tabs>
          <w:tab w:val="left" w:leader="underscore" w:pos="9639"/>
        </w:tabs>
        <w:spacing w:after="0" w:line="240" w:lineRule="auto"/>
        <w:jc w:val="both"/>
        <w:rPr>
          <w:rFonts w:cs="Calibri"/>
        </w:rPr>
      </w:pPr>
      <w:r>
        <w:rPr>
          <w:rFonts w:cs="Calibri"/>
        </w:rPr>
        <w:t>Brindar</w:t>
      </w:r>
      <w:r w:rsidRPr="00BE336A">
        <w:rPr>
          <w:rFonts w:cs="Calibri"/>
        </w:rPr>
        <w:t xml:space="preserve"> soporte para la actualización, detección y aprovechamiento de oportunidades de mejora e implementación de innovaciones en procesos que involucren la experiencia del ciudadano y del servidor público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6775F7FA" w14:textId="40323029" w:rsidR="00DF637F" w:rsidRDefault="00567EE7" w:rsidP="00CB41C4">
      <w:pPr>
        <w:tabs>
          <w:tab w:val="left" w:leader="underscore" w:pos="9639"/>
        </w:tabs>
        <w:spacing w:after="0" w:line="240" w:lineRule="auto"/>
        <w:jc w:val="both"/>
        <w:rPr>
          <w:rFonts w:cs="Calibri"/>
        </w:rPr>
      </w:pPr>
      <w:r>
        <w:rPr>
          <w:rFonts w:cs="Calibri"/>
        </w:rPr>
        <w:t xml:space="preserve">El Instituto </w:t>
      </w:r>
      <w:r w:rsidRPr="00567EE7">
        <w:rPr>
          <w:rFonts w:cs="Calibri"/>
        </w:rPr>
        <w:t>de Innovación, Ciencia y Emprendimiento para la Competitividad para el estado de Guanajuato</w:t>
      </w:r>
      <w:r>
        <w:rPr>
          <w:rFonts w:cs="Calibri"/>
        </w:rPr>
        <w:t xml:space="preserve"> durante </w:t>
      </w:r>
      <w:r w:rsidR="00370D82" w:rsidRPr="00370D82">
        <w:rPr>
          <w:rFonts w:cs="Calibri"/>
        </w:rPr>
        <w:t xml:space="preserve">el periodo reportado obtuvo ingresos derivados de dos conceptos: 1) Subsidio del Gobierno del Estado y 2) Ingresos por sanciones a partidos políticos, ambos suministrados a través de la Secretaría </w:t>
      </w:r>
      <w:r w:rsidR="00020891">
        <w:rPr>
          <w:rFonts w:cs="Calibri"/>
        </w:rPr>
        <w:t>de Finanzas</w:t>
      </w:r>
      <w:r w:rsidR="00370D82" w:rsidRPr="00370D82">
        <w:rPr>
          <w:rFonts w:cs="Calibri"/>
        </w:rPr>
        <w:t>, con los cuales se fondeó tanto la operación como los proyectos específicos desarrollados.</w:t>
      </w:r>
    </w:p>
    <w:p w14:paraId="2E0D1567" w14:textId="47FB29F2" w:rsidR="009A2278" w:rsidRDefault="00EE4779" w:rsidP="00CB41C4">
      <w:pPr>
        <w:tabs>
          <w:tab w:val="left" w:leader="underscore" w:pos="9639"/>
        </w:tabs>
        <w:spacing w:after="0" w:line="240" w:lineRule="auto"/>
        <w:jc w:val="both"/>
        <w:rPr>
          <w:rFonts w:cs="Calibri"/>
        </w:rPr>
      </w:pPr>
      <w:r>
        <w:rPr>
          <w:rFonts w:cs="Calibri"/>
        </w:rPr>
        <w:lastRenderedPageBreak/>
        <w:t>Por lo anterior es importarte precisar que</w:t>
      </w:r>
      <w:r w:rsidR="00DF637F">
        <w:rPr>
          <w:rFonts w:cs="Calibri"/>
        </w:rPr>
        <w:t xml:space="preserve"> el Instituto </w:t>
      </w:r>
      <w:r w:rsidR="002F5443">
        <w:rPr>
          <w:rFonts w:cs="Calibri"/>
        </w:rPr>
        <w:t xml:space="preserve">obtiene los ingresos por sanciones a partidos políticos </w:t>
      </w:r>
      <w:r>
        <w:rPr>
          <w:rFonts w:cs="Calibri"/>
        </w:rPr>
        <w:t>de acuerdo</w:t>
      </w:r>
      <w:r w:rsidR="002F5443">
        <w:rPr>
          <w:rFonts w:ascii="Arial" w:hAnsi="Arial" w:cs="Arial"/>
          <w:color w:val="202124"/>
          <w:sz w:val="21"/>
          <w:szCs w:val="21"/>
        </w:rPr>
        <w:t xml:space="preserve"> </w:t>
      </w:r>
      <w:r w:rsidR="002F5443" w:rsidRPr="00EE4779">
        <w:rPr>
          <w:rFonts w:cs="Calibri"/>
        </w:rPr>
        <w:t>a lo establecido en el numeral 8 del artículo 458 de la Ley General de Instituciones y Procedimientos Electorales y último párrafo del artículo 355 de la Ley de Instituciones y Procedimientos Electorales para el Estado de Guan</w:t>
      </w:r>
      <w:r w:rsidR="004A312F">
        <w:rPr>
          <w:rFonts w:cs="Calibri"/>
        </w:rPr>
        <w:t>ajuato, al periodo que se reporta</w:t>
      </w:r>
      <w:r w:rsidR="009A2278">
        <w:rPr>
          <w:rFonts w:cs="Calibri"/>
        </w:rPr>
        <w:t xml:space="preserve"> se</w:t>
      </w:r>
      <w:r w:rsidR="004A312F">
        <w:rPr>
          <w:rFonts w:cs="Calibri"/>
        </w:rPr>
        <w:t xml:space="preserve"> </w:t>
      </w:r>
      <w:r w:rsidR="009A2278">
        <w:rPr>
          <w:rFonts w:cs="Calibri"/>
        </w:rPr>
        <w:t>cuenta con un</w:t>
      </w:r>
      <w:r w:rsidR="001D053B">
        <w:rPr>
          <w:rFonts w:cs="Calibri"/>
        </w:rPr>
        <w:t xml:space="preserve"> importe disponible por recaudar de </w:t>
      </w:r>
      <w:r w:rsidR="00B404E3" w:rsidRPr="009F7F70">
        <w:rPr>
          <w:rFonts w:cs="Calibri"/>
        </w:rPr>
        <w:t>$</w:t>
      </w:r>
      <w:r w:rsidR="009F7F70" w:rsidRPr="009F7F70">
        <w:rPr>
          <w:rFonts w:cs="Calibri"/>
        </w:rPr>
        <w:t>23,931,621.90</w:t>
      </w:r>
    </w:p>
    <w:p w14:paraId="53D5EDAF" w14:textId="77777777" w:rsidR="00B404E3" w:rsidRPr="00E74967" w:rsidRDefault="00B404E3"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6BDB0893" w:rsidR="007D1E76" w:rsidRDefault="00567EE7" w:rsidP="00CB41C4">
      <w:pPr>
        <w:tabs>
          <w:tab w:val="left" w:leader="underscore" w:pos="9639"/>
        </w:tabs>
        <w:spacing w:after="0" w:line="240" w:lineRule="auto"/>
        <w:jc w:val="both"/>
        <w:rPr>
          <w:rFonts w:cs="Calibri"/>
        </w:rPr>
      </w:pPr>
      <w:r>
        <w:rPr>
          <w:rFonts w:cs="Calibri"/>
        </w:rPr>
        <w:t xml:space="preserve">El Instituto fue creado el 08 de septiembre de 2020, a través del </w:t>
      </w:r>
      <w:r w:rsidRPr="00567EE7">
        <w:rPr>
          <w:rFonts w:cs="Calibri"/>
        </w:rPr>
        <w:t>Decreto Gubernativo 64 publicado en el Periódico Oficial del Gobierno del Estado de Guanajuato el 07 de septiembre de 2020</w:t>
      </w:r>
      <w:r>
        <w:rPr>
          <w:rFonts w:cs="Calibri"/>
        </w:rPr>
        <w:t>.</w:t>
      </w:r>
    </w:p>
    <w:p w14:paraId="03485DA9" w14:textId="77777777" w:rsidR="00567EE7" w:rsidRPr="00E74967" w:rsidRDefault="00567EE7"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09F3A342"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se han realizado cambios.</w:t>
      </w:r>
    </w:p>
    <w:p w14:paraId="62CADEEF" w14:textId="77777777" w:rsidR="0084222E" w:rsidRPr="00E74967" w:rsidRDefault="0084222E"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0AF87B3E" w:rsidR="007D1E76" w:rsidRPr="00E74967" w:rsidRDefault="00567EE7" w:rsidP="00CB41C4">
      <w:pPr>
        <w:tabs>
          <w:tab w:val="left" w:leader="underscore" w:pos="9639"/>
        </w:tabs>
        <w:spacing w:after="0" w:line="240" w:lineRule="auto"/>
        <w:jc w:val="both"/>
        <w:rPr>
          <w:rFonts w:cs="Calibri"/>
        </w:rPr>
      </w:pPr>
      <w:r>
        <w:t>Formular, fomentar, promover, implementar y evaluar la política pública en materia de ciencia, tecnología, innovación y emprendimiento, mediante la coordinación y articulación de los actores y organismos involucrados, orientados a favorecer el desarrollo y la aplicación del conocimiento en los ámbitos social, cultural, económico, educativo, sustentable y gubernamental para la mejora de la competitividad del Estado.</w:t>
      </w:r>
    </w:p>
    <w:p w14:paraId="43C65E00" w14:textId="3FE3CAF9" w:rsidR="007D1E76" w:rsidRDefault="007D1E76" w:rsidP="00CB41C4">
      <w:pPr>
        <w:tabs>
          <w:tab w:val="left" w:leader="underscore" w:pos="9639"/>
        </w:tabs>
        <w:spacing w:after="0" w:line="240" w:lineRule="auto"/>
        <w:jc w:val="both"/>
        <w:rPr>
          <w:rFonts w:cs="Calibri"/>
        </w:rPr>
      </w:pPr>
    </w:p>
    <w:p w14:paraId="20EE9B5C" w14:textId="77777777" w:rsidR="00891FF9" w:rsidRPr="00E74967" w:rsidRDefault="00891FF9"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73C4881" w:rsidR="007D1E76" w:rsidRDefault="00567EE7" w:rsidP="00CB41C4">
      <w:pPr>
        <w:tabs>
          <w:tab w:val="left" w:leader="underscore" w:pos="9639"/>
        </w:tabs>
        <w:spacing w:after="0" w:line="240" w:lineRule="auto"/>
        <w:jc w:val="both"/>
        <w:rPr>
          <w:rFonts w:cs="Calibri"/>
        </w:rPr>
      </w:pPr>
      <w:r>
        <w:rPr>
          <w:rFonts w:cs="Calibri"/>
        </w:rPr>
        <w:t xml:space="preserve">Emitir las políticas públicas en materia </w:t>
      </w:r>
      <w:r>
        <w:t xml:space="preserve">de innovación, </w:t>
      </w:r>
      <w:r w:rsidR="00AF01AC">
        <w:t xml:space="preserve">emprendimiento, </w:t>
      </w:r>
      <w:r>
        <w:t>ciencia y tecnología.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EB3DA5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04F7186A" w14:textId="472D074B" w:rsidR="007D1E76" w:rsidRPr="00E74967" w:rsidRDefault="009A2278" w:rsidP="00CB41C4">
      <w:pPr>
        <w:tabs>
          <w:tab w:val="left" w:leader="underscore" w:pos="9639"/>
        </w:tabs>
        <w:spacing w:after="0" w:line="240" w:lineRule="auto"/>
        <w:jc w:val="both"/>
        <w:rPr>
          <w:rFonts w:cs="Calibri"/>
        </w:rPr>
      </w:pPr>
      <w:r>
        <w:rPr>
          <w:rFonts w:cs="Calibri"/>
        </w:rPr>
        <w:t>Enero a diciembre 2024</w:t>
      </w:r>
      <w:r w:rsidR="00567EE7">
        <w:rPr>
          <w:rFonts w:cs="Calibri"/>
        </w:rPr>
        <w:t>.</w:t>
      </w:r>
    </w:p>
    <w:p w14:paraId="16703E54" w14:textId="3C384D70" w:rsidR="007D1E76" w:rsidRDefault="007D1E76" w:rsidP="00CB41C4">
      <w:pPr>
        <w:tabs>
          <w:tab w:val="left" w:leader="underscore" w:pos="9639"/>
        </w:tabs>
        <w:spacing w:after="0" w:line="240" w:lineRule="auto"/>
        <w:jc w:val="both"/>
        <w:rPr>
          <w:rFonts w:cs="Calibri"/>
        </w:rPr>
      </w:pPr>
    </w:p>
    <w:p w14:paraId="56FF9528" w14:textId="77777777" w:rsidR="00B404E3" w:rsidRPr="00E74967" w:rsidRDefault="00B404E3" w:rsidP="00CB41C4">
      <w:pPr>
        <w:tabs>
          <w:tab w:val="left" w:leader="underscore" w:pos="9639"/>
        </w:tabs>
        <w:spacing w:after="0" w:line="240" w:lineRule="auto"/>
        <w:jc w:val="both"/>
        <w:rPr>
          <w:rFonts w:cs="Calibri"/>
        </w:rPr>
      </w:pPr>
    </w:p>
    <w:p w14:paraId="6B13C93F" w14:textId="3AA3FE0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006A63B3">
        <w:rPr>
          <w:rFonts w:cs="Calibri"/>
        </w:rPr>
        <w:t xml:space="preserve"> Régimen jurídico.</w:t>
      </w:r>
    </w:p>
    <w:p w14:paraId="711C6095" w14:textId="40CC92AD" w:rsidR="007D1E76" w:rsidRPr="00E74967" w:rsidRDefault="00567EE7" w:rsidP="00CB41C4">
      <w:pPr>
        <w:tabs>
          <w:tab w:val="left" w:leader="underscore" w:pos="9639"/>
        </w:tabs>
        <w:spacing w:after="0" w:line="240" w:lineRule="auto"/>
        <w:jc w:val="both"/>
        <w:rPr>
          <w:rFonts w:cs="Calibri"/>
        </w:rPr>
      </w:pPr>
      <w:r w:rsidRPr="00567EE7">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324B9C8A" w:rsidR="007D1E76" w:rsidRPr="00E74967" w:rsidRDefault="00567EE7" w:rsidP="00CB41C4">
      <w:pPr>
        <w:tabs>
          <w:tab w:val="left" w:leader="underscore" w:pos="9639"/>
        </w:tabs>
        <w:spacing w:after="0" w:line="240" w:lineRule="auto"/>
        <w:jc w:val="both"/>
        <w:rPr>
          <w:rFonts w:cs="Calibri"/>
        </w:rPr>
      </w:pPr>
      <w:r w:rsidRPr="00567EE7">
        <w:rPr>
          <w:rFonts w:cs="Calibri"/>
        </w:rPr>
        <w:t>ISR retenciones por salarios</w:t>
      </w:r>
      <w:r>
        <w:rPr>
          <w:rFonts w:cs="Calibri"/>
        </w:rPr>
        <w:t xml:space="preserve">, </w:t>
      </w:r>
      <w:r w:rsidRPr="00567EE7">
        <w:rPr>
          <w:rFonts w:cs="Calibri"/>
        </w:rPr>
        <w:t>ISR retenciones por asimilados a salarios</w:t>
      </w:r>
      <w:r>
        <w:rPr>
          <w:rFonts w:cs="Calibri"/>
        </w:rPr>
        <w:t xml:space="preserve">, </w:t>
      </w:r>
      <w:r w:rsidRPr="00567EE7">
        <w:rPr>
          <w:rFonts w:cs="Calibri"/>
        </w:rPr>
        <w:t>ISR retenciones por servicios profesionales</w:t>
      </w:r>
      <w:r>
        <w:rPr>
          <w:rFonts w:cs="Calibri"/>
        </w:rPr>
        <w:t>, retención de impuesto cedular 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5B18075" w:rsidR="007D1E76" w:rsidRDefault="007D1E76" w:rsidP="003270D4">
      <w:pPr>
        <w:tabs>
          <w:tab w:val="left" w:leader="underscore" w:pos="9639"/>
        </w:tabs>
        <w:spacing w:after="0" w:line="240" w:lineRule="auto"/>
        <w:jc w:val="both"/>
        <w:rPr>
          <w:rFonts w:cs="Calibri"/>
        </w:rPr>
      </w:pPr>
    </w:p>
    <w:p w14:paraId="359A0E8D" w14:textId="66443A95" w:rsidR="003270D4" w:rsidRPr="00E74967" w:rsidRDefault="00B46F18" w:rsidP="003270D4">
      <w:pPr>
        <w:tabs>
          <w:tab w:val="left" w:leader="underscore" w:pos="9639"/>
        </w:tabs>
        <w:spacing w:after="0" w:line="240" w:lineRule="auto"/>
        <w:jc w:val="both"/>
        <w:rPr>
          <w:rFonts w:cs="Calibri"/>
        </w:rPr>
      </w:pPr>
      <w:r w:rsidRPr="00B46F18">
        <w:rPr>
          <w:noProof/>
          <w:lang w:eastAsia="es-MX"/>
        </w:rPr>
        <w:t xml:space="preserve"> </w:t>
      </w:r>
      <w:r w:rsidR="000D69D6" w:rsidRPr="000D69D6">
        <w:rPr>
          <w:noProof/>
          <w:lang w:eastAsia="es-MX"/>
        </w:rPr>
        <w:drawing>
          <wp:inline distT="0" distB="0" distL="0" distR="0" wp14:anchorId="628863EF" wp14:editId="6CDA086D">
            <wp:extent cx="5105400" cy="3090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9199" cy="3092925"/>
                    </a:xfrm>
                    <a:prstGeom prst="rect">
                      <a:avLst/>
                    </a:prstGeom>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3619C924"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891FF9">
        <w:rPr>
          <w:rFonts w:cs="Calibri"/>
        </w:rPr>
        <w:t xml:space="preserve"> ya que no es fideicomitente ni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03E15B" w:rsidR="007D1E76" w:rsidRPr="00E74967" w:rsidRDefault="00A20687" w:rsidP="00CB41C4">
      <w:pPr>
        <w:tabs>
          <w:tab w:val="left" w:leader="underscore" w:pos="9639"/>
        </w:tabs>
        <w:spacing w:after="0" w:line="240" w:lineRule="auto"/>
        <w:jc w:val="both"/>
        <w:rPr>
          <w:rFonts w:cs="Calibri"/>
        </w:rPr>
      </w:pPr>
      <w:r>
        <w:rPr>
          <w:rFonts w:cs="Calibri"/>
        </w:rPr>
        <w:t>La emisión de información financiera toma como base las normas emitidas por la CONAC y demás disposiciones legales que aplican para cada caso.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FC5D2E1" w14:textId="77777777" w:rsidR="00891FF9" w:rsidRDefault="00891FF9" w:rsidP="00CB41C4">
      <w:pPr>
        <w:tabs>
          <w:tab w:val="left" w:leader="underscore" w:pos="9639"/>
        </w:tabs>
        <w:spacing w:after="0" w:line="240" w:lineRule="auto"/>
        <w:jc w:val="both"/>
        <w:rPr>
          <w:rFonts w:cs="Calibri"/>
        </w:rPr>
      </w:pPr>
    </w:p>
    <w:p w14:paraId="1F9EE54B" w14:textId="273CBA5A" w:rsidR="007D1E76" w:rsidRPr="00E74967" w:rsidRDefault="00A20687" w:rsidP="00CB41C4">
      <w:pPr>
        <w:tabs>
          <w:tab w:val="left" w:leader="underscore" w:pos="9639"/>
        </w:tabs>
        <w:spacing w:after="0" w:line="240" w:lineRule="auto"/>
        <w:jc w:val="both"/>
        <w:rPr>
          <w:rFonts w:cs="Calibri"/>
        </w:rPr>
      </w:pPr>
      <w:r>
        <w:rPr>
          <w:rFonts w:cs="Calibri"/>
        </w:rPr>
        <w:t>La información financiera generada por el Instituto se realiza en función de los criterios y normas emitidas por los entes normativos aplicables.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35E98738" w:rsidR="007D1E76" w:rsidRPr="00E74967" w:rsidRDefault="00CF18AC" w:rsidP="00CB41C4">
      <w:pPr>
        <w:tabs>
          <w:tab w:val="left" w:leader="underscore" w:pos="9639"/>
        </w:tabs>
        <w:spacing w:after="0" w:line="240" w:lineRule="auto"/>
        <w:jc w:val="both"/>
        <w:rPr>
          <w:rFonts w:cs="Calibri"/>
        </w:rPr>
      </w:pPr>
      <w:r>
        <w:rPr>
          <w:rFonts w:cs="Calibri"/>
        </w:rPr>
        <w:t>La información financiera generada por el Instituto observa los postulados básicos de contabilidad.</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4014C50" w14:textId="77777777" w:rsidR="00891FF9" w:rsidRDefault="00891FF9" w:rsidP="0084222E">
      <w:pPr>
        <w:tabs>
          <w:tab w:val="left" w:leader="underscore" w:pos="9639"/>
        </w:tabs>
        <w:spacing w:after="0" w:line="240" w:lineRule="auto"/>
        <w:jc w:val="both"/>
        <w:rPr>
          <w:rFonts w:cs="Calibri"/>
        </w:rPr>
      </w:pPr>
    </w:p>
    <w:p w14:paraId="02977AB3" w14:textId="230FCF5E"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sidR="00891FF9">
        <w:rPr>
          <w:rFonts w:cs="Calibri"/>
        </w:rPr>
        <w:t xml:space="preserve"> ya que no cuenta con normatividad supletoria.</w:t>
      </w:r>
    </w:p>
    <w:p w14:paraId="4A184C2C" w14:textId="77777777" w:rsidR="0084222E" w:rsidRDefault="0084222E" w:rsidP="00CB41C4">
      <w:pPr>
        <w:tabs>
          <w:tab w:val="left" w:leader="underscore" w:pos="9639"/>
        </w:tabs>
        <w:spacing w:after="0" w:line="240" w:lineRule="auto"/>
        <w:jc w:val="both"/>
        <w:rPr>
          <w:rFonts w:cs="Calibri"/>
          <w:b/>
        </w:rPr>
      </w:pPr>
    </w:p>
    <w:p w14:paraId="084AD24A" w14:textId="1ED7710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0916BEA"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3FB41C9"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9123E8B"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15E862C4"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ha habido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48B98FB4"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existen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7324D84D" w:rsidR="007D1E76"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tiene este tipo de inversión.</w:t>
      </w:r>
    </w:p>
    <w:p w14:paraId="023DE97F" w14:textId="77777777" w:rsidR="0084222E" w:rsidRPr="00E74967" w:rsidRDefault="0084222E"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D168F99"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ya que durante el periodo reportado no se contó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5EDA67A"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CF18AC">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DC9E105" w14:textId="77777777" w:rsidR="0084222E"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w:t>
      </w:r>
    </w:p>
    <w:p w14:paraId="1E2D3FB2" w14:textId="77777777" w:rsidR="0084222E" w:rsidRDefault="0084222E" w:rsidP="00CB41C4">
      <w:pPr>
        <w:tabs>
          <w:tab w:val="left" w:leader="underscore" w:pos="9639"/>
        </w:tabs>
        <w:spacing w:after="0" w:line="240" w:lineRule="auto"/>
        <w:jc w:val="both"/>
        <w:rPr>
          <w:rFonts w:cs="Calibri"/>
        </w:rPr>
      </w:pPr>
    </w:p>
    <w:p w14:paraId="4190001D" w14:textId="3A6DB7B4"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90CA0A6"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CF019AB"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5F3D45D" w:rsidR="007D1E76" w:rsidRPr="00E74967" w:rsidRDefault="0084222E" w:rsidP="0084222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02C28F78" w14:textId="54EC40C5"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no se han realizado estas actividades.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3E843A04"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0139F8"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w:t>
      </w:r>
      <w:r w:rsidR="005B798F">
        <w:rPr>
          <w:rFonts w:cs="Calibri"/>
        </w:rPr>
        <w:t>o se cuenta con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1EAB8BFF"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w:t>
      </w:r>
      <w:r w:rsidR="005B798F">
        <w:rPr>
          <w:rFonts w:cs="Calibri"/>
        </w:rPr>
        <w:t>o se cuenta con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24EE806E"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w:t>
      </w:r>
      <w:r w:rsidR="005B798F">
        <w:rPr>
          <w:rFonts w:cs="Calibri"/>
        </w:rPr>
        <w:t>o se cuenta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4622D3D" w:rsidR="007D1E76" w:rsidRPr="00E74967" w:rsidRDefault="0084222E" w:rsidP="00CB41C4">
      <w:pPr>
        <w:tabs>
          <w:tab w:val="left" w:leader="underscore" w:pos="9639"/>
        </w:tabs>
        <w:spacing w:after="0" w:line="240" w:lineRule="auto"/>
        <w:jc w:val="both"/>
        <w:rPr>
          <w:rFonts w:cs="Calibri"/>
        </w:rPr>
      </w:pPr>
      <w:r w:rsidRPr="0084222E">
        <w:rPr>
          <w:rFonts w:cs="Calibri"/>
        </w:rPr>
        <w:t>Esta nota no le aplica al ente público</w:t>
      </w:r>
      <w:r w:rsidR="005B798F">
        <w:rPr>
          <w:rFonts w:cs="Calibri"/>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30DDC2C3" w:rsidR="007D1E76"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92A31B8" w14:textId="77777777" w:rsidR="00014F2B" w:rsidRPr="00E74967" w:rsidRDefault="00014F2B"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1520A116" w:rsidR="007D1E76" w:rsidRDefault="00CB5656" w:rsidP="00CB41C4">
      <w:pPr>
        <w:tabs>
          <w:tab w:val="left" w:leader="underscore" w:pos="9639"/>
        </w:tabs>
        <w:spacing w:after="0" w:line="240" w:lineRule="auto"/>
        <w:jc w:val="both"/>
        <w:rPr>
          <w:rFonts w:cs="Calibri"/>
        </w:rPr>
      </w:pPr>
      <w:r>
        <w:rPr>
          <w:rFonts w:cs="Calibri"/>
        </w:rPr>
        <w:t>Se aplica el 10% y el 33.3% según corresponda.</w:t>
      </w:r>
    </w:p>
    <w:p w14:paraId="1FD08B28" w14:textId="77777777" w:rsidR="00CB5656" w:rsidRPr="00E74967" w:rsidRDefault="00CB565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545CF5F3"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7D1F662D" w14:textId="41728900"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tuvieron capitalizaciones</w:t>
      </w:r>
      <w:r w:rsidR="00014F2B">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646BE5DB" w:rsidR="007D1E76" w:rsidRPr="00E74967" w:rsidRDefault="00802CD6" w:rsidP="00802CD6">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tienen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A4A4D0B" w:rsidR="007D1E76" w:rsidRDefault="00802CD6" w:rsidP="00802CD6">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0F7AA845" w14:textId="77777777" w:rsidR="00802CD6" w:rsidRPr="00E74967" w:rsidRDefault="00802CD6" w:rsidP="00802CD6">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3BF0B2B"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DCBF8BC"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5348966" w:rsidR="005E231E"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76485F90" w14:textId="77777777" w:rsidR="00014F2B" w:rsidRPr="00E74967" w:rsidRDefault="00014F2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23B03F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07C9F50"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5A9CB9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432E4D04"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02B82176" w:rsidR="007D1E76" w:rsidRPr="00E74967" w:rsidRDefault="00802CD6" w:rsidP="00CB41C4">
      <w:pPr>
        <w:tabs>
          <w:tab w:val="left" w:leader="underscore" w:pos="9639"/>
        </w:tabs>
        <w:spacing w:after="0" w:line="240" w:lineRule="auto"/>
        <w:jc w:val="both"/>
        <w:rPr>
          <w:rFonts w:cs="Calibri"/>
        </w:rPr>
      </w:pPr>
      <w:r w:rsidRPr="0084222E">
        <w:rPr>
          <w:rFonts w:cs="Calibri"/>
        </w:rPr>
        <w:lastRenderedPageBreak/>
        <w:t>Esta nota no le aplica al ente público</w:t>
      </w:r>
      <w:r w:rsidR="00014F2B">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2A4FE5DE"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3070BB2C" w:rsidR="007D1E76" w:rsidRPr="00E74967" w:rsidRDefault="00802CD6" w:rsidP="00CB41C4">
      <w:pPr>
        <w:tabs>
          <w:tab w:val="left" w:leader="underscore" w:pos="9639"/>
        </w:tabs>
        <w:spacing w:after="0" w:line="240" w:lineRule="auto"/>
        <w:jc w:val="both"/>
        <w:rPr>
          <w:rFonts w:cs="Calibri"/>
        </w:rPr>
      </w:pPr>
      <w:r w:rsidRPr="0084222E">
        <w:rPr>
          <w:rFonts w:cs="Calibri"/>
        </w:rPr>
        <w:t>Esta nota no le aplica al ente público</w:t>
      </w:r>
      <w:r w:rsidR="00014F2B">
        <w:rPr>
          <w:rFonts w:cs="Calibri"/>
        </w:rPr>
        <w:t>.</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F3AFB0A" w14:textId="0D8F39DC" w:rsidR="00B21D42" w:rsidRDefault="00014F2B" w:rsidP="00B21D42">
      <w:pPr>
        <w:spacing w:after="0" w:line="240" w:lineRule="auto"/>
        <w:jc w:val="both"/>
        <w:rPr>
          <w:rFonts w:cs="Calibri"/>
        </w:rPr>
      </w:pPr>
      <w:r>
        <w:rPr>
          <w:rFonts w:cs="Calibri"/>
        </w:rPr>
        <w:t>Durante</w:t>
      </w:r>
      <w:r w:rsidR="00891FF9">
        <w:rPr>
          <w:rFonts w:cs="Calibri"/>
        </w:rPr>
        <w:t xml:space="preserve"> el periodo reportado se devengaron</w:t>
      </w:r>
      <w:r>
        <w:rPr>
          <w:rFonts w:cs="Calibri"/>
        </w:rPr>
        <w:t xml:space="preserve"> </w:t>
      </w:r>
      <w:r w:rsidR="00891FF9">
        <w:rPr>
          <w:rFonts w:cs="Calibri"/>
        </w:rPr>
        <w:t xml:space="preserve">y recaudaron ingresos por </w:t>
      </w:r>
      <w:r>
        <w:rPr>
          <w:rFonts w:cs="Calibri"/>
        </w:rPr>
        <w:t xml:space="preserve">la cantidad de </w:t>
      </w:r>
      <w:r w:rsidR="00871A12">
        <w:rPr>
          <w:rFonts w:cs="Calibri"/>
        </w:rPr>
        <w:t>$</w:t>
      </w:r>
      <w:r w:rsidR="005A41EE">
        <w:rPr>
          <w:rFonts w:cs="Calibri"/>
        </w:rPr>
        <w:t xml:space="preserve"> </w:t>
      </w:r>
      <w:r w:rsidR="009F7F70" w:rsidRPr="009F7F70">
        <w:rPr>
          <w:rFonts w:cs="Calibri"/>
        </w:rPr>
        <w:t>114,369,759.60</w:t>
      </w:r>
    </w:p>
    <w:p w14:paraId="015162E0" w14:textId="77777777" w:rsidR="00B404E3" w:rsidRPr="00E74967" w:rsidRDefault="00B404E3" w:rsidP="00B21D42">
      <w:pPr>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25746D41" w:rsidR="007D1E76" w:rsidRPr="00E74967" w:rsidRDefault="00871A12" w:rsidP="00B72520">
      <w:pPr>
        <w:spacing w:after="0" w:line="240" w:lineRule="auto"/>
        <w:jc w:val="both"/>
        <w:rPr>
          <w:rFonts w:cs="Calibri"/>
        </w:rPr>
      </w:pPr>
      <w:r>
        <w:rPr>
          <w:rFonts w:cs="Calibri"/>
        </w:rPr>
        <w:t>La proyección de la r</w:t>
      </w:r>
      <w:r w:rsidR="00B21D42">
        <w:rPr>
          <w:rFonts w:cs="Calibri"/>
        </w:rPr>
        <w:t>ecaudación de ingresos para 2024</w:t>
      </w:r>
      <w:r>
        <w:rPr>
          <w:rFonts w:cs="Calibri"/>
        </w:rPr>
        <w:t xml:space="preserve"> es de </w:t>
      </w:r>
      <w:r w:rsidR="009A2278">
        <w:rPr>
          <w:rFonts w:cs="Calibri"/>
        </w:rPr>
        <w:t>$</w:t>
      </w:r>
      <w:r w:rsidR="009A2278" w:rsidRPr="009A2278">
        <w:rPr>
          <w:rFonts w:cs="Calibri"/>
        </w:rPr>
        <w:t>58</w:t>
      </w:r>
      <w:r w:rsidR="009A2278">
        <w:rPr>
          <w:rFonts w:cs="Calibri"/>
        </w:rPr>
        <w:t>,</w:t>
      </w:r>
      <w:r w:rsidR="009A2278" w:rsidRPr="009A2278">
        <w:rPr>
          <w:rFonts w:cs="Calibri"/>
        </w:rPr>
        <w:t>975</w:t>
      </w:r>
      <w:r w:rsidR="009A2278">
        <w:rPr>
          <w:rFonts w:cs="Calibri"/>
        </w:rPr>
        <w:t>,</w:t>
      </w:r>
      <w:r w:rsidR="009A2278" w:rsidRPr="009A2278">
        <w:rPr>
          <w:rFonts w:cs="Calibri"/>
        </w:rPr>
        <w:t>006.57</w:t>
      </w:r>
      <w:r w:rsidR="009A2278">
        <w:rPr>
          <w:rFonts w:cs="Calibri"/>
        </w:rPr>
        <w:t xml:space="preserve"> </w:t>
      </w:r>
      <w:r w:rsidR="009B584D">
        <w:rPr>
          <w:rFonts w:cs="Calibri"/>
        </w:rPr>
        <w:t>int</w:t>
      </w:r>
      <w:r w:rsidR="007E7CEF">
        <w:rPr>
          <w:rFonts w:cs="Calibri"/>
        </w:rPr>
        <w:t xml:space="preserve">egrados </w:t>
      </w:r>
      <w:r w:rsidR="009B584D">
        <w:rPr>
          <w:rFonts w:cs="Calibri"/>
        </w:rPr>
        <w:t xml:space="preserve">por concepto de subsidios otorgado por el Gobierno del Estado </w:t>
      </w:r>
      <w:r w:rsidR="007E7CEF">
        <w:rPr>
          <w:rFonts w:cs="Calibri"/>
        </w:rPr>
        <w:t>de Guanajuato</w:t>
      </w:r>
      <w:r w:rsidR="00B21D42">
        <w:rPr>
          <w:rFonts w:cs="Calibri"/>
        </w:rPr>
        <w:t xml:space="preserve"> e Ingresos Propios.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57DD74B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5D4B055" w14:textId="3094EC2A" w:rsidR="00871A12"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0F5C02C2"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71A12">
        <w:rPr>
          <w:rFonts w:cs="Calibri"/>
        </w:rPr>
        <w:t>.</w:t>
      </w:r>
    </w:p>
    <w:p w14:paraId="409B1D78" w14:textId="772B6D16" w:rsidR="007D1E76" w:rsidRDefault="007D1E76" w:rsidP="00CB41C4">
      <w:pPr>
        <w:tabs>
          <w:tab w:val="left" w:leader="underscore" w:pos="9639"/>
        </w:tabs>
        <w:spacing w:after="0" w:line="240" w:lineRule="auto"/>
        <w:jc w:val="both"/>
        <w:rPr>
          <w:rFonts w:cs="Calibri"/>
        </w:rPr>
      </w:pPr>
    </w:p>
    <w:p w14:paraId="5804E93D" w14:textId="77777777" w:rsidR="007C59EC" w:rsidRPr="00E74967" w:rsidRDefault="007C59EC"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63BEA72D" w:rsidR="007D1E76" w:rsidRPr="00E74967" w:rsidRDefault="00C357D4" w:rsidP="00C357D4">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6336E46C" w14:textId="77777777" w:rsidR="00C357D4" w:rsidRDefault="00C357D4" w:rsidP="000C3365">
      <w:pPr>
        <w:pStyle w:val="Ttulo2"/>
        <w:rPr>
          <w:rFonts w:asciiTheme="minorHAnsi" w:hAnsiTheme="minorHAnsi" w:cstheme="minorHAnsi"/>
          <w:b/>
          <w:color w:val="auto"/>
          <w:sz w:val="22"/>
        </w:rPr>
      </w:pPr>
      <w:bookmarkStart w:id="12" w:name="_Toc508279633"/>
    </w:p>
    <w:p w14:paraId="10B4C763" w14:textId="4C909F2A"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C19BD2D" w:rsidR="007D1E76" w:rsidRPr="00E74967" w:rsidRDefault="00871A12" w:rsidP="00CB41C4">
      <w:pPr>
        <w:tabs>
          <w:tab w:val="left" w:leader="underscore" w:pos="9639"/>
        </w:tabs>
        <w:spacing w:after="0" w:line="240" w:lineRule="auto"/>
        <w:jc w:val="both"/>
        <w:rPr>
          <w:rFonts w:cs="Calibri"/>
        </w:rPr>
      </w:pPr>
      <w:r>
        <w:rPr>
          <w:rFonts w:cs="Calibri"/>
        </w:rPr>
        <w:t xml:space="preserve">Se aplican las disposiciones </w:t>
      </w:r>
      <w:r w:rsidR="0084222E">
        <w:rPr>
          <w:rFonts w:cs="Calibri"/>
        </w:rPr>
        <w:t>administrativas emitidas por la Secretaría de Finanzas</w:t>
      </w:r>
      <w:bookmarkStart w:id="13" w:name="_GoBack"/>
      <w:bookmarkEnd w:id="13"/>
      <w:r w:rsidR="0084222E">
        <w:rPr>
          <w:rFonts w:cs="Calibri"/>
        </w:rPr>
        <w:t>, así como las recomendaciones realizadas por el órgano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89FF952"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4222E">
        <w:rPr>
          <w:rFonts w:cs="Calibri"/>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3EEA74D9"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3918C90" w14:textId="657EADF4" w:rsidR="0084222E" w:rsidRDefault="0084222E" w:rsidP="00CB41C4">
      <w:pPr>
        <w:tabs>
          <w:tab w:val="left" w:leader="underscore" w:pos="9639"/>
        </w:tabs>
        <w:spacing w:after="0" w:line="240" w:lineRule="auto"/>
        <w:jc w:val="both"/>
        <w:rPr>
          <w:rFonts w:cs="Calibri"/>
        </w:rPr>
      </w:pPr>
    </w:p>
    <w:p w14:paraId="4054793D" w14:textId="3C2B73D8"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sidR="0084222E">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32DEBD81" w14:textId="77777777" w:rsidR="007E7CEF" w:rsidRPr="007E7CEF" w:rsidRDefault="007E7CEF" w:rsidP="007E7CEF">
      <w:bookmarkStart w:id="15" w:name="_Toc508279635"/>
    </w:p>
    <w:p w14:paraId="13D52C8F" w14:textId="77777777" w:rsidR="00A84C28" w:rsidRDefault="00A84C28" w:rsidP="000C3365">
      <w:pPr>
        <w:pStyle w:val="Ttulo2"/>
        <w:rPr>
          <w:rFonts w:asciiTheme="minorHAnsi" w:hAnsiTheme="minorHAnsi" w:cstheme="minorHAnsi"/>
          <w:b/>
          <w:color w:val="auto"/>
          <w:sz w:val="22"/>
        </w:rPr>
      </w:pPr>
    </w:p>
    <w:p w14:paraId="5CE772DA" w14:textId="72AA8C4C"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85590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w:t>
      </w:r>
      <w:r w:rsidR="0084222E">
        <w:rPr>
          <w:rFonts w:cs="Calibri"/>
        </w:rPr>
        <w:t xml:space="preserve">a sobre eventos que le afectan </w:t>
      </w:r>
      <w:r w:rsidRPr="00E74967">
        <w:rPr>
          <w:rFonts w:cs="Calibri"/>
        </w:rPr>
        <w:t>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EC3652E" w14:textId="77777777" w:rsidR="0084222E" w:rsidRDefault="0084222E" w:rsidP="00CB41C4">
      <w:pPr>
        <w:tabs>
          <w:tab w:val="left" w:leader="underscore" w:pos="9639"/>
        </w:tabs>
        <w:spacing w:after="0" w:line="240" w:lineRule="auto"/>
        <w:jc w:val="both"/>
        <w:rPr>
          <w:rFonts w:cs="Calibri"/>
        </w:rPr>
      </w:pPr>
    </w:p>
    <w:p w14:paraId="1F9AFC54" w14:textId="38594971" w:rsidR="007D1E76" w:rsidRPr="00E74967" w:rsidRDefault="00C357D4"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w:t>
      </w:r>
      <w:r w:rsidR="0084222E">
        <w:rPr>
          <w:rFonts w:cs="Calibri"/>
        </w:rPr>
        <w:t>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72661820"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1B86D0C" w14:textId="68AB64B9" w:rsidR="00C357D4" w:rsidRDefault="00C357D4" w:rsidP="00CB41C4">
      <w:pPr>
        <w:tabs>
          <w:tab w:val="left" w:leader="underscore" w:pos="9639"/>
        </w:tabs>
        <w:spacing w:after="0" w:line="240" w:lineRule="auto"/>
        <w:jc w:val="both"/>
        <w:rPr>
          <w:rFonts w:cs="Calibri"/>
        </w:rPr>
      </w:pPr>
    </w:p>
    <w:p w14:paraId="1243EAA5" w14:textId="4D3A369F" w:rsidR="00463254" w:rsidRDefault="00463254" w:rsidP="00CB41C4">
      <w:pPr>
        <w:tabs>
          <w:tab w:val="left" w:leader="underscore" w:pos="9639"/>
        </w:tabs>
        <w:spacing w:after="0" w:line="240" w:lineRule="auto"/>
        <w:jc w:val="both"/>
        <w:rPr>
          <w:rFonts w:cs="Calibri"/>
        </w:rPr>
      </w:pPr>
    </w:p>
    <w:p w14:paraId="4D4E5FD5" w14:textId="1218F3E3" w:rsidR="00463254" w:rsidRDefault="00463254" w:rsidP="00CB41C4">
      <w:pPr>
        <w:tabs>
          <w:tab w:val="left" w:leader="underscore" w:pos="9639"/>
        </w:tabs>
        <w:spacing w:after="0" w:line="240" w:lineRule="auto"/>
        <w:jc w:val="both"/>
        <w:rPr>
          <w:rFonts w:cs="Calibri"/>
        </w:rPr>
      </w:pPr>
      <w:r w:rsidRPr="00463254">
        <w:rPr>
          <w:rFonts w:cs="Calibri"/>
        </w:rPr>
        <w:t>Bajo protesta de decir verdad declaramos que los Estados Financieros y sus notas, son razonablemente correctos y son responsabilidad del emisor.</w:t>
      </w:r>
    </w:p>
    <w:p w14:paraId="47C1F3B2" w14:textId="70987CF0" w:rsidR="00A84C28" w:rsidRDefault="00A84C28" w:rsidP="00CB41C4">
      <w:pPr>
        <w:tabs>
          <w:tab w:val="left" w:leader="underscore" w:pos="9639"/>
        </w:tabs>
        <w:spacing w:after="0" w:line="240" w:lineRule="auto"/>
        <w:jc w:val="both"/>
        <w:rPr>
          <w:rFonts w:cs="Calibri"/>
        </w:rPr>
      </w:pPr>
    </w:p>
    <w:p w14:paraId="24FE07D0" w14:textId="401583A0" w:rsidR="009A2278" w:rsidRDefault="009A2278" w:rsidP="00CB41C4">
      <w:pPr>
        <w:tabs>
          <w:tab w:val="left" w:leader="underscore" w:pos="9639"/>
        </w:tabs>
        <w:spacing w:after="0" w:line="240" w:lineRule="auto"/>
        <w:jc w:val="both"/>
        <w:rPr>
          <w:rFonts w:cs="Calibri"/>
        </w:rPr>
      </w:pPr>
    </w:p>
    <w:p w14:paraId="14676A71" w14:textId="77777777" w:rsidR="009A2278" w:rsidRDefault="009A2278" w:rsidP="00CB41C4">
      <w:pPr>
        <w:tabs>
          <w:tab w:val="left" w:leader="underscore" w:pos="9639"/>
        </w:tabs>
        <w:spacing w:after="0" w:line="240" w:lineRule="auto"/>
        <w:jc w:val="both"/>
        <w:rPr>
          <w:rFonts w:cs="Calibri"/>
        </w:rPr>
      </w:pPr>
    </w:p>
    <w:p w14:paraId="5E13BFDF" w14:textId="4A3B9485" w:rsidR="00A84C28" w:rsidRDefault="00A84C28" w:rsidP="00CB41C4">
      <w:pPr>
        <w:tabs>
          <w:tab w:val="left" w:leader="underscore" w:pos="9639"/>
        </w:tabs>
        <w:spacing w:after="0" w:line="240" w:lineRule="auto"/>
        <w:jc w:val="both"/>
        <w:rPr>
          <w:rFonts w:cs="Calibri"/>
        </w:rPr>
      </w:pPr>
    </w:p>
    <w:p w14:paraId="6ABD9FDC" w14:textId="46680B50" w:rsidR="00A84C28" w:rsidRDefault="00A84C28" w:rsidP="00CB41C4">
      <w:pPr>
        <w:tabs>
          <w:tab w:val="left" w:leader="underscore" w:pos="9639"/>
        </w:tabs>
        <w:spacing w:after="0" w:line="240" w:lineRule="auto"/>
        <w:jc w:val="both"/>
        <w:rPr>
          <w:rFonts w:cs="Calibri"/>
        </w:rPr>
      </w:pPr>
      <w:r>
        <w:rPr>
          <w:rFonts w:cs="Calibri"/>
        </w:rPr>
        <w:t xml:space="preserve">  </w:t>
      </w:r>
    </w:p>
    <w:p w14:paraId="292C0EDB" w14:textId="56004F51" w:rsidR="00C357D4" w:rsidRPr="009A2278" w:rsidRDefault="00C357D4" w:rsidP="009A2278">
      <w:pPr>
        <w:tabs>
          <w:tab w:val="left" w:leader="underscore" w:pos="9639"/>
        </w:tabs>
        <w:spacing w:after="0" w:line="240" w:lineRule="auto"/>
        <w:jc w:val="both"/>
        <w:rPr>
          <w:rFonts w:cs="Calibri"/>
        </w:rPr>
      </w:pPr>
    </w:p>
    <w:sectPr w:rsidR="00C357D4" w:rsidRPr="009A2278" w:rsidSect="00A84C28">
      <w:headerReference w:type="default" r:id="rId13"/>
      <w:footerReference w:type="default" r:id="rId14"/>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BAEB" w14:textId="77777777" w:rsidR="00442A19" w:rsidRDefault="00442A19" w:rsidP="00E00323">
      <w:pPr>
        <w:spacing w:after="0" w:line="240" w:lineRule="auto"/>
      </w:pPr>
      <w:r>
        <w:separator/>
      </w:r>
    </w:p>
  </w:endnote>
  <w:endnote w:type="continuationSeparator" w:id="0">
    <w:p w14:paraId="1D218726" w14:textId="77777777" w:rsidR="00442A19" w:rsidRDefault="00442A1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4A95534" w:rsidR="0012405A" w:rsidRDefault="0012405A">
        <w:pPr>
          <w:pStyle w:val="Piedepgina"/>
          <w:jc w:val="right"/>
        </w:pPr>
        <w:r>
          <w:fldChar w:fldCharType="begin"/>
        </w:r>
        <w:r>
          <w:instrText>PAGE   \* MERGEFORMAT</w:instrText>
        </w:r>
        <w:r>
          <w:fldChar w:fldCharType="separate"/>
        </w:r>
        <w:r w:rsidR="00020891" w:rsidRPr="00020891">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15F6C" w14:textId="77777777" w:rsidR="00442A19" w:rsidRDefault="00442A19" w:rsidP="00E00323">
      <w:pPr>
        <w:spacing w:after="0" w:line="240" w:lineRule="auto"/>
      </w:pPr>
      <w:r>
        <w:separator/>
      </w:r>
    </w:p>
  </w:footnote>
  <w:footnote w:type="continuationSeparator" w:id="0">
    <w:p w14:paraId="6F976874" w14:textId="77777777" w:rsidR="00442A19" w:rsidRDefault="00442A1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56D4" w14:textId="2BCB3E62" w:rsidR="00D20CC9" w:rsidRDefault="00D20CC9" w:rsidP="00A4610E">
    <w:pPr>
      <w:pStyle w:val="Encabezado"/>
      <w:spacing w:after="0" w:line="240" w:lineRule="auto"/>
      <w:jc w:val="center"/>
    </w:pPr>
    <w:r w:rsidRPr="00D20CC9">
      <w:t xml:space="preserve">Instituto de Innovación, Ciencia y Emprendimiento para la Competitividad </w:t>
    </w:r>
  </w:p>
  <w:p w14:paraId="651A4C4F" w14:textId="40F6EE5A" w:rsidR="00A4610E" w:rsidRDefault="009F7F70" w:rsidP="009F7F70">
    <w:pPr>
      <w:pStyle w:val="Encabezado"/>
      <w:spacing w:after="0" w:line="240" w:lineRule="auto"/>
      <w:jc w:val="center"/>
    </w:pPr>
    <w:r>
      <w:t>al 31</w:t>
    </w:r>
    <w:r w:rsidR="00B404E3">
      <w:t xml:space="preserve"> de </w:t>
    </w:r>
    <w:r>
      <w:t>diciembre</w:t>
    </w:r>
    <w:r w:rsidR="00E54C1F">
      <w:t xml:space="preserve"> </w:t>
    </w:r>
    <w:r w:rsidR="00567EE7">
      <w:t>de 202</w:t>
    </w:r>
    <w:r w:rsidR="00B21D42">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F64"/>
    <w:multiLevelType w:val="hybridMultilevel"/>
    <w:tmpl w:val="6760335E"/>
    <w:lvl w:ilvl="0" w:tplc="7A1C0EC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4F2B"/>
    <w:rsid w:val="00020891"/>
    <w:rsid w:val="00034D89"/>
    <w:rsid w:val="00040D4F"/>
    <w:rsid w:val="00070982"/>
    <w:rsid w:val="00084EAE"/>
    <w:rsid w:val="00091CE6"/>
    <w:rsid w:val="000935D0"/>
    <w:rsid w:val="000B7810"/>
    <w:rsid w:val="000C3365"/>
    <w:rsid w:val="000D2961"/>
    <w:rsid w:val="000D69D6"/>
    <w:rsid w:val="0012405A"/>
    <w:rsid w:val="00135505"/>
    <w:rsid w:val="001432C0"/>
    <w:rsid w:val="00154BA3"/>
    <w:rsid w:val="001973A2"/>
    <w:rsid w:val="001C75F2"/>
    <w:rsid w:val="001D053B"/>
    <w:rsid w:val="001D2063"/>
    <w:rsid w:val="001D43E9"/>
    <w:rsid w:val="002053A1"/>
    <w:rsid w:val="002410F4"/>
    <w:rsid w:val="0024133D"/>
    <w:rsid w:val="00272087"/>
    <w:rsid w:val="002B2B31"/>
    <w:rsid w:val="002D14C3"/>
    <w:rsid w:val="002F5443"/>
    <w:rsid w:val="00312A03"/>
    <w:rsid w:val="003236B7"/>
    <w:rsid w:val="003270D4"/>
    <w:rsid w:val="00327AD5"/>
    <w:rsid w:val="003453CA"/>
    <w:rsid w:val="00370D82"/>
    <w:rsid w:val="003C0881"/>
    <w:rsid w:val="00431A5F"/>
    <w:rsid w:val="00435A87"/>
    <w:rsid w:val="00442A19"/>
    <w:rsid w:val="00463254"/>
    <w:rsid w:val="00493825"/>
    <w:rsid w:val="004A312F"/>
    <w:rsid w:val="004A58C8"/>
    <w:rsid w:val="004C61D8"/>
    <w:rsid w:val="004F234D"/>
    <w:rsid w:val="0054701E"/>
    <w:rsid w:val="005674B2"/>
    <w:rsid w:val="00567EE7"/>
    <w:rsid w:val="005A41EE"/>
    <w:rsid w:val="005B5531"/>
    <w:rsid w:val="005B798F"/>
    <w:rsid w:val="005D3E43"/>
    <w:rsid w:val="005E231E"/>
    <w:rsid w:val="005F4588"/>
    <w:rsid w:val="006157C1"/>
    <w:rsid w:val="006537C1"/>
    <w:rsid w:val="00657009"/>
    <w:rsid w:val="00681C79"/>
    <w:rsid w:val="006A63B3"/>
    <w:rsid w:val="006B79FA"/>
    <w:rsid w:val="006D29EA"/>
    <w:rsid w:val="007610BC"/>
    <w:rsid w:val="007714AB"/>
    <w:rsid w:val="007C59EC"/>
    <w:rsid w:val="007D1E76"/>
    <w:rsid w:val="007D4484"/>
    <w:rsid w:val="007E7CEF"/>
    <w:rsid w:val="007F4624"/>
    <w:rsid w:val="00802CD6"/>
    <w:rsid w:val="008077D0"/>
    <w:rsid w:val="0084222E"/>
    <w:rsid w:val="0086459F"/>
    <w:rsid w:val="00871A12"/>
    <w:rsid w:val="008905D9"/>
    <w:rsid w:val="00891FF9"/>
    <w:rsid w:val="008B252F"/>
    <w:rsid w:val="008C3BB8"/>
    <w:rsid w:val="008C639A"/>
    <w:rsid w:val="008E076C"/>
    <w:rsid w:val="00911D86"/>
    <w:rsid w:val="0092765C"/>
    <w:rsid w:val="00990BD5"/>
    <w:rsid w:val="0099642A"/>
    <w:rsid w:val="009A2278"/>
    <w:rsid w:val="009B584D"/>
    <w:rsid w:val="009F7F70"/>
    <w:rsid w:val="00A04C44"/>
    <w:rsid w:val="00A20687"/>
    <w:rsid w:val="00A22F66"/>
    <w:rsid w:val="00A4610E"/>
    <w:rsid w:val="00A64912"/>
    <w:rsid w:val="00A730E0"/>
    <w:rsid w:val="00A84C28"/>
    <w:rsid w:val="00AA41E5"/>
    <w:rsid w:val="00AB722B"/>
    <w:rsid w:val="00AC6548"/>
    <w:rsid w:val="00AD0B14"/>
    <w:rsid w:val="00AE1F6A"/>
    <w:rsid w:val="00AF01AC"/>
    <w:rsid w:val="00B21D42"/>
    <w:rsid w:val="00B404E3"/>
    <w:rsid w:val="00B46212"/>
    <w:rsid w:val="00B46F18"/>
    <w:rsid w:val="00B72520"/>
    <w:rsid w:val="00BD1216"/>
    <w:rsid w:val="00BE2FB4"/>
    <w:rsid w:val="00BE336A"/>
    <w:rsid w:val="00C357D4"/>
    <w:rsid w:val="00C97E1E"/>
    <w:rsid w:val="00CB41C4"/>
    <w:rsid w:val="00CB5656"/>
    <w:rsid w:val="00CF1316"/>
    <w:rsid w:val="00CF18AC"/>
    <w:rsid w:val="00D13C44"/>
    <w:rsid w:val="00D20CC9"/>
    <w:rsid w:val="00D61F38"/>
    <w:rsid w:val="00D965FF"/>
    <w:rsid w:val="00D975B1"/>
    <w:rsid w:val="00DF637F"/>
    <w:rsid w:val="00E00323"/>
    <w:rsid w:val="00E32738"/>
    <w:rsid w:val="00E54C1F"/>
    <w:rsid w:val="00E65F4F"/>
    <w:rsid w:val="00E74967"/>
    <w:rsid w:val="00E7559F"/>
    <w:rsid w:val="00EA37F5"/>
    <w:rsid w:val="00EA7915"/>
    <w:rsid w:val="00EE4779"/>
    <w:rsid w:val="00F46719"/>
    <w:rsid w:val="00F54F6F"/>
    <w:rsid w:val="00F65A92"/>
    <w:rsid w:val="00F67179"/>
    <w:rsid w:val="00FC7788"/>
    <w:rsid w:val="00FD53FB"/>
    <w:rsid w:val="00FF2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819">
      <w:bodyDiv w:val="1"/>
      <w:marLeft w:val="0"/>
      <w:marRight w:val="0"/>
      <w:marTop w:val="0"/>
      <w:marBottom w:val="0"/>
      <w:divBdr>
        <w:top w:val="none" w:sz="0" w:space="0" w:color="auto"/>
        <w:left w:val="none" w:sz="0" w:space="0" w:color="auto"/>
        <w:bottom w:val="none" w:sz="0" w:space="0" w:color="auto"/>
        <w:right w:val="none" w:sz="0" w:space="0" w:color="auto"/>
      </w:divBdr>
    </w:div>
    <w:div w:id="297877024">
      <w:bodyDiv w:val="1"/>
      <w:marLeft w:val="0"/>
      <w:marRight w:val="0"/>
      <w:marTop w:val="0"/>
      <w:marBottom w:val="0"/>
      <w:divBdr>
        <w:top w:val="none" w:sz="0" w:space="0" w:color="auto"/>
        <w:left w:val="none" w:sz="0" w:space="0" w:color="auto"/>
        <w:bottom w:val="none" w:sz="0" w:space="0" w:color="auto"/>
        <w:right w:val="none" w:sz="0" w:space="0" w:color="auto"/>
      </w:divBdr>
    </w:div>
    <w:div w:id="443623497">
      <w:bodyDiv w:val="1"/>
      <w:marLeft w:val="0"/>
      <w:marRight w:val="0"/>
      <w:marTop w:val="0"/>
      <w:marBottom w:val="0"/>
      <w:divBdr>
        <w:top w:val="none" w:sz="0" w:space="0" w:color="auto"/>
        <w:left w:val="none" w:sz="0" w:space="0" w:color="auto"/>
        <w:bottom w:val="none" w:sz="0" w:space="0" w:color="auto"/>
        <w:right w:val="none" w:sz="0" w:space="0" w:color="auto"/>
      </w:divBdr>
    </w:div>
    <w:div w:id="511574498">
      <w:bodyDiv w:val="1"/>
      <w:marLeft w:val="0"/>
      <w:marRight w:val="0"/>
      <w:marTop w:val="0"/>
      <w:marBottom w:val="0"/>
      <w:divBdr>
        <w:top w:val="none" w:sz="0" w:space="0" w:color="auto"/>
        <w:left w:val="none" w:sz="0" w:space="0" w:color="auto"/>
        <w:bottom w:val="none" w:sz="0" w:space="0" w:color="auto"/>
        <w:right w:val="none" w:sz="0" w:space="0" w:color="auto"/>
      </w:divBdr>
    </w:div>
    <w:div w:id="933056018">
      <w:bodyDiv w:val="1"/>
      <w:marLeft w:val="0"/>
      <w:marRight w:val="0"/>
      <w:marTop w:val="0"/>
      <w:marBottom w:val="0"/>
      <w:divBdr>
        <w:top w:val="none" w:sz="0" w:space="0" w:color="auto"/>
        <w:left w:val="none" w:sz="0" w:space="0" w:color="auto"/>
        <w:bottom w:val="none" w:sz="0" w:space="0" w:color="auto"/>
        <w:right w:val="none" w:sz="0" w:space="0" w:color="auto"/>
      </w:divBdr>
    </w:div>
    <w:div w:id="1393582965">
      <w:bodyDiv w:val="1"/>
      <w:marLeft w:val="0"/>
      <w:marRight w:val="0"/>
      <w:marTop w:val="0"/>
      <w:marBottom w:val="0"/>
      <w:divBdr>
        <w:top w:val="none" w:sz="0" w:space="0" w:color="auto"/>
        <w:left w:val="none" w:sz="0" w:space="0" w:color="auto"/>
        <w:bottom w:val="none" w:sz="0" w:space="0" w:color="auto"/>
        <w:right w:val="none" w:sz="0" w:space="0" w:color="auto"/>
      </w:divBdr>
    </w:div>
    <w:div w:id="1680424142">
      <w:bodyDiv w:val="1"/>
      <w:marLeft w:val="0"/>
      <w:marRight w:val="0"/>
      <w:marTop w:val="0"/>
      <w:marBottom w:val="0"/>
      <w:divBdr>
        <w:top w:val="none" w:sz="0" w:space="0" w:color="auto"/>
        <w:left w:val="none" w:sz="0" w:space="0" w:color="auto"/>
        <w:bottom w:val="none" w:sz="0" w:space="0" w:color="auto"/>
        <w:right w:val="none" w:sz="0" w:space="0" w:color="auto"/>
      </w:divBdr>
    </w:div>
    <w:div w:id="2038117418">
      <w:bodyDiv w:val="1"/>
      <w:marLeft w:val="0"/>
      <w:marRight w:val="0"/>
      <w:marTop w:val="0"/>
      <w:marBottom w:val="0"/>
      <w:divBdr>
        <w:top w:val="none" w:sz="0" w:space="0" w:color="auto"/>
        <w:left w:val="none" w:sz="0" w:space="0" w:color="auto"/>
        <w:bottom w:val="none" w:sz="0" w:space="0" w:color="auto"/>
        <w:right w:val="none" w:sz="0" w:space="0" w:color="auto"/>
      </w:divBdr>
    </w:div>
    <w:div w:id="21355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B1EEDD-C01E-4634-86E2-82A614FD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11</Pages>
  <Words>2590</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16803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HP Inc.</cp:lastModifiedBy>
  <cp:revision>18</cp:revision>
  <cp:lastPrinted>2024-10-24T18:27:00Z</cp:lastPrinted>
  <dcterms:created xsi:type="dcterms:W3CDTF">2023-07-21T17:45:00Z</dcterms:created>
  <dcterms:modified xsi:type="dcterms:W3CDTF">2025-01-29T16:14:00Z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