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C3" w:rsidRDefault="006264C4">
      <w:pPr>
        <w:spacing w:after="0" w:line="259" w:lineRule="auto"/>
        <w:ind w:left="58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C3" w:rsidRDefault="006264C4">
      <w:pPr>
        <w:spacing w:after="19" w:line="259" w:lineRule="auto"/>
        <w:ind w:left="5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C3" w:rsidRDefault="006264C4">
      <w:pPr>
        <w:spacing w:after="0" w:line="259" w:lineRule="auto"/>
        <w:ind w:left="0" w:right="2" w:firstLine="0"/>
        <w:jc w:val="center"/>
      </w:pPr>
      <w:r>
        <w:rPr>
          <w:b/>
          <w:color w:val="0000FF"/>
          <w:sz w:val="28"/>
          <w:u w:val="single" w:color="0000FF"/>
        </w:rPr>
        <w:t>NOTAS DE GESTIÓN ADMINISTRATIVA</w:t>
      </w:r>
      <w:r>
        <w:rPr>
          <w:b/>
          <w:sz w:val="28"/>
        </w:rP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Los Estados Financieros de los entes públicos, proveen de información financiera a los principales usuarios de la misma, al Congreso y a los ciudadanos.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>El objetivo del presente documento es la revelación del contexto y de los aspectos económicos financieros más relevantes que influyeron en las decisiones del período, y que deberán ser considerados en la elaboración de los estados financieros para la mayor</w:t>
      </w:r>
      <w:r>
        <w:t xml:space="preserve"> comprensión de los mismos y sus particularidades.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De esta manera, se informa y explica la respuesta del gobierno a las condiciones relacionadas con la información financiera de cada período de gestión; además, de exponer aquellas políticas que podrían </w:t>
      </w:r>
      <w:r>
        <w:t xml:space="preserve">afectar la toma de decisiones en períodos posteriores. </w:t>
      </w:r>
    </w:p>
    <w:p w:rsidR="005808C3" w:rsidRDefault="006264C4">
      <w:pPr>
        <w:spacing w:after="0" w:line="259" w:lineRule="auto"/>
        <w:ind w:left="720" w:firstLine="0"/>
        <w:jc w:val="left"/>
      </w:pPr>
      <w:r>
        <w:t xml:space="preserve"> </w:t>
      </w:r>
    </w:p>
    <w:p w:rsidR="005808C3" w:rsidRDefault="006264C4">
      <w:pPr>
        <w:ind w:left="37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 xml:space="preserve">Las notas de gestión administrativa deben contener los siguientes puntos: </w:t>
      </w:r>
    </w:p>
    <w:p w:rsidR="005808C3" w:rsidRDefault="006264C4">
      <w:pPr>
        <w:spacing w:after="313" w:line="259" w:lineRule="auto"/>
        <w:ind w:left="0" w:firstLine="0"/>
        <w:jc w:val="left"/>
      </w:pPr>
      <w:r>
        <w:t xml:space="preserve"> </w:t>
      </w:r>
    </w:p>
    <w:sdt>
      <w:sdtPr>
        <w:id w:val="970780993"/>
        <w:docPartObj>
          <w:docPartGallery w:val="Table of Contents"/>
        </w:docPartObj>
      </w:sdtPr>
      <w:sdtEndPr/>
      <w:sdtContent>
        <w:p w:rsidR="005808C3" w:rsidRDefault="006264C4">
          <w:pPr>
            <w:pStyle w:val="TDC1"/>
            <w:tabs>
              <w:tab w:val="right" w:leader="dot" w:pos="13289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9023">
            <w:r>
              <w:rPr>
                <w:color w:val="2E74B5"/>
                <w:sz w:val="32"/>
              </w:rPr>
              <w:t xml:space="preserve">Contenido </w:t>
            </w:r>
            <w:r>
              <w:t>1. Introducción:</w:t>
            </w:r>
            <w:r>
              <w:tab/>
            </w:r>
            <w:r>
              <w:fldChar w:fldCharType="begin"/>
            </w:r>
            <w:r>
              <w:instrText>PAGEREF _Toc9023 \h</w:instrText>
            </w:r>
            <w:r>
              <w:fldChar w:fldCharType="separate"/>
            </w:r>
            <w:r>
              <w:t xml:space="preserve">2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24">
            <w:r>
              <w:t>2. Describir el panorama Económico y Financiero:</w:t>
            </w:r>
            <w:r>
              <w:tab/>
            </w:r>
            <w:r>
              <w:fldChar w:fldCharType="begin"/>
            </w:r>
            <w:r>
              <w:instrText>PAGEREF _Toc9024 \h</w:instrText>
            </w:r>
            <w:r>
              <w:fldChar w:fldCharType="separate"/>
            </w:r>
            <w:r>
              <w:t xml:space="preserve">2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25">
            <w:r>
              <w:t>3. Autorización e Historia:</w:t>
            </w:r>
            <w:r>
              <w:tab/>
            </w:r>
            <w:r>
              <w:fldChar w:fldCharType="begin"/>
            </w:r>
            <w:r>
              <w:instrText>PAGEREF _Toc9025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26">
            <w:r>
              <w:t>4. Organización y Objeto Social:</w:t>
            </w:r>
            <w:r>
              <w:tab/>
            </w:r>
            <w:r>
              <w:fldChar w:fldCharType="begin"/>
            </w:r>
            <w:r>
              <w:instrText>PAGEREF _Toc9026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27">
            <w:r>
              <w:t>5. Bases de Preparación de los Estados Financieros:</w:t>
            </w:r>
            <w:r>
              <w:tab/>
            </w:r>
            <w:r>
              <w:fldChar w:fldCharType="begin"/>
            </w:r>
            <w:r>
              <w:instrText>PAGEREF _Toc9027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28">
            <w:r>
              <w:t>6. Políticas de Contabilidad Significativas:</w:t>
            </w:r>
            <w:r>
              <w:tab/>
            </w:r>
            <w:r>
              <w:fldChar w:fldCharType="begin"/>
            </w:r>
            <w:r>
              <w:instrText>PAGEREF _Toc9028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29">
            <w:r>
              <w:t xml:space="preserve">7. Posición en Moneda Extranjera y </w:t>
            </w:r>
            <w:r>
              <w:t>Protección por Riesgo Cambiario:</w:t>
            </w:r>
            <w:r>
              <w:tab/>
            </w:r>
            <w:r>
              <w:fldChar w:fldCharType="begin"/>
            </w:r>
            <w:r>
              <w:instrText>PAGEREF _Toc9029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30">
            <w:r>
              <w:t>8. Reporte Analítico del Activo:</w:t>
            </w:r>
            <w:r>
              <w:tab/>
            </w:r>
            <w:r>
              <w:fldChar w:fldCharType="begin"/>
            </w:r>
            <w:r>
              <w:instrText>PAGEREF _Toc9030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31">
            <w:r>
              <w:t>9. Fideicomisos, Mandatos y Análogos:</w:t>
            </w:r>
            <w:r>
              <w:tab/>
            </w:r>
            <w:r>
              <w:fldChar w:fldCharType="begin"/>
            </w:r>
            <w:r>
              <w:instrText>PAGEREF _Toc9031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5808C3" w:rsidRDefault="006264C4">
          <w:pPr>
            <w:pStyle w:val="TDC2"/>
            <w:tabs>
              <w:tab w:val="right" w:leader="dot" w:pos="13289"/>
            </w:tabs>
          </w:pPr>
          <w:hyperlink w:anchor="_Toc9032">
            <w:r>
              <w:t>10. Reporte de la Recaudación:</w:t>
            </w:r>
            <w:r>
              <w:tab/>
            </w:r>
            <w:r>
              <w:fldChar w:fldCharType="begin"/>
            </w:r>
            <w:r>
              <w:instrText>PAGEREF _Toc9032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3">
            <w:r>
              <w:t>11. Información sobre la Deuda y el Reporte Analítico de la Deuda:</w:t>
            </w:r>
            <w:r>
              <w:tab/>
            </w:r>
            <w:r>
              <w:fldChar w:fldCharType="begin"/>
            </w:r>
            <w:r>
              <w:instrText>PAGEREF _Toc9033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4">
            <w:r>
              <w:t>12. Calificaciones otorgadas:</w:t>
            </w:r>
            <w:r>
              <w:tab/>
            </w:r>
            <w:r>
              <w:fldChar w:fldCharType="begin"/>
            </w:r>
            <w:r>
              <w:instrText>PAGEREF _Toc9034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5">
            <w:r>
              <w:t>13. Proceso de Mejora:</w:t>
            </w:r>
            <w:r>
              <w:tab/>
            </w:r>
            <w:r>
              <w:fldChar w:fldCharType="begin"/>
            </w:r>
            <w:r>
              <w:instrText>PAGEREF _Toc9035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6">
            <w:r>
              <w:t>14. Información por Segmentos:</w:t>
            </w:r>
            <w:r>
              <w:tab/>
            </w:r>
            <w:r>
              <w:fldChar w:fldCharType="begin"/>
            </w:r>
            <w:r>
              <w:instrText>PAGEREF _Toc9036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7">
            <w:r>
              <w:t>15. Eventos Posteriores al Cierre:</w:t>
            </w:r>
            <w:r>
              <w:tab/>
            </w:r>
            <w:r>
              <w:fldChar w:fldCharType="begin"/>
            </w:r>
            <w:r>
              <w:instrText>PAGEREF _Toc90</w:instrText>
            </w:r>
            <w:r>
              <w:instrText>37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8">
            <w:r>
              <w:t>16. Partes Relacionadas:</w:t>
            </w:r>
            <w:r>
              <w:tab/>
            </w:r>
            <w:r>
              <w:fldChar w:fldCharType="begin"/>
            </w:r>
            <w:r>
              <w:instrText>PAGEREF _Toc9038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5808C3" w:rsidRDefault="006264C4">
          <w:pPr>
            <w:pStyle w:val="TDC1"/>
            <w:tabs>
              <w:tab w:val="right" w:leader="dot" w:pos="13289"/>
            </w:tabs>
          </w:pPr>
          <w:hyperlink w:anchor="_Toc9039">
            <w:r>
              <w:t>17. Respons</w:t>
            </w:r>
            <w:r>
              <w:t>abilidad Sobre la Presentación Razonable de la Información Contable:</w:t>
            </w:r>
            <w:r>
              <w:tab/>
            </w:r>
            <w:r>
              <w:fldChar w:fldCharType="begin"/>
            </w:r>
            <w:r>
              <w:instrText>PAGEREF _Toc9039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5808C3" w:rsidRDefault="006264C4">
          <w:r>
            <w:fldChar w:fldCharType="end"/>
          </w:r>
        </w:p>
      </w:sdtContent>
    </w:sdt>
    <w:p w:rsidR="005808C3" w:rsidRDefault="006264C4">
      <w:pPr>
        <w:spacing w:after="2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10" w:line="268" w:lineRule="auto"/>
        <w:ind w:left="-5"/>
        <w:jc w:val="left"/>
      </w:pPr>
      <w:r>
        <w:rPr>
          <w:b/>
        </w:rPr>
        <w:t xml:space="preserve">1. Introducción: </w:t>
      </w:r>
    </w:p>
    <w:p w:rsidR="005808C3" w:rsidRDefault="006264C4">
      <w:pPr>
        <w:ind w:left="-5"/>
      </w:pPr>
      <w:r>
        <w:t xml:space="preserve">El Instituto de Innovación, Ciencia y Emprendimiento para la Competitividad para el estado de Guanajuato, tiene principalmente las actividades siguientes: </w:t>
      </w:r>
    </w:p>
    <w:p w:rsidR="005808C3" w:rsidRDefault="006264C4">
      <w:pPr>
        <w:numPr>
          <w:ilvl w:val="0"/>
          <w:numId w:val="1"/>
        </w:numPr>
        <w:ind w:hanging="360"/>
      </w:pPr>
      <w:r>
        <w:t xml:space="preserve">Promover la creación, crecimiento y consolidación global de nuevas iniciativas empresariales, para disminuir las brechas de éxito comercial de largo plazo; fortaleciendo así, una economía conducida por la visión de la </w:t>
      </w:r>
      <w:proofErr w:type="spellStart"/>
      <w:r>
        <w:t>mentefactura</w:t>
      </w:r>
      <w:proofErr w:type="spellEnd"/>
      <w:r>
        <w:t xml:space="preserve"> y el desarrollo sostenibl</w:t>
      </w:r>
      <w:r>
        <w:t xml:space="preserve">e. </w:t>
      </w:r>
    </w:p>
    <w:p w:rsidR="005808C3" w:rsidRDefault="006264C4">
      <w:pPr>
        <w:numPr>
          <w:ilvl w:val="0"/>
          <w:numId w:val="1"/>
        </w:numPr>
        <w:ind w:hanging="360"/>
      </w:pPr>
      <w:r>
        <w:t>Orientar la creación de eventos y experiencias de enseñanza-aprendizaje para complementar el proceso educativo y formativo de los estudiantes, primordialmente en el desarrollo de habilidades creadoras, emprendedoras e innovadoras, que logren impacto fa</w:t>
      </w:r>
      <w:r>
        <w:t xml:space="preserve">vorable en la sociedad y demás grupos de interés. </w:t>
      </w:r>
    </w:p>
    <w:p w:rsidR="005808C3" w:rsidRDefault="006264C4">
      <w:pPr>
        <w:numPr>
          <w:ilvl w:val="0"/>
          <w:numId w:val="1"/>
        </w:numPr>
        <w:ind w:hanging="360"/>
      </w:pPr>
      <w:r>
        <w:t xml:space="preserve">Brindar un acercamiento sobre las nuevas tendencias globales que pudieran afectar y/o ser áreas de oportunidad para las instituciones y sus estudiantes. </w:t>
      </w:r>
    </w:p>
    <w:p w:rsidR="005808C3" w:rsidRDefault="006264C4">
      <w:pPr>
        <w:numPr>
          <w:ilvl w:val="0"/>
          <w:numId w:val="1"/>
        </w:numPr>
        <w:ind w:hanging="360"/>
      </w:pPr>
      <w:r>
        <w:t xml:space="preserve">Brindar soporte para la actualización, detección y </w:t>
      </w:r>
      <w:r>
        <w:t xml:space="preserve">aprovechamiento de oportunidades de mejora e implementación de innovaciones en procesos que involucren la experiencia del ciudadano y del servidor público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1" w:name="_Toc9024"/>
      <w:r>
        <w:t xml:space="preserve">2. Describir el panorama Económico y Financiero: </w:t>
      </w:r>
      <w:bookmarkEnd w:id="1"/>
    </w:p>
    <w:p w:rsidR="005808C3" w:rsidRDefault="006264C4">
      <w:pPr>
        <w:ind w:left="-5"/>
      </w:pPr>
      <w:r>
        <w:t>El Instituto de Innovación, Ciencia y Emprendimi</w:t>
      </w:r>
      <w:r>
        <w:t xml:space="preserve">ento para la Competitividad para el estado de Guanajuato durante el periodo reportado obtuvo ingresos derivados de dos conceptos: 1) Subsidio del Gobierno del Estado y 2) Ingresos por sanciones a partidos políticos, ambos suministrados a </w:t>
      </w:r>
      <w:r>
        <w:lastRenderedPageBreak/>
        <w:t>través de la Secre</w:t>
      </w:r>
      <w:r>
        <w:t xml:space="preserve">taría de Finanzas, Inversión y Administración, con los cuales se fondeó tanto la operación como los proyectos específicos desarrollados. </w:t>
      </w:r>
    </w:p>
    <w:p w:rsidR="005808C3" w:rsidRDefault="006264C4">
      <w:pPr>
        <w:ind w:left="-5"/>
      </w:pPr>
      <w:r>
        <w:t>Por lo anterior es importarte precisar que el Instituto obtiene los ingresos por sanciones a partidos políticos de acu</w:t>
      </w:r>
      <w:r>
        <w:t>erdo</w:t>
      </w:r>
      <w:r>
        <w:rPr>
          <w:rFonts w:ascii="Arial" w:eastAsia="Arial" w:hAnsi="Arial" w:cs="Arial"/>
          <w:color w:val="202124"/>
          <w:sz w:val="21"/>
        </w:rPr>
        <w:t xml:space="preserve"> </w:t>
      </w:r>
      <w:r>
        <w:t xml:space="preserve">a lo establecido en el numeral 8 del artículo 458 de la Ley General de Instituciones y Procedimientos Electorales y último párrafo del artículo 355 de la Ley de Instituciones y </w:t>
      </w:r>
    </w:p>
    <w:p w:rsidR="005808C3" w:rsidRDefault="006264C4">
      <w:pPr>
        <w:ind w:left="-5"/>
      </w:pPr>
      <w:r>
        <w:t>Procedimientos Electorales para el Estado de Guanajuato, al periodo que s</w:t>
      </w:r>
      <w:r>
        <w:t xml:space="preserve">e reporta se ha recaudado un monto de $43,868,495.43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2" w:name="_Toc9025"/>
      <w:r>
        <w:t xml:space="preserve">3. Autorización e Historia: </w:t>
      </w:r>
      <w:bookmarkEnd w:id="2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Se informará sobre: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2"/>
        </w:numPr>
        <w:ind w:hanging="235"/>
      </w:pPr>
      <w:r>
        <w:t xml:space="preserve">Fecha de creación del ente. </w:t>
      </w:r>
    </w:p>
    <w:p w:rsidR="005808C3" w:rsidRDefault="006264C4">
      <w:pPr>
        <w:ind w:left="-5"/>
      </w:pPr>
      <w:r>
        <w:t>El Instituto fue creado el 08 de septiembre de 2020, a través del Decreto Gubernativo 64 publicado en el Periódico Of</w:t>
      </w:r>
      <w:r>
        <w:t xml:space="preserve">icial del Gobierno del Estado de Guanajuato el 07 de septiembre de 2020.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2"/>
        </w:numPr>
        <w:ind w:hanging="235"/>
      </w:pPr>
      <w:r>
        <w:t xml:space="preserve">Principales cambios en su estructura (interna históricamente). </w:t>
      </w:r>
    </w:p>
    <w:p w:rsidR="005808C3" w:rsidRDefault="006264C4">
      <w:pPr>
        <w:ind w:left="-5"/>
      </w:pPr>
      <w:r>
        <w:t xml:space="preserve">Esta nota no le aplica al ente público debido a que no se han realizado cambios.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3" w:name="_Toc9026"/>
      <w:r>
        <w:t xml:space="preserve">4. Organización y Objeto Social: </w:t>
      </w:r>
      <w:bookmarkEnd w:id="3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Se informará sobre: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t xml:space="preserve">Objeto social. </w:t>
      </w:r>
    </w:p>
    <w:p w:rsidR="005808C3" w:rsidRDefault="006264C4">
      <w:pPr>
        <w:ind w:left="-5"/>
      </w:pPr>
      <w:r>
        <w:t>Formular, fomentar, promover, implementar y evaluar la política pública en materia de ciencia, tecnología, innovación y emprendimiento, mediante la coordinación y articulación de lo</w:t>
      </w:r>
      <w:r>
        <w:t xml:space="preserve">s actores y organismos involucrados, orientados a favorecer el desarrollo y la aplicación del conocimiento en los ámbitos social, cultural, económico, educativo, sustentable y gubernamental para la mejora de la competitividad del Estado.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t>Principal act</w:t>
      </w:r>
      <w:r>
        <w:t xml:space="preserve">ividad. </w:t>
      </w:r>
    </w:p>
    <w:p w:rsidR="005808C3" w:rsidRDefault="006264C4">
      <w:pPr>
        <w:ind w:left="-5"/>
      </w:pPr>
      <w:r>
        <w:t xml:space="preserve">Emitir las políticas públicas en materia de innovación, emprendimiento, ciencia y tecnología.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t xml:space="preserve">Ejercicio fiscal. </w:t>
      </w:r>
    </w:p>
    <w:p w:rsidR="005808C3" w:rsidRDefault="006264C4">
      <w:pPr>
        <w:ind w:left="-5"/>
      </w:pPr>
      <w:r>
        <w:lastRenderedPageBreak/>
        <w:t xml:space="preserve">Enero a diciembre 2023.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t xml:space="preserve">Régimen jurídico. </w:t>
      </w:r>
    </w:p>
    <w:p w:rsidR="005808C3" w:rsidRDefault="006264C4">
      <w:pPr>
        <w:ind w:left="-5"/>
      </w:pPr>
      <w:r>
        <w:t xml:space="preserve">Personas Morales con Fines no Lucrativos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t>Consideraciones fiscales del ente: Revela</w:t>
      </w:r>
      <w:r>
        <w:t xml:space="preserve">r el tipo de contribuciones que esté obligado a pagar o retener. </w:t>
      </w:r>
    </w:p>
    <w:p w:rsidR="005808C3" w:rsidRDefault="006264C4">
      <w:pPr>
        <w:ind w:left="-5"/>
      </w:pPr>
      <w:r>
        <w:t xml:space="preserve">ISR retenciones por salarios, ISR retenciones por asimilados a salarios, ISR retenciones por servicios profesionales, retención de impuesto cedular e impuesto sobre nómina.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t>Estructura org</w:t>
      </w:r>
      <w:r>
        <w:t xml:space="preserve">anizacional básica.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right="3549" w:firstLine="0"/>
        <w:jc w:val="center"/>
      </w:pPr>
      <w:r>
        <w:rPr>
          <w:noProof/>
        </w:rPr>
        <w:drawing>
          <wp:inline distT="0" distB="0" distL="0" distR="0">
            <wp:extent cx="6152389" cy="3102102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389" cy="31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3"/>
        </w:numPr>
        <w:ind w:hanging="235"/>
      </w:pPr>
      <w:r>
        <w:lastRenderedPageBreak/>
        <w:t xml:space="preserve">Fideicomisos, mandatos y análogos de los cuales es fideicomitente o fideicomisario. Esta nota no le aplica al ente público ya que no es fideicomitente ni fideicomisario.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 w:right="8369"/>
      </w:pPr>
      <w:bookmarkStart w:id="4" w:name="_Toc9027"/>
      <w:r>
        <w:t xml:space="preserve">5. Bases de Preparación de los Estados Financieros: </w:t>
      </w:r>
      <w:bookmarkEnd w:id="4"/>
    </w:p>
    <w:p w:rsidR="005808C3" w:rsidRDefault="006264C4">
      <w:pPr>
        <w:spacing w:after="10" w:line="268" w:lineRule="auto"/>
        <w:ind w:left="-5" w:right="8369"/>
        <w:jc w:val="left"/>
      </w:pPr>
      <w:r>
        <w:t xml:space="preserve">Se informará sobre: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4"/>
        </w:numPr>
        <w:ind w:hanging="228"/>
      </w:pPr>
      <w:r>
        <w:t xml:space="preserve">Si se ha observado la normatividad emitida por el CONAC y las disposiciones legales aplicables. </w:t>
      </w:r>
    </w:p>
    <w:p w:rsidR="005808C3" w:rsidRDefault="006264C4">
      <w:pPr>
        <w:ind w:left="-5"/>
      </w:pPr>
      <w:r>
        <w:t>La emisión de información financiera toma como base las normas emitidas por la CONAC y demás disposiciones legales que aplican para cada</w:t>
      </w:r>
      <w:r>
        <w:t xml:space="preserve"> caso.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4"/>
        </w:numPr>
        <w:ind w:hanging="228"/>
      </w:pPr>
      <w:r>
        <w:t>La normatividad aplicada para el reconocimiento, valuación y revelación de los diferentes rubros de la información financiera, así como las bases de medición utilizadas para la elaboración de los estados financieros; por ejemplo: costo histórico,</w:t>
      </w:r>
      <w:r>
        <w:t xml:space="preserve"> valor de realización, valor razonable, valor de recuperación o cualquier otro método empleado y los criterios de aplicación de los mismos.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La información financiera generada por el Instituto se realiza en función de los criterios y normas emitidas por </w:t>
      </w:r>
      <w:r>
        <w:t xml:space="preserve">los entes normativos aplicables.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4"/>
        </w:numPr>
        <w:ind w:hanging="228"/>
      </w:pPr>
      <w:r>
        <w:t xml:space="preserve">Postulados básicos. </w:t>
      </w:r>
    </w:p>
    <w:p w:rsidR="005808C3" w:rsidRDefault="006264C4">
      <w:pPr>
        <w:ind w:left="-5"/>
      </w:pPr>
      <w:r>
        <w:t xml:space="preserve">La información financiera generada por el Instituto observa los postulados básicos de contabilidad.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4"/>
        </w:numPr>
        <w:ind w:hanging="228"/>
      </w:pPr>
      <w:r>
        <w:t xml:space="preserve">Normatividad supletoria. En caso de emplear varios grupos de normatividades (normatividades supletorias), deberá realizar la justificación razonable correspondiente, su alineación con los PBCG y a las características cualitativas asociadas descritas en el </w:t>
      </w:r>
      <w:r>
        <w:t xml:space="preserve">MCCG (documentos publicados en el Diario Oficial de la Federación, agosto 2009).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Esta nota no le aplica al ente público ya que no cuenta con normatividad supletoria. </w:t>
      </w:r>
    </w:p>
    <w:p w:rsidR="005808C3" w:rsidRDefault="006264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808C3" w:rsidRDefault="006264C4">
      <w:pPr>
        <w:numPr>
          <w:ilvl w:val="0"/>
          <w:numId w:val="4"/>
        </w:numPr>
        <w:ind w:hanging="228"/>
      </w:pPr>
      <w:r>
        <w:t xml:space="preserve">Para las entidades que por primera vez estén implementando </w:t>
      </w:r>
      <w:proofErr w:type="gramStart"/>
      <w:r>
        <w:t>la base devengado</w:t>
      </w:r>
      <w:proofErr w:type="gramEnd"/>
      <w:r>
        <w:t xml:space="preserve"> de acue</w:t>
      </w:r>
      <w:r>
        <w:t xml:space="preserve">rdo a la Ley de Contabilidad, deberán: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*Revelar las nuevas políticas de reconocimiento: </w:t>
      </w:r>
    </w:p>
    <w:p w:rsidR="005808C3" w:rsidRDefault="006264C4">
      <w:pPr>
        <w:ind w:left="-5"/>
      </w:pPr>
      <w:r>
        <w:t xml:space="preserve">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*Plan de implementación: </w:t>
      </w:r>
    </w:p>
    <w:p w:rsidR="005808C3" w:rsidRDefault="006264C4">
      <w:pPr>
        <w:ind w:left="-5"/>
      </w:pPr>
      <w:r>
        <w:t xml:space="preserve">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808C3" w:rsidRDefault="006264C4">
      <w:pPr>
        <w:ind w:left="-5" w:right="1390"/>
      </w:pPr>
      <w:r>
        <w:t>*Revelar los cambios en las políticas, la clasificac</w:t>
      </w:r>
      <w:r>
        <w:t xml:space="preserve">ión y medición de las mismas, así como su impacto en la información financiera: Esta nota no le aplica al ente público. </w:t>
      </w:r>
    </w:p>
    <w:p w:rsidR="005808C3" w:rsidRDefault="006264C4">
      <w:pPr>
        <w:spacing w:after="4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5" w:name="_Toc9028"/>
      <w:r>
        <w:t>6. Políticas de Contabilidad Significativas:</w:t>
      </w:r>
      <w:r>
        <w:rPr>
          <w:b w:val="0"/>
          <w:color w:val="2E74B5"/>
          <w:sz w:val="26"/>
        </w:rPr>
        <w:t xml:space="preserve"> </w:t>
      </w:r>
      <w:bookmarkEnd w:id="5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Se informará sobre: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spacing w:after="0" w:line="241" w:lineRule="auto"/>
        <w:ind w:hanging="235"/>
      </w:pPr>
      <w:r>
        <w:t>Actualización: se informará del método utilizado para la actualización del valor de los activos, pasivos y Hacienda Pública/Patrimonio y las razones de dicha elección. Así como informar de la desconexión o reconexión inflacionaria: Esta nota no le aplica a</w:t>
      </w:r>
      <w:r>
        <w:t xml:space="preserve">l ente público ya que no ha habido actualizaciones.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>Informar sobre la realización de operaciones en el extranjero y de sus efectos en la información financiera gubernamental: Esta nota no le aplica al ente público ya que no existen operaciones en el ext</w:t>
      </w:r>
      <w:r>
        <w:t xml:space="preserve">ranjero.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 xml:space="preserve">Método de valuación de la inversión en acciones de Compañías subsidiarias no consolidadas y asociadas: Esta nota no le aplica al ente público debido a que no tiene este tipo de inversión.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 xml:space="preserve">Sistema y método de valuación de inventarios y costo </w:t>
      </w:r>
      <w:r>
        <w:t xml:space="preserve">de lo vendido: </w:t>
      </w:r>
    </w:p>
    <w:p w:rsidR="005808C3" w:rsidRDefault="006264C4">
      <w:pPr>
        <w:ind w:left="-5"/>
      </w:pPr>
      <w:r>
        <w:t xml:space="preserve">Esta nota no le aplica al ente público, ya que durante el periodo reportado no se contó con inventarios.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>Beneficios a empleados: revelar el cálculo de la reserva actuarial, valor presente de los ingresos esperados comparado con el valor presente de la estimación de gastos tanto de los beneficiarios actuales como futuros: Esta nota no le aplica al ente público</w:t>
      </w:r>
      <w:r>
        <w:t xml:space="preserve">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 xml:space="preserve">Provisiones: objetivo de su creación, monto y plazo: </w:t>
      </w:r>
    </w:p>
    <w:p w:rsidR="005808C3" w:rsidRDefault="006264C4">
      <w:pPr>
        <w:ind w:left="-5"/>
      </w:pPr>
      <w:r>
        <w:t xml:space="preserve">Esta nota no le aplica al ente público 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 xml:space="preserve">Reservas: objetivo de su creación, monto y plazo: </w:t>
      </w:r>
    </w:p>
    <w:p w:rsidR="005808C3" w:rsidRDefault="006264C4">
      <w:pPr>
        <w:ind w:left="-5"/>
      </w:pPr>
      <w:r>
        <w:t xml:space="preserve">Esta nota no le aplica al ente público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lastRenderedPageBreak/>
        <w:t xml:space="preserve">Cambios en políticas contables y corrección de errores junto </w:t>
      </w:r>
      <w:r>
        <w:t xml:space="preserve">con la revelación de los efectos que se tendrá en la información financiera del ente público, ya sea retrospectivos o prospectivos: </w:t>
      </w:r>
    </w:p>
    <w:p w:rsidR="005808C3" w:rsidRDefault="006264C4">
      <w:pPr>
        <w:ind w:left="-5"/>
      </w:pPr>
      <w:r>
        <w:t xml:space="preserve">Esta nota no le aplica al ente público ya que no hubo este tipo de cambios.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>Reclasificaciones: Se deben revelar todos aq</w:t>
      </w:r>
      <w:r>
        <w:t xml:space="preserve">uellos movimientos entre cuentas por efectos de cambios en los tipos de operaciones: Esta nota no le aplica al ente público ya que no hubo reclasificaciones.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5"/>
        </w:numPr>
        <w:ind w:hanging="235"/>
      </w:pPr>
      <w:r>
        <w:t xml:space="preserve">Depuración y cancelación de saldos: </w:t>
      </w:r>
    </w:p>
    <w:p w:rsidR="005808C3" w:rsidRDefault="006264C4">
      <w:pPr>
        <w:ind w:left="-5"/>
      </w:pPr>
      <w:r>
        <w:t>Esta nota no le aplica al ente público ya no se han realiz</w:t>
      </w:r>
      <w:r>
        <w:t xml:space="preserve">ado estas actividades.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60" w:line="259" w:lineRule="auto"/>
        <w:ind w:left="0" w:firstLine="0"/>
        <w:jc w:val="left"/>
      </w:pPr>
      <w:r>
        <w:rPr>
          <w:b/>
        </w:rPr>
        <w:t xml:space="preserve"> </w:t>
      </w:r>
    </w:p>
    <w:p w:rsidR="005808C3" w:rsidRDefault="006264C4">
      <w:pPr>
        <w:spacing w:after="60" w:line="259" w:lineRule="auto"/>
        <w:ind w:left="0" w:firstLine="0"/>
        <w:jc w:val="left"/>
      </w:pPr>
      <w:r>
        <w:rPr>
          <w:b/>
        </w:rPr>
        <w:t xml:space="preserve"> </w:t>
      </w:r>
    </w:p>
    <w:p w:rsidR="005808C3" w:rsidRDefault="006264C4">
      <w:pPr>
        <w:pStyle w:val="Ttulo2"/>
        <w:ind w:left="-5"/>
      </w:pPr>
      <w:bookmarkStart w:id="6" w:name="_Toc9029"/>
      <w:r>
        <w:t xml:space="preserve">7. Posición en Moneda Extranjera y Protección por Riesgo Cambiario: </w:t>
      </w:r>
      <w:bookmarkEnd w:id="6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Se informará sobre: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6"/>
        </w:numPr>
        <w:ind w:hanging="235"/>
      </w:pPr>
      <w:r>
        <w:t xml:space="preserve">Activos en moneda extranjera: </w:t>
      </w:r>
    </w:p>
    <w:p w:rsidR="005808C3" w:rsidRDefault="006264C4">
      <w:pPr>
        <w:ind w:left="-5"/>
      </w:pPr>
      <w:r>
        <w:t xml:space="preserve">Esta nota no le aplica al ente público ya que no se cuenta con este tipo de activos.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6"/>
        </w:numPr>
        <w:ind w:hanging="235"/>
      </w:pPr>
      <w:r>
        <w:t xml:space="preserve">Pasivos en moneda extranjera: </w:t>
      </w:r>
    </w:p>
    <w:p w:rsidR="005808C3" w:rsidRDefault="006264C4">
      <w:pPr>
        <w:ind w:left="-5"/>
      </w:pPr>
      <w:r>
        <w:t xml:space="preserve">Esta nota no le aplica al ente público ya que no se cuenta con este tipo de pasivos.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6"/>
        </w:numPr>
        <w:ind w:hanging="235"/>
      </w:pPr>
      <w:r>
        <w:t xml:space="preserve">Posición en moneda extranjera: </w:t>
      </w:r>
    </w:p>
    <w:p w:rsidR="005808C3" w:rsidRDefault="006264C4">
      <w:pPr>
        <w:ind w:left="-5"/>
      </w:pPr>
      <w:r>
        <w:t xml:space="preserve">Esta nota no le aplica al ente público debido a que no se cuenta con moneda extranjera.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6"/>
        </w:numPr>
        <w:ind w:hanging="235"/>
      </w:pPr>
      <w:r>
        <w:t>Tipo de cambio</w:t>
      </w:r>
      <w:r>
        <w:t xml:space="preserve">: </w:t>
      </w:r>
    </w:p>
    <w:p w:rsidR="005808C3" w:rsidRDefault="006264C4">
      <w:pPr>
        <w:ind w:left="-5"/>
      </w:pPr>
      <w:r>
        <w:t xml:space="preserve">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6"/>
        </w:numPr>
        <w:ind w:hanging="235"/>
      </w:pPr>
      <w:r>
        <w:t xml:space="preserve">Equivalente en moneda nacional: Esta nota no le aplica al ente público.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7" w:name="_Toc9030"/>
      <w:r>
        <w:lastRenderedPageBreak/>
        <w:t xml:space="preserve">8. Reporte Analítico del Activo: </w:t>
      </w:r>
      <w:bookmarkEnd w:id="7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Debe mostrar la siguiente información: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 xml:space="preserve">Vida útil o porcentajes de depreciación, deterioro o amortización utilizados en los diferentes tipos de activos: No aplica debido a que a la fecha de corte del periodo reportado no se cuenta con activos no circulantes.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>Cambios en el porcentaje de deprec</w:t>
      </w:r>
      <w:r>
        <w:t xml:space="preserve">iación o valor residual de los activos: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 xml:space="preserve">Importe de los gastos capitalizados en el ejercicio, tanto financieros como de investigación y desarrollo: </w:t>
      </w:r>
    </w:p>
    <w:p w:rsidR="005808C3" w:rsidRDefault="006264C4">
      <w:pPr>
        <w:ind w:left="-5"/>
      </w:pPr>
      <w:r>
        <w:t>Esta nota no le aplica al ente público ya que no se tuvieron capi</w:t>
      </w:r>
      <w:r>
        <w:t xml:space="preserve">talizaciones.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 xml:space="preserve">Riesgos por tipo de cambio o tipo de interés de las inversiones financieras: Esta nota no le aplica al ente público ya que no se tienen inversiones financieras.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 xml:space="preserve">Valor activado en el ejercicio de los bienes construidos por la entidad: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>Otras circunstancias de carácter significativo que afecten el activo, tales como bienes en garantía, señalados en embargos, litigios, título</w:t>
      </w:r>
      <w:r>
        <w:t xml:space="preserve">s de inversiones entregados en garantías, baja significativa del valor de inversiones financieras, etc.: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>Desmantelamiento de Activos, procedimientos, implicaciones, efectos contables: Esta nota no le aplica al ent</w:t>
      </w:r>
      <w:r>
        <w:t xml:space="preserve">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7"/>
        </w:numPr>
        <w:ind w:right="4409" w:hanging="210"/>
      </w:pPr>
      <w:r>
        <w:t xml:space="preserve">Administración de activos; planeación con el objetivo de que el ente los utilice de manera más efectiva: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Adicionalmente, se deben incluir las explicaciones de las principales variaciones en el activo, en cuadros comparativos como sigue: </w:t>
      </w:r>
    </w:p>
    <w:p w:rsidR="005808C3" w:rsidRDefault="006264C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808C3" w:rsidRDefault="006264C4">
      <w:pPr>
        <w:numPr>
          <w:ilvl w:val="0"/>
          <w:numId w:val="8"/>
        </w:numPr>
        <w:ind w:right="5403" w:hanging="226"/>
      </w:pPr>
      <w:r>
        <w:t xml:space="preserve">Inversiones en valores: </w:t>
      </w:r>
    </w:p>
    <w:p w:rsidR="005808C3" w:rsidRDefault="006264C4">
      <w:pPr>
        <w:ind w:left="-5"/>
      </w:pPr>
      <w:r>
        <w:t xml:space="preserve">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8"/>
        </w:numPr>
        <w:ind w:right="5403" w:hanging="226"/>
      </w:pPr>
      <w:r>
        <w:t xml:space="preserve">Patrimonio de Organismos descentralizados de Control </w:t>
      </w:r>
      <w:r>
        <w:t xml:space="preserve">Presupuestario Indirecto: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8"/>
        </w:numPr>
        <w:ind w:right="5403" w:hanging="226"/>
      </w:pPr>
      <w:r>
        <w:t xml:space="preserve">Inversiones en empresas de participación mayoritaria: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8"/>
        </w:numPr>
        <w:ind w:right="5403" w:hanging="226"/>
      </w:pPr>
      <w:r>
        <w:t>Inversiones en empresas de participación minoritaria: Esta nota no le aplica al ente públi</w:t>
      </w:r>
      <w:r>
        <w:t xml:space="preserve">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8"/>
        </w:numPr>
        <w:ind w:right="5403" w:hanging="226"/>
      </w:pPr>
      <w:r>
        <w:t xml:space="preserve">Patrimonio de organismos descentralizados de control presupuestario directo, según corresponda: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8" w:name="_Toc9031"/>
      <w:r>
        <w:t xml:space="preserve">9. Fideicomisos, Mandatos y Análogos: </w:t>
      </w:r>
      <w:bookmarkEnd w:id="8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Se deberá informar: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9"/>
        </w:numPr>
        <w:ind w:right="1142" w:hanging="226"/>
      </w:pPr>
      <w:r>
        <w:t xml:space="preserve">Por ramo administrativo que los reporta: </w:t>
      </w:r>
    </w:p>
    <w:p w:rsidR="005808C3" w:rsidRDefault="006264C4">
      <w:pPr>
        <w:ind w:left="-5"/>
      </w:pPr>
      <w:r>
        <w:t>Esta</w:t>
      </w:r>
      <w:r>
        <w:t xml:space="preserve">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9"/>
        </w:numPr>
        <w:ind w:right="1142" w:hanging="226"/>
      </w:pPr>
      <w:r>
        <w:t xml:space="preserve">Enlistar los de mayor monto de disponibilidad, relacionando aquéllos que conforman el 80% de las disponibilidades: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2"/>
        <w:ind w:left="-5"/>
      </w:pPr>
      <w:bookmarkStart w:id="9" w:name="_Toc9032"/>
      <w:r>
        <w:t xml:space="preserve">10. Reporte de la Recaudación: </w:t>
      </w:r>
      <w:bookmarkEnd w:id="9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10"/>
        </w:numPr>
        <w:ind w:hanging="235"/>
      </w:pPr>
      <w:r>
        <w:t xml:space="preserve">Análisis del comportamiento de la recaudación correspondiente al ente público o cualquier tipo de ingreso, de forma separada los ingresos locales de los federales: </w:t>
      </w:r>
    </w:p>
    <w:p w:rsidR="005808C3" w:rsidRDefault="006264C4">
      <w:pPr>
        <w:ind w:left="-5"/>
      </w:pPr>
      <w:r>
        <w:lastRenderedPageBreak/>
        <w:t>Durante el periodo reportado se devengaron y recaudaron ingresos por la cantidad de $16,198</w:t>
      </w:r>
      <w:r>
        <w:t xml:space="preserve">,891.70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10"/>
        </w:numPr>
        <w:ind w:hanging="235"/>
      </w:pPr>
      <w:r>
        <w:t xml:space="preserve">Proyección de la recaudación e ingresos en el mediano plazo: </w:t>
      </w:r>
    </w:p>
    <w:p w:rsidR="005808C3" w:rsidRDefault="006264C4">
      <w:pPr>
        <w:ind w:left="-5"/>
      </w:pPr>
      <w:r>
        <w:t xml:space="preserve">La proyección de la recaudación de ingresos para 2023 es de 110,398,626.34 integrados por concepto de subsidios otorgado por el Gobierno del Estado de Guanajuato.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1"/>
        <w:ind w:left="-5"/>
      </w:pPr>
      <w:bookmarkStart w:id="10" w:name="_Toc9033"/>
      <w:r>
        <w:t>11. Información s</w:t>
      </w:r>
      <w:r>
        <w:t xml:space="preserve">obre la Deuda y el Reporte Analítico de la Deuda: </w:t>
      </w:r>
      <w:bookmarkEnd w:id="10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11"/>
        </w:numPr>
      </w:pPr>
      <w:r>
        <w:t xml:space="preserve">Utilizar al menos los siguientes indicadores: deuda respecto al PIB y deuda respecto a la recaudación tomando, como mínimo, un período igual o menor a 5 años. </w:t>
      </w:r>
    </w:p>
    <w:p w:rsidR="005808C3" w:rsidRDefault="006264C4">
      <w:pPr>
        <w:ind w:left="-5"/>
      </w:pPr>
      <w:r>
        <w:t>Esta nota no le aplica al ente público ya q</w:t>
      </w:r>
      <w:r>
        <w:t xml:space="preserve">ue no se cuenta con deuda.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11"/>
        </w:numPr>
      </w:pPr>
      <w:r>
        <w:t xml:space="preserve">Información de manera agrupada por tipo de valor gubernamental o instrumento financiero en la que se consideren intereses, comisiones, tasa, perfil de vencimiento y otros gastos de la deuda. </w:t>
      </w:r>
    </w:p>
    <w:p w:rsidR="005808C3" w:rsidRDefault="006264C4">
      <w:pPr>
        <w:ind w:left="-5"/>
      </w:pPr>
      <w:r>
        <w:t>Esta nota no le aplica al ente púb</w:t>
      </w:r>
      <w:r>
        <w:t xml:space="preserve">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1"/>
        <w:ind w:left="-5"/>
      </w:pPr>
      <w:bookmarkStart w:id="11" w:name="_Toc9034"/>
      <w:r>
        <w:t xml:space="preserve">12. Calificaciones otorgadas: </w:t>
      </w:r>
      <w:bookmarkEnd w:id="11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32"/>
        <w:ind w:left="-5" w:right="2198"/>
      </w:pPr>
      <w:r>
        <w:t xml:space="preserve">Informar, tanto del ente público como cualquier transacción realizada, que haya sido sujeta a una calificación crediticia: Esta nota no le aplica al ente público. </w:t>
      </w:r>
    </w:p>
    <w:p w:rsidR="005808C3" w:rsidRDefault="006264C4">
      <w:pPr>
        <w:spacing w:after="60" w:line="259" w:lineRule="auto"/>
        <w:ind w:left="0" w:firstLine="0"/>
        <w:jc w:val="left"/>
      </w:pPr>
      <w:r>
        <w:rPr>
          <w:b/>
        </w:rPr>
        <w:t xml:space="preserve"> </w:t>
      </w:r>
    </w:p>
    <w:p w:rsidR="005808C3" w:rsidRDefault="006264C4">
      <w:pPr>
        <w:pStyle w:val="Ttulo1"/>
        <w:ind w:left="-5"/>
      </w:pPr>
      <w:bookmarkStart w:id="12" w:name="_Toc9035"/>
      <w:r>
        <w:t xml:space="preserve">13. Proceso de Mejora: </w:t>
      </w:r>
      <w:bookmarkEnd w:id="12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Se informará de: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12"/>
        </w:numPr>
        <w:ind w:right="3974" w:hanging="226"/>
      </w:pPr>
      <w:r>
        <w:t xml:space="preserve">Principales Políticas de control interno: </w:t>
      </w:r>
    </w:p>
    <w:p w:rsidR="005808C3" w:rsidRDefault="006264C4">
      <w:pPr>
        <w:ind w:left="-5"/>
      </w:pPr>
      <w:r>
        <w:t xml:space="preserve">Se aplican las disposiciones administrativas emitidas por la Secretaría de Finanzas, Inversión y Administración, así como las recomendaciones realizadas por el órgano de control interno.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numPr>
          <w:ilvl w:val="0"/>
          <w:numId w:val="12"/>
        </w:numPr>
        <w:ind w:right="3974" w:hanging="226"/>
      </w:pPr>
      <w:r>
        <w:t>Medidas de desempeño fi</w:t>
      </w:r>
      <w:r>
        <w:t xml:space="preserve">nanciero, metas y alcance: Esta nota no le aplica al ente público. </w:t>
      </w:r>
    </w:p>
    <w:p w:rsidR="005808C3" w:rsidRDefault="006264C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1"/>
        <w:ind w:left="-5"/>
      </w:pPr>
      <w:bookmarkStart w:id="13" w:name="_Toc9036"/>
      <w:r>
        <w:t xml:space="preserve">14. Información por Segmentos: </w:t>
      </w:r>
      <w:bookmarkEnd w:id="13"/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Cuando se considere necesario se podrá revelar la información financiera de manera segmentada debido a la diversidad de las actividades y operaciones </w:t>
      </w:r>
      <w:r>
        <w:t xml:space="preserve">que realizan los entes públicos, ya que la misma proporciona información acerca de las diferentes actividades operativas en las cuales participa, de los productos o servicios que maneja, de las diferentes áreas geográficas, de los grupos homogéneos con el </w:t>
      </w:r>
      <w:r>
        <w:t xml:space="preserve">objetivo de entender el desempeño del ente, evaluar mejor los riesgos y beneficios del mismo; y entenderlo como un todo y sus partes integrantes.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Consecuentemente, esta información contribuye al análisis más preciso de la situación financiera, grados y </w:t>
      </w:r>
      <w:r>
        <w:t xml:space="preserve">fuentes de riesgo y crecimiento potencial de negocio.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ind w:left="-5"/>
      </w:pPr>
      <w:r>
        <w:t xml:space="preserve">Esta nota no le aplica al ente público. </w:t>
      </w:r>
    </w:p>
    <w:p w:rsidR="005808C3" w:rsidRDefault="006264C4">
      <w:pPr>
        <w:spacing w:after="19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5808C3" w:rsidRDefault="006264C4">
      <w:pPr>
        <w:spacing w:after="0" w:line="259" w:lineRule="auto"/>
        <w:ind w:left="0" w:firstLine="0"/>
        <w:jc w:val="left"/>
      </w:pPr>
      <w:r>
        <w:t xml:space="preserve"> </w:t>
      </w:r>
    </w:p>
    <w:p w:rsidR="005808C3" w:rsidRDefault="006264C4">
      <w:pPr>
        <w:pStyle w:val="Ttulo1"/>
        <w:spacing w:after="280"/>
        <w:ind w:left="-5"/>
      </w:pPr>
      <w:bookmarkStart w:id="14" w:name="_Toc9037"/>
      <w:r>
        <w:t>15. Eventos Posteriores al Cierre:</w:t>
      </w:r>
      <w:bookmarkEnd w:id="14"/>
    </w:p>
    <w:p w:rsidR="005808C3" w:rsidRDefault="006264C4">
      <w:pPr>
        <w:spacing w:after="569"/>
        <w:ind w:left="-5"/>
      </w:pPr>
      <w:r>
        <w:t xml:space="preserve">El ente público informará el efecto en sus estados financieros de aquellos hechos ocurridos en el período posterior al que informa, que proporcionan mayor evidencia sobre eventos que le afectan económicamente y que no se conocían a la fecha de cierre. </w:t>
      </w:r>
    </w:p>
    <w:p w:rsidR="005808C3" w:rsidRDefault="006264C4">
      <w:pPr>
        <w:pStyle w:val="Ttulo1"/>
        <w:spacing w:after="280"/>
        <w:ind w:left="-5"/>
      </w:pPr>
      <w:bookmarkStart w:id="15" w:name="_Toc9038"/>
      <w:r>
        <w:t>16.</w:t>
      </w:r>
      <w:r>
        <w:t xml:space="preserve"> Partes Relacionadas:</w:t>
      </w:r>
      <w:bookmarkEnd w:id="15"/>
    </w:p>
    <w:p w:rsidR="005808C3" w:rsidRDefault="006264C4">
      <w:pPr>
        <w:spacing w:after="260"/>
        <w:ind w:left="-5"/>
      </w:pPr>
      <w:r>
        <w:t xml:space="preserve">Se debe establecer por escrito que no existen partes relacionadas que pudieran ejercer influencia significativa sobre la toma de decisiones financieras y operativas: </w:t>
      </w:r>
    </w:p>
    <w:p w:rsidR="005808C3" w:rsidRDefault="006264C4">
      <w:pPr>
        <w:spacing w:after="296"/>
        <w:ind w:left="-5"/>
      </w:pPr>
      <w:r>
        <w:t>Esta nota no le aplica al ente público debido a que no existen part</w:t>
      </w:r>
      <w:r>
        <w:t xml:space="preserve">es relacionadas. </w:t>
      </w:r>
    </w:p>
    <w:p w:rsidR="005808C3" w:rsidRDefault="006264C4">
      <w:pPr>
        <w:pStyle w:val="Ttulo1"/>
        <w:spacing w:after="280"/>
        <w:ind w:left="-5"/>
      </w:pPr>
      <w:bookmarkStart w:id="16" w:name="_Toc9039"/>
      <w:r>
        <w:lastRenderedPageBreak/>
        <w:t>17. Responsabilidad Sobre la Presentación Razonable de la Información Contable:</w:t>
      </w:r>
      <w:bookmarkEnd w:id="16"/>
    </w:p>
    <w:p w:rsidR="005808C3" w:rsidRDefault="006264C4">
      <w:pPr>
        <w:spacing w:after="604"/>
        <w:ind w:left="-5"/>
      </w:pPr>
      <w:r>
        <w:t xml:space="preserve">La Información Contable está firmada en cada página de la misma y se incluye al final la siguiente leyenda: “Bajo protesta de decir verdad declaramos que los </w:t>
      </w:r>
      <w:r>
        <w:t xml:space="preserve">Estados Financieros y sus notas, son razonablemente correctos y son responsabilidad del emisor”. Lo anterior, no es aplicable para la información contable consolidada. </w:t>
      </w:r>
    </w:p>
    <w:p w:rsidR="005808C3" w:rsidRDefault="006264C4">
      <w:pPr>
        <w:spacing w:after="0" w:line="236" w:lineRule="auto"/>
        <w:ind w:left="189" w:firstLine="0"/>
        <w:jc w:val="left"/>
      </w:pPr>
      <w:r>
        <w:t>Bajo protesta de decir verdad declaramos que los Estados Financieros y sus notas, son r</w:t>
      </w:r>
      <w:r>
        <w:t>azonablemente correctos y son responsabilidad del emisor.</w:t>
      </w:r>
    </w:p>
    <w:sectPr w:rsidR="0058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63" w:right="1418" w:bottom="1679" w:left="1134" w:header="755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C4" w:rsidRDefault="006264C4">
      <w:pPr>
        <w:spacing w:after="0" w:line="240" w:lineRule="auto"/>
      </w:pPr>
      <w:r>
        <w:separator/>
      </w:r>
    </w:p>
  </w:endnote>
  <w:endnote w:type="continuationSeparator" w:id="0">
    <w:p w:rsidR="006264C4" w:rsidRDefault="0062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3" w:rsidRDefault="006264C4">
    <w:pPr>
      <w:spacing w:after="219" w:line="259" w:lineRule="auto"/>
      <w:ind w:left="0" w:right="1" w:firstLine="0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08C3" w:rsidRDefault="006264C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3" w:rsidRDefault="006264C4">
    <w:pPr>
      <w:spacing w:after="219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855">
      <w:rPr>
        <w:noProof/>
      </w:rPr>
      <w:t>12</w:t>
    </w:r>
    <w:r>
      <w:fldChar w:fldCharType="end"/>
    </w:r>
    <w:r>
      <w:t xml:space="preserve"> </w:t>
    </w:r>
  </w:p>
  <w:p w:rsidR="005808C3" w:rsidRDefault="006264C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3" w:rsidRDefault="006264C4">
    <w:pPr>
      <w:spacing w:after="219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08C3" w:rsidRDefault="006264C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C4" w:rsidRDefault="006264C4">
      <w:pPr>
        <w:spacing w:after="0" w:line="240" w:lineRule="auto"/>
      </w:pPr>
      <w:r>
        <w:separator/>
      </w:r>
    </w:p>
  </w:footnote>
  <w:footnote w:type="continuationSeparator" w:id="0">
    <w:p w:rsidR="006264C4" w:rsidRDefault="0062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3" w:rsidRDefault="006264C4">
    <w:pPr>
      <w:spacing w:after="0" w:line="240" w:lineRule="auto"/>
      <w:ind w:left="1924" w:right="1879" w:firstLine="0"/>
      <w:jc w:val="center"/>
    </w:pPr>
    <w:r>
      <w:t xml:space="preserve">Instituto de Innovación, Ciencia y Emprendimiento para la Competitividad para el Estado de Guanajuato al 31 de marzo de 2023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3" w:rsidRDefault="006264C4">
    <w:pPr>
      <w:spacing w:after="0" w:line="240" w:lineRule="auto"/>
      <w:ind w:left="1924" w:right="1879" w:firstLine="0"/>
      <w:jc w:val="center"/>
    </w:pPr>
    <w:r>
      <w:t xml:space="preserve">Instituto de Innovación, Ciencia y Emprendimiento para la Competitividad para el Estado de Guanajuato al 31 de marzo de 2023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C3" w:rsidRDefault="006264C4">
    <w:pPr>
      <w:spacing w:after="0" w:line="240" w:lineRule="auto"/>
      <w:ind w:left="1924" w:right="1879" w:firstLine="0"/>
      <w:jc w:val="center"/>
    </w:pPr>
    <w:r>
      <w:t xml:space="preserve">Instituto de Innovación, Ciencia y Emprendimiento para la Competitividad para el Estado de Guanajuato al 31 de marzo de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2A"/>
    <w:multiLevelType w:val="hybridMultilevel"/>
    <w:tmpl w:val="174E7ABC"/>
    <w:lvl w:ilvl="0" w:tplc="06F09926">
      <w:start w:val="1"/>
      <w:numFmt w:val="lowerLetter"/>
      <w:lvlText w:val="%1)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6B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D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2CC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C5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A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E65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07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2A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93B64"/>
    <w:multiLevelType w:val="hybridMultilevel"/>
    <w:tmpl w:val="781AD92C"/>
    <w:lvl w:ilvl="0" w:tplc="09F2D488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A08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8C1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C4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A8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37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A0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4B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64E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95DA2"/>
    <w:multiLevelType w:val="hybridMultilevel"/>
    <w:tmpl w:val="C4406620"/>
    <w:lvl w:ilvl="0" w:tplc="32425EBA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001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608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1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A1B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6CB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657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E41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6C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477AC6"/>
    <w:multiLevelType w:val="hybridMultilevel"/>
    <w:tmpl w:val="9ED82C46"/>
    <w:lvl w:ilvl="0" w:tplc="FFF27E9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80B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637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42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02B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8F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21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C2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00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F734A8"/>
    <w:multiLevelType w:val="hybridMultilevel"/>
    <w:tmpl w:val="A1468A8C"/>
    <w:lvl w:ilvl="0" w:tplc="8A7AF29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CD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66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63B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EC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82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28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27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E6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07F97"/>
    <w:multiLevelType w:val="hybridMultilevel"/>
    <w:tmpl w:val="0B3AFE80"/>
    <w:lvl w:ilvl="0" w:tplc="182C917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A1B7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8463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2B1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8842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EFD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C40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CDF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2303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77F3F"/>
    <w:multiLevelType w:val="hybridMultilevel"/>
    <w:tmpl w:val="CCDA86AC"/>
    <w:lvl w:ilvl="0" w:tplc="14CE97FA">
      <w:start w:val="1"/>
      <w:numFmt w:val="lowerLetter"/>
      <w:lvlText w:val="%1)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6DE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E7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64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A8D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81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C2D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440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FA39F7"/>
    <w:multiLevelType w:val="hybridMultilevel"/>
    <w:tmpl w:val="DED8BB40"/>
    <w:lvl w:ilvl="0" w:tplc="35322738">
      <w:start w:val="1"/>
      <w:numFmt w:val="lowerLetter"/>
      <w:lvlText w:val="%1)"/>
      <w:lvlJc w:val="left"/>
      <w:pPr>
        <w:ind w:left="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6FF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5F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9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E58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6F1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EA0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40E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60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9C387D"/>
    <w:multiLevelType w:val="hybridMultilevel"/>
    <w:tmpl w:val="C338C526"/>
    <w:lvl w:ilvl="0" w:tplc="DC6A72BC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83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60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562F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1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6C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82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605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C15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5748D9"/>
    <w:multiLevelType w:val="hybridMultilevel"/>
    <w:tmpl w:val="D116F4AE"/>
    <w:lvl w:ilvl="0" w:tplc="783CF788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83B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58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4A0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878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64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8F9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7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C1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2B6E1E"/>
    <w:multiLevelType w:val="hybridMultilevel"/>
    <w:tmpl w:val="875ECA08"/>
    <w:lvl w:ilvl="0" w:tplc="3A2C1C9C">
      <w:start w:val="1"/>
      <w:numFmt w:val="lowerLetter"/>
      <w:lvlText w:val="%1)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E2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AF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34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0C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74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CA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5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CB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1F2188"/>
    <w:multiLevelType w:val="hybridMultilevel"/>
    <w:tmpl w:val="433849EA"/>
    <w:lvl w:ilvl="0" w:tplc="FB6C079A">
      <w:start w:val="1"/>
      <w:numFmt w:val="lowerLetter"/>
      <w:lvlText w:val="%1)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2B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06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4F8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409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63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6E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6B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3"/>
    <w:rsid w:val="005808C3"/>
    <w:rsid w:val="006264C4"/>
    <w:rsid w:val="00C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909BB-9829-4CBB-A014-7815F68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68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0" w:line="268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paragraph" w:styleId="TDC1">
    <w:name w:val="toc 1"/>
    <w:hidden/>
    <w:pPr>
      <w:spacing w:after="129" w:line="249" w:lineRule="auto"/>
      <w:ind w:left="245" w:right="23" w:hanging="10"/>
      <w:jc w:val="both"/>
    </w:pPr>
    <w:rPr>
      <w:rFonts w:ascii="Calibri" w:eastAsia="Calibri" w:hAnsi="Calibri" w:cs="Calibri"/>
      <w:color w:val="000000"/>
    </w:rPr>
  </w:style>
  <w:style w:type="paragraph" w:styleId="TDC2">
    <w:name w:val="toc 2"/>
    <w:hidden/>
    <w:pPr>
      <w:spacing w:after="129" w:line="249" w:lineRule="auto"/>
      <w:ind w:left="245" w:right="23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- 0319_NGA_PEGT_ICE_2301.docx</dc:title>
  <dc:subject/>
  <dc:creator>sparrap</dc:creator>
  <cp:keywords/>
  <cp:lastModifiedBy>Admin</cp:lastModifiedBy>
  <cp:revision>2</cp:revision>
  <dcterms:created xsi:type="dcterms:W3CDTF">2023-05-23T19:00:00Z</dcterms:created>
  <dcterms:modified xsi:type="dcterms:W3CDTF">2023-05-23T19:00:00Z</dcterms:modified>
</cp:coreProperties>
</file>