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3D01" w14:textId="77777777" w:rsidR="00822EC9" w:rsidRPr="00822EC9" w:rsidRDefault="00822EC9" w:rsidP="00822EC9">
      <w:pPr>
        <w:tabs>
          <w:tab w:val="left" w:leader="underscore" w:pos="9639"/>
        </w:tabs>
        <w:spacing w:after="120"/>
        <w:ind w:left="9639" w:hanging="9639"/>
        <w:jc w:val="center"/>
        <w:rPr>
          <w:rFonts w:ascii="Helvetica" w:hAnsi="Helvetica" w:cs="Helvetica"/>
          <w:sz w:val="24"/>
          <w:szCs w:val="24"/>
        </w:rPr>
      </w:pPr>
    </w:p>
    <w:p w14:paraId="7D82998B" w14:textId="77777777" w:rsidR="00822EC9" w:rsidRPr="00822EC9" w:rsidRDefault="00822EC9" w:rsidP="00822EC9">
      <w:pPr>
        <w:tabs>
          <w:tab w:val="left" w:leader="underscore" w:pos="9639"/>
        </w:tabs>
        <w:spacing w:after="120"/>
        <w:jc w:val="center"/>
        <w:rPr>
          <w:rFonts w:ascii="Helvetica" w:hAnsi="Helvetica" w:cs="Helvetica"/>
          <w:b/>
          <w:sz w:val="28"/>
          <w:szCs w:val="28"/>
        </w:rPr>
      </w:pPr>
      <w:hyperlink r:id="rId7" w:history="1">
        <w:r w:rsidRPr="00822EC9">
          <w:rPr>
            <w:rStyle w:val="Hipervnculo"/>
            <w:rFonts w:ascii="Helvetica" w:hAnsi="Helvetica" w:cs="Helvetica"/>
            <w:b/>
            <w:sz w:val="28"/>
            <w:szCs w:val="28"/>
          </w:rPr>
          <w:t>NOTAS DE GESTIÓN ADMINISTRATIVA</w:t>
        </w:r>
      </w:hyperlink>
    </w:p>
    <w:p w14:paraId="18A8325E" w14:textId="77777777" w:rsidR="00822EC9" w:rsidRPr="00822EC9" w:rsidRDefault="00822EC9" w:rsidP="00822EC9">
      <w:pPr>
        <w:tabs>
          <w:tab w:val="left" w:leader="underscore" w:pos="9639"/>
        </w:tabs>
        <w:spacing w:after="120"/>
        <w:jc w:val="both"/>
        <w:rPr>
          <w:rFonts w:ascii="Helvetica" w:hAnsi="Helvetica" w:cs="Helvetica"/>
        </w:rPr>
      </w:pPr>
    </w:p>
    <w:p w14:paraId="07A0FAB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Los Estados Financieros de los entes públicos, proveen de información financiera a los principales usuarios de la misma, al Congreso y a los ciudadanos.</w:t>
      </w:r>
    </w:p>
    <w:p w14:paraId="7792411C"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5670807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D968B6F" w14:textId="77777777" w:rsidR="00822EC9" w:rsidRPr="00822EC9" w:rsidRDefault="00822EC9" w:rsidP="00822EC9">
      <w:pPr>
        <w:pStyle w:val="Prrafodelista"/>
        <w:numPr>
          <w:ilvl w:val="0"/>
          <w:numId w:val="2"/>
        </w:numPr>
        <w:tabs>
          <w:tab w:val="left" w:leader="underscore" w:pos="9639"/>
        </w:tabs>
        <w:spacing w:after="120"/>
        <w:contextualSpacing w:val="0"/>
        <w:jc w:val="both"/>
        <w:rPr>
          <w:rFonts w:ascii="Helvetica" w:hAnsi="Helvetica" w:cs="Helvetica"/>
        </w:rPr>
      </w:pPr>
      <w:r w:rsidRPr="00822EC9">
        <w:rPr>
          <w:rFonts w:ascii="Helvetica" w:hAnsi="Helvetica" w:cs="Helvetica"/>
        </w:rPr>
        <w:t>Las notas de gestión administrativa deben contener los siguientes puntos:</w:t>
      </w:r>
    </w:p>
    <w:sdt>
      <w:sdtPr>
        <w:rPr>
          <w:rFonts w:ascii="Helvetica" w:eastAsia="Calibri" w:hAnsi="Helvetica" w:cs="Helvetica"/>
          <w:color w:val="auto"/>
          <w:sz w:val="22"/>
          <w:szCs w:val="22"/>
          <w:lang w:val="es-ES" w:eastAsia="en-US"/>
        </w:rPr>
        <w:id w:val="-191922827"/>
        <w:docPartObj>
          <w:docPartGallery w:val="Table of Contents"/>
          <w:docPartUnique/>
        </w:docPartObj>
      </w:sdtPr>
      <w:sdtEndPr>
        <w:rPr>
          <w:b/>
          <w:bCs/>
        </w:rPr>
      </w:sdtEndPr>
      <w:sdtContent>
        <w:p w14:paraId="2B8D1A37" w14:textId="77777777" w:rsidR="00822EC9" w:rsidRPr="00822EC9" w:rsidRDefault="00822EC9" w:rsidP="00822EC9">
          <w:pPr>
            <w:pStyle w:val="TtuloTDC"/>
            <w:spacing w:after="120" w:line="276" w:lineRule="auto"/>
            <w:rPr>
              <w:rFonts w:ascii="Helvetica" w:hAnsi="Helvetica" w:cs="Helvetica"/>
            </w:rPr>
          </w:pPr>
          <w:r w:rsidRPr="00822EC9">
            <w:rPr>
              <w:rFonts w:ascii="Helvetica" w:hAnsi="Helvetica" w:cs="Helvetica"/>
              <w:lang w:val="es-ES"/>
            </w:rPr>
            <w:t>Contenido</w:t>
          </w:r>
        </w:p>
        <w:p w14:paraId="5F336DF2" w14:textId="77777777" w:rsidR="00822EC9" w:rsidRPr="00822EC9" w:rsidRDefault="00822EC9" w:rsidP="00822EC9">
          <w:pPr>
            <w:pStyle w:val="TDC2"/>
            <w:tabs>
              <w:tab w:val="right" w:leader="dot" w:pos="9678"/>
            </w:tabs>
            <w:spacing w:after="120"/>
            <w:rPr>
              <w:rFonts w:ascii="Helvetica" w:hAnsi="Helvetica" w:cs="Helvetica"/>
              <w:noProof/>
            </w:rPr>
          </w:pPr>
          <w:r w:rsidRPr="00822EC9">
            <w:rPr>
              <w:rFonts w:ascii="Helvetica" w:hAnsi="Helvetica" w:cs="Helvetica"/>
            </w:rPr>
            <w:fldChar w:fldCharType="begin"/>
          </w:r>
          <w:r w:rsidRPr="00822EC9">
            <w:rPr>
              <w:rFonts w:ascii="Helvetica" w:hAnsi="Helvetica" w:cs="Helvetica"/>
            </w:rPr>
            <w:instrText xml:space="preserve"> TOC \o "1-3" \h \z \u </w:instrText>
          </w:r>
          <w:r w:rsidRPr="00822EC9">
            <w:rPr>
              <w:rFonts w:ascii="Helvetica" w:hAnsi="Helvetica" w:cs="Helvetica"/>
            </w:rPr>
            <w:fldChar w:fldCharType="separate"/>
          </w:r>
          <w:hyperlink w:anchor="_Toc508279621" w:history="1">
            <w:r w:rsidRPr="00822EC9">
              <w:rPr>
                <w:rStyle w:val="Hipervnculo"/>
                <w:rFonts w:ascii="Helvetica" w:hAnsi="Helvetica" w:cs="Helvetica"/>
                <w:noProof/>
              </w:rPr>
              <w:t>1. Introducción:</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_Toc508279621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530DBF12"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2" w:history="1">
            <w:r w:rsidRPr="00822EC9">
              <w:rPr>
                <w:rStyle w:val="Hipervnculo"/>
                <w:rFonts w:ascii="Helvetica" w:hAnsi="Helvetica" w:cs="Helvetica"/>
                <w:noProof/>
              </w:rPr>
              <w:t>2. Describir el panorama Económico y Financiero: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_Toc508279622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5167ED6E"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3" w:history="1">
            <w:r w:rsidRPr="00822EC9">
              <w:rPr>
                <w:rStyle w:val="Hipervnculo"/>
                <w:rFonts w:ascii="Helvetica" w:hAnsi="Helvetica" w:cs="Helvetica"/>
                <w:noProof/>
              </w:rPr>
              <w:t>3. Autorización e Historia: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_Toc508279623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1B0C7146"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4" w:history="1">
            <w:r w:rsidRPr="00822EC9">
              <w:rPr>
                <w:rStyle w:val="Hipervnculo"/>
                <w:rFonts w:ascii="Helvetica" w:hAnsi="Helvetica" w:cs="Helvetica"/>
                <w:noProof/>
              </w:rPr>
              <w:t>4. Organización y Objeto Social:</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_Toc508279624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2</w:t>
            </w:r>
            <w:r w:rsidRPr="00822EC9">
              <w:rPr>
                <w:rFonts w:ascii="Helvetica" w:hAnsi="Helvetica" w:cs="Helvetica"/>
                <w:noProof/>
                <w:webHidden/>
              </w:rPr>
              <w:fldChar w:fldCharType="end"/>
            </w:r>
          </w:hyperlink>
        </w:p>
        <w:p w14:paraId="47625BE0"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5" w:history="1">
            <w:r w:rsidRPr="00822EC9">
              <w:rPr>
                <w:rStyle w:val="Hipervnculo"/>
                <w:rFonts w:ascii="Helvetica" w:hAnsi="Helvetica" w:cs="Helvetica"/>
                <w:noProof/>
              </w:rPr>
              <w:t>5. Bases de Preparación de los Estados Financieros: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_Toc508279625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4</w:t>
            </w:r>
            <w:r w:rsidRPr="00822EC9">
              <w:rPr>
                <w:rFonts w:ascii="Helvetica" w:hAnsi="Helvetica" w:cs="Helvetica"/>
                <w:noProof/>
                <w:webHidden/>
              </w:rPr>
              <w:fldChar w:fldCharType="end"/>
            </w:r>
          </w:hyperlink>
        </w:p>
        <w:p w14:paraId="236B8B3A"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6" w:history="1">
            <w:r w:rsidRPr="00822EC9">
              <w:rPr>
                <w:rStyle w:val="Hipervnculo"/>
                <w:rFonts w:ascii="Helvetica" w:hAnsi="Helvetica" w:cs="Helvetica"/>
                <w:noProof/>
              </w:rPr>
              <w:t>6. Políticas de Contabilidad Significativas: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_Toc508279626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4</w:t>
            </w:r>
            <w:r w:rsidRPr="00822EC9">
              <w:rPr>
                <w:rFonts w:ascii="Helvetica" w:hAnsi="Helvetica" w:cs="Helvetica"/>
                <w:noProof/>
                <w:webHidden/>
              </w:rPr>
              <w:fldChar w:fldCharType="end"/>
            </w:r>
          </w:hyperlink>
        </w:p>
        <w:p w14:paraId="6FC8E44B"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7" w:history="1">
            <w:r w:rsidRPr="00822EC9">
              <w:rPr>
                <w:rStyle w:val="Hipervnculo"/>
                <w:rFonts w:ascii="Helvetica" w:hAnsi="Helvetica" w:cs="Helvetica"/>
                <w:noProof/>
              </w:rPr>
              <w:t>7. Posición en Moneda Extranjera y Protección por Riesgo Cambiario: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_Toc508279627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5</w:t>
            </w:r>
            <w:r w:rsidRPr="00822EC9">
              <w:rPr>
                <w:rFonts w:ascii="Helvetica" w:hAnsi="Helvetica" w:cs="Helvetica"/>
                <w:noProof/>
                <w:webHidden/>
              </w:rPr>
              <w:fldChar w:fldCharType="end"/>
            </w:r>
          </w:hyperlink>
        </w:p>
        <w:p w14:paraId="08EB023E"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8" w:history="1">
            <w:r w:rsidRPr="00822EC9">
              <w:rPr>
                <w:rStyle w:val="Hipervnculo"/>
                <w:rFonts w:ascii="Helvetica" w:hAnsi="Helvetica" w:cs="Helvetica"/>
                <w:noProof/>
              </w:rPr>
              <w:t>8. Reporte Analítico del Activo:</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_Toc508279628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6</w:t>
            </w:r>
            <w:r w:rsidRPr="00822EC9">
              <w:rPr>
                <w:rFonts w:ascii="Helvetica" w:hAnsi="Helvetica" w:cs="Helvetica"/>
                <w:noProof/>
                <w:webHidden/>
              </w:rPr>
              <w:fldChar w:fldCharType="end"/>
            </w:r>
          </w:hyperlink>
        </w:p>
        <w:p w14:paraId="3AC1B4B4"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29" w:history="1">
            <w:r w:rsidRPr="00822EC9">
              <w:rPr>
                <w:rStyle w:val="Hipervnculo"/>
                <w:rFonts w:ascii="Helvetica" w:hAnsi="Helvetica" w:cs="Helvetica"/>
                <w:noProof/>
              </w:rPr>
              <w:t>9. Fideicomisos, Mandatos y Análogos: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_Toc508279629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343E2F5D"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0" w:history="1">
            <w:r w:rsidRPr="00822EC9">
              <w:rPr>
                <w:rStyle w:val="Hipervnculo"/>
                <w:rFonts w:ascii="Helvetica" w:hAnsi="Helvetica" w:cs="Helvetica"/>
                <w:noProof/>
              </w:rPr>
              <w:t>10. Reporte de la Recaudación:</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_Toc508279630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50ABD1AF"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1" w:history="1">
            <w:r w:rsidRPr="00822EC9">
              <w:rPr>
                <w:rStyle w:val="Hipervnculo"/>
                <w:rFonts w:ascii="Helvetica" w:hAnsi="Helvetica" w:cs="Helvetica"/>
                <w:noProof/>
              </w:rPr>
              <w:t>11. Información sobre la Deuda y el Reporte Analítico de la Deuda: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_Toc508279631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7</w:t>
            </w:r>
            <w:r w:rsidRPr="00822EC9">
              <w:rPr>
                <w:rFonts w:ascii="Helvetica" w:hAnsi="Helvetica" w:cs="Helvetica"/>
                <w:noProof/>
                <w:webHidden/>
              </w:rPr>
              <w:fldChar w:fldCharType="end"/>
            </w:r>
          </w:hyperlink>
        </w:p>
        <w:p w14:paraId="6A980AAD"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2" w:history="1">
            <w:r w:rsidRPr="00822EC9">
              <w:rPr>
                <w:rStyle w:val="Hipervnculo"/>
                <w:rFonts w:ascii="Helvetica" w:hAnsi="Helvetica" w:cs="Helvetica"/>
                <w:noProof/>
              </w:rPr>
              <w:t>12. Calificaciones otorgadas: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_Toc508279632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65DE8276"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3" w:history="1">
            <w:r w:rsidRPr="00822EC9">
              <w:rPr>
                <w:rStyle w:val="Hipervnculo"/>
                <w:rFonts w:ascii="Helvetica" w:hAnsi="Helvetica" w:cs="Helvetica"/>
                <w:noProof/>
              </w:rPr>
              <w:t>13. Proceso de Mejora:</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_Toc508279633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243FCD20"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4" w:history="1">
            <w:r w:rsidRPr="00822EC9">
              <w:rPr>
                <w:rStyle w:val="Hipervnculo"/>
                <w:rFonts w:ascii="Helvetica" w:hAnsi="Helvetica" w:cs="Helvetica"/>
                <w:noProof/>
              </w:rPr>
              <w:t>14. Información por Segmentos: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_Toc508279634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3EACF973"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5" w:history="1">
            <w:r w:rsidRPr="00822EC9">
              <w:rPr>
                <w:rStyle w:val="Hipervnculo"/>
                <w:rFonts w:ascii="Helvetica" w:hAnsi="Helvetica" w:cs="Helvetica"/>
                <w:noProof/>
              </w:rPr>
              <w:t>15. Eventos Posteriores al Cierre:</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_Toc508279635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8</w:t>
            </w:r>
            <w:r w:rsidRPr="00822EC9">
              <w:rPr>
                <w:rFonts w:ascii="Helvetica" w:hAnsi="Helvetica" w:cs="Helvetica"/>
                <w:noProof/>
                <w:webHidden/>
              </w:rPr>
              <w:fldChar w:fldCharType="end"/>
            </w:r>
          </w:hyperlink>
        </w:p>
        <w:p w14:paraId="0CEA8CCB"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6" w:history="1">
            <w:r w:rsidRPr="00822EC9">
              <w:rPr>
                <w:rStyle w:val="Hipervnculo"/>
                <w:rFonts w:ascii="Helvetica" w:hAnsi="Helvetica" w:cs="Helvetica"/>
                <w:noProof/>
              </w:rPr>
              <w:t>16. Partes Relacionadas:</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_Toc508279636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9</w:t>
            </w:r>
            <w:r w:rsidRPr="00822EC9">
              <w:rPr>
                <w:rFonts w:ascii="Helvetica" w:hAnsi="Helvetica" w:cs="Helvetica"/>
                <w:noProof/>
                <w:webHidden/>
              </w:rPr>
              <w:fldChar w:fldCharType="end"/>
            </w:r>
          </w:hyperlink>
        </w:p>
        <w:p w14:paraId="1D27FD53" w14:textId="77777777" w:rsidR="00822EC9" w:rsidRPr="00822EC9" w:rsidRDefault="00822EC9" w:rsidP="00822EC9">
          <w:pPr>
            <w:pStyle w:val="TDC2"/>
            <w:tabs>
              <w:tab w:val="right" w:leader="dot" w:pos="9678"/>
            </w:tabs>
            <w:spacing w:after="120"/>
            <w:rPr>
              <w:rFonts w:ascii="Helvetica" w:hAnsi="Helvetica" w:cs="Helvetica"/>
              <w:noProof/>
            </w:rPr>
          </w:pPr>
          <w:hyperlink w:anchor="_Toc508279637" w:history="1">
            <w:r w:rsidRPr="00822EC9">
              <w:rPr>
                <w:rStyle w:val="Hipervnculo"/>
                <w:rFonts w:ascii="Helvetica" w:hAnsi="Helvetica" w:cs="Helvetica"/>
                <w:noProof/>
              </w:rPr>
              <w:t>17. Responsabilidad Sobre la Presentación Razonable de la Información Contable:</w:t>
            </w:r>
            <w:r w:rsidRPr="00822EC9">
              <w:rPr>
                <w:rFonts w:ascii="Helvetica" w:hAnsi="Helvetica" w:cs="Helvetica"/>
                <w:noProof/>
                <w:webHidden/>
              </w:rPr>
              <w:tab/>
            </w:r>
            <w:r w:rsidRPr="00822EC9">
              <w:rPr>
                <w:rFonts w:ascii="Helvetica" w:hAnsi="Helvetica" w:cs="Helvetica"/>
                <w:noProof/>
                <w:webHidden/>
              </w:rPr>
              <w:fldChar w:fldCharType="begin"/>
            </w:r>
            <w:r w:rsidRPr="00822EC9">
              <w:rPr>
                <w:rFonts w:ascii="Helvetica" w:hAnsi="Helvetica" w:cs="Helvetica"/>
                <w:noProof/>
                <w:webHidden/>
              </w:rPr>
              <w:instrText xml:space="preserve"> PAGEREF _Toc508279637 \h </w:instrText>
            </w:r>
            <w:r w:rsidRPr="00822EC9">
              <w:rPr>
                <w:rFonts w:ascii="Helvetica" w:hAnsi="Helvetica" w:cs="Helvetica"/>
                <w:noProof/>
                <w:webHidden/>
              </w:rPr>
            </w:r>
            <w:r w:rsidRPr="00822EC9">
              <w:rPr>
                <w:rFonts w:ascii="Helvetica" w:hAnsi="Helvetica" w:cs="Helvetica"/>
                <w:noProof/>
                <w:webHidden/>
              </w:rPr>
              <w:fldChar w:fldCharType="separate"/>
            </w:r>
            <w:r w:rsidRPr="00822EC9">
              <w:rPr>
                <w:rFonts w:ascii="Helvetica" w:hAnsi="Helvetica" w:cs="Helvetica"/>
                <w:noProof/>
                <w:webHidden/>
              </w:rPr>
              <w:t>9</w:t>
            </w:r>
            <w:r w:rsidRPr="00822EC9">
              <w:rPr>
                <w:rFonts w:ascii="Helvetica" w:hAnsi="Helvetica" w:cs="Helvetica"/>
                <w:noProof/>
                <w:webHidden/>
              </w:rPr>
              <w:fldChar w:fldCharType="end"/>
            </w:r>
          </w:hyperlink>
        </w:p>
        <w:p w14:paraId="222E07C3" w14:textId="77777777" w:rsidR="00822EC9" w:rsidRPr="00822EC9" w:rsidRDefault="00822EC9" w:rsidP="00822EC9">
          <w:pPr>
            <w:spacing w:after="120"/>
            <w:rPr>
              <w:rFonts w:ascii="Helvetica" w:hAnsi="Helvetica" w:cs="Helvetica"/>
            </w:rPr>
          </w:pPr>
          <w:r w:rsidRPr="00822EC9">
            <w:rPr>
              <w:rFonts w:ascii="Helvetica" w:hAnsi="Helvetica" w:cs="Helvetica"/>
              <w:b/>
              <w:bCs/>
              <w:lang w:val="es-ES"/>
            </w:rPr>
            <w:fldChar w:fldCharType="end"/>
          </w:r>
        </w:p>
      </w:sdtContent>
    </w:sdt>
    <w:p w14:paraId="1943E591" w14:textId="77777777" w:rsidR="00822EC9" w:rsidRPr="00822EC9" w:rsidRDefault="00822EC9" w:rsidP="00822EC9">
      <w:pPr>
        <w:pStyle w:val="Ttulo2"/>
        <w:spacing w:after="120"/>
        <w:rPr>
          <w:rFonts w:ascii="Helvetica" w:hAnsi="Helvetica" w:cs="Helvetica"/>
          <w:b/>
          <w:color w:val="auto"/>
          <w:sz w:val="22"/>
        </w:rPr>
      </w:pPr>
      <w:bookmarkStart w:id="0" w:name="_Toc508279621"/>
      <w:r w:rsidRPr="00822EC9">
        <w:rPr>
          <w:rFonts w:ascii="Helvetica" w:hAnsi="Helvetica" w:cs="Helvetica"/>
          <w:b/>
          <w:color w:val="auto"/>
          <w:sz w:val="22"/>
        </w:rPr>
        <w:lastRenderedPageBreak/>
        <w:t>1. Introducción:</w:t>
      </w:r>
      <w:bookmarkEnd w:id="0"/>
    </w:p>
    <w:p w14:paraId="5CCAB627"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La Comisión tiene la obligación de atender, asistir y, en su caso, reparar a las víctimas de delitos del fuero común o de violaciones a derechos humanos cometidos por servidores públicos del orden estatal o municipal.</w:t>
      </w:r>
    </w:p>
    <w:p w14:paraId="07F549EF" w14:textId="77777777" w:rsidR="00822EC9" w:rsidRPr="00822EC9" w:rsidRDefault="00822EC9" w:rsidP="00822EC9">
      <w:pPr>
        <w:pStyle w:val="Ttulo2"/>
        <w:spacing w:after="120"/>
        <w:rPr>
          <w:rFonts w:ascii="Helvetica" w:hAnsi="Helvetica" w:cs="Helvetica"/>
          <w:b/>
          <w:color w:val="auto"/>
          <w:sz w:val="22"/>
        </w:rPr>
      </w:pPr>
      <w:bookmarkStart w:id="1" w:name="_Toc508279622"/>
      <w:r w:rsidRPr="00822EC9">
        <w:rPr>
          <w:rFonts w:ascii="Helvetica" w:hAnsi="Helvetica" w:cs="Helvetica"/>
          <w:b/>
          <w:color w:val="auto"/>
          <w:sz w:val="22"/>
        </w:rPr>
        <w:t>2. Describir el panorama Económico y Financiero:</w:t>
      </w:r>
      <w:bookmarkEnd w:id="1"/>
    </w:p>
    <w:p w14:paraId="6821FD9C"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La Ley de Víctimas del Estado de Guanajuato define a las víctimas directas como: las personas físicas que directa o indirectamente ha sufrido daño o el menoscabo de sus derechos producto de una violación de derechos humanos o de la comisión de un delito. De acuerdo con Encuesta Nacional de Victimización y Percepción sobre Seguridad Pública (ENVIPE) 2020, el estado de Guanajuato, se estima que 31.2% de los hogares en el estado tuvo, al menos, una víctima de delito durante 2019. En términos absolutos, esto significa que 510,787 hogares fueron víctimas de algún delito de un total de 1,637,138 hogares. En comparación con la tasa nacional, Guanajuato está dos puntos porcentuales arriba de este indicador. </w:t>
      </w:r>
    </w:p>
    <w:p w14:paraId="7B0B34D1"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Son víctimas indirectas los familiares o aquellas personas físicas a cargo de la víctima directa que tengan una relación inmediata con ella. </w:t>
      </w:r>
    </w:p>
    <w:p w14:paraId="77F62C62"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Son víctimas potenciales las personas físicas cuya integridad física o derechos peligren por prestar asistencia a la víctima ya sea por impedir o detener la violación de derechos humanos o la comisión de un delito. </w:t>
      </w:r>
    </w:p>
    <w:p w14:paraId="3A11B28C"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 xml:space="preserve">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 </w:t>
      </w:r>
    </w:p>
    <w:p w14:paraId="53FB83F1"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Son víctimas los grupos, comunidades u organizaciones sociales que hubieran sido afectadas en sus derechos, intereses o bienes jurídicos colectivos como resultado de la comisión de un delito o la violación de derechos humanos.</w:t>
      </w:r>
    </w:p>
    <w:p w14:paraId="7301A1A5"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De acuerdo con la misma fuente, la tasa de víctimas por cada cien mil habitantes para la población de 18 años en el estado muestra que 26,980 han sido víctimas de algún delito. Es importante precisar que esta tasa, considera únicamente las víctimas directas.</w:t>
      </w:r>
    </w:p>
    <w:p w14:paraId="20A322C4"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Finalmente, es importante señalar que de los 2,115,881 delitos cometidos en el estado durante 2019, en el 90.4 por ciento de ellos, las víctimas manifestaron sufrir de un daño económico, emocional o psicológico, físico o laboral.</w:t>
      </w:r>
    </w:p>
    <w:p w14:paraId="287E8789" w14:textId="77777777" w:rsidR="00822EC9" w:rsidRPr="00822EC9" w:rsidRDefault="00822EC9" w:rsidP="00822EC9">
      <w:pPr>
        <w:pStyle w:val="Ttulo2"/>
        <w:spacing w:after="120"/>
        <w:rPr>
          <w:rFonts w:ascii="Helvetica" w:hAnsi="Helvetica" w:cs="Helvetica"/>
          <w:b/>
          <w:color w:val="auto"/>
          <w:sz w:val="22"/>
        </w:rPr>
      </w:pPr>
      <w:bookmarkStart w:id="2" w:name="_Toc508279623"/>
      <w:r w:rsidRPr="00822EC9">
        <w:rPr>
          <w:rFonts w:ascii="Helvetica" w:hAnsi="Helvetica" w:cs="Helvetica"/>
          <w:b/>
          <w:color w:val="auto"/>
          <w:sz w:val="22"/>
        </w:rPr>
        <w:t>3. Autorización e Historia:</w:t>
      </w:r>
      <w:bookmarkEnd w:id="2"/>
    </w:p>
    <w:p w14:paraId="584BB2BD"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1D2493C1" w14:textId="24483094" w:rsidR="00822EC9" w:rsidRPr="00822EC9" w:rsidRDefault="00822EC9" w:rsidP="00822EC9">
      <w:pPr>
        <w:pStyle w:val="Prrafodelista"/>
        <w:numPr>
          <w:ilvl w:val="0"/>
          <w:numId w:val="4"/>
        </w:numPr>
        <w:tabs>
          <w:tab w:val="left" w:leader="underscore" w:pos="9639"/>
        </w:tabs>
        <w:spacing w:after="120"/>
        <w:jc w:val="both"/>
        <w:rPr>
          <w:rFonts w:ascii="Helvetica" w:hAnsi="Helvetica" w:cs="Helvetica"/>
        </w:rPr>
      </w:pPr>
      <w:r w:rsidRPr="00822EC9">
        <w:rPr>
          <w:rFonts w:ascii="Helvetica" w:hAnsi="Helvetica" w:cs="Helvetica"/>
        </w:rPr>
        <w:t>Fecha de creación del ente.</w:t>
      </w:r>
    </w:p>
    <w:p w14:paraId="1F4523AA" w14:textId="77777777" w:rsidR="00822EC9" w:rsidRPr="00822EC9" w:rsidRDefault="00822EC9" w:rsidP="00822EC9">
      <w:pPr>
        <w:tabs>
          <w:tab w:val="left" w:leader="underscore" w:pos="9639"/>
        </w:tabs>
        <w:spacing w:after="120"/>
        <w:jc w:val="both"/>
        <w:rPr>
          <w:rFonts w:ascii="Helvetica" w:hAnsi="Helvetica" w:cs="Helvetica"/>
          <w:iCs/>
        </w:rPr>
      </w:pPr>
      <w:r w:rsidRPr="00822EC9">
        <w:rPr>
          <w:rFonts w:ascii="Helvetica" w:hAnsi="Helvetica" w:cs="Helvetica"/>
          <w:iCs/>
        </w:rPr>
        <w:t>La Ley de Víctimas del Estado de Guanajuato se promulgó el 27 de mayo de 2020, en este ordenamiento jurídico se considera en el Título Séptimo, Comisión Estatal de Atención Integral a Víctimas, Capítulo I, la creación y objeto del organismo.</w:t>
      </w:r>
    </w:p>
    <w:p w14:paraId="5945B202" w14:textId="5B277E10" w:rsidR="00822EC9" w:rsidRPr="00822EC9" w:rsidRDefault="00822EC9" w:rsidP="00822EC9">
      <w:pPr>
        <w:pStyle w:val="Prrafodelista"/>
        <w:numPr>
          <w:ilvl w:val="0"/>
          <w:numId w:val="4"/>
        </w:numPr>
        <w:tabs>
          <w:tab w:val="left" w:leader="underscore" w:pos="9639"/>
        </w:tabs>
        <w:spacing w:after="120"/>
        <w:jc w:val="both"/>
        <w:rPr>
          <w:rFonts w:ascii="Helvetica" w:hAnsi="Helvetica" w:cs="Helvetica"/>
        </w:rPr>
      </w:pPr>
      <w:r w:rsidRPr="00822EC9">
        <w:rPr>
          <w:rFonts w:ascii="Helvetica" w:hAnsi="Helvetica" w:cs="Helvetica"/>
        </w:rPr>
        <w:t>Principales cambios en su estructura (interna históricamente).</w:t>
      </w:r>
    </w:p>
    <w:p w14:paraId="17D4774F" w14:textId="77777777" w:rsidR="00485D04" w:rsidRDefault="00485D04" w:rsidP="00822EC9">
      <w:pPr>
        <w:pStyle w:val="Ttulo2"/>
        <w:spacing w:after="120"/>
        <w:rPr>
          <w:rFonts w:ascii="Helvetica" w:eastAsia="Calibri" w:hAnsi="Helvetica" w:cs="Helvetica"/>
          <w:color w:val="auto"/>
          <w:sz w:val="22"/>
          <w:szCs w:val="22"/>
        </w:rPr>
      </w:pPr>
      <w:bookmarkStart w:id="3" w:name="_Toc508279624"/>
      <w:r w:rsidRPr="00485D04">
        <w:rPr>
          <w:rFonts w:ascii="Helvetica" w:eastAsia="Calibri" w:hAnsi="Helvetica" w:cs="Helvetica"/>
          <w:color w:val="auto"/>
          <w:sz w:val="22"/>
          <w:szCs w:val="22"/>
        </w:rPr>
        <w:lastRenderedPageBreak/>
        <w:t>Por tratarse de un organismo de creación reciente, no ha habido cambios en su estructura interna. Entre ellos la incorporación de 125 plazas.</w:t>
      </w:r>
    </w:p>
    <w:p w14:paraId="0DB95A80" w14:textId="48058BE4" w:rsidR="00822EC9" w:rsidRPr="00822EC9" w:rsidRDefault="00822EC9" w:rsidP="00822EC9">
      <w:pPr>
        <w:pStyle w:val="Ttulo2"/>
        <w:spacing w:after="120"/>
        <w:rPr>
          <w:rFonts w:ascii="Helvetica" w:hAnsi="Helvetica" w:cs="Helvetica"/>
          <w:b/>
          <w:color w:val="auto"/>
          <w:sz w:val="22"/>
        </w:rPr>
      </w:pPr>
      <w:r w:rsidRPr="00822EC9">
        <w:rPr>
          <w:rFonts w:ascii="Helvetica" w:hAnsi="Helvetica" w:cs="Helvetica"/>
          <w:b/>
          <w:color w:val="auto"/>
          <w:sz w:val="22"/>
        </w:rPr>
        <w:t>4. Organización y Objeto Social:</w:t>
      </w:r>
      <w:bookmarkEnd w:id="3"/>
    </w:p>
    <w:p w14:paraId="75E466F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209B1CF1" w14:textId="13274D8C"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Objeto social.</w:t>
      </w:r>
    </w:p>
    <w:p w14:paraId="79B21A05"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Administración pública estatal en general.</w:t>
      </w:r>
    </w:p>
    <w:p w14:paraId="6A0D7621" w14:textId="647335F5"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Principal actividad.</w:t>
      </w:r>
    </w:p>
    <w:p w14:paraId="2179C315"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La Comisión tiene la obligación de atender, asistir y, en su caso, reparar a las víctimas de delitos del fuero común o de violaciones a derechos humanos cometidos por servidores públicos del orden estatal o municipal.</w:t>
      </w:r>
    </w:p>
    <w:p w14:paraId="7499CD7A" w14:textId="6DAEE6E3"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Ejercicio fiscal (mencionar, por ejemplo: enero a diciembre de 2019).</w:t>
      </w:r>
    </w:p>
    <w:p w14:paraId="4B6CC113" w14:textId="3CDAE1D1"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Enero a diciembre de 202</w:t>
      </w:r>
      <w:r w:rsidR="00EF51BE">
        <w:rPr>
          <w:rFonts w:ascii="Helvetica" w:hAnsi="Helvetica" w:cs="Helvetica"/>
          <w:iCs/>
        </w:rPr>
        <w:t>5</w:t>
      </w:r>
      <w:r w:rsidRPr="00822EC9">
        <w:rPr>
          <w:rFonts w:ascii="Helvetica" w:hAnsi="Helvetica" w:cs="Helvetica"/>
          <w:iCs/>
        </w:rPr>
        <w:t>.</w:t>
      </w:r>
    </w:p>
    <w:p w14:paraId="446ED19D" w14:textId="4F056D41"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Régimen jurídico (Forma como está dada de alta la entidad ante la S.H.C.P., ejemplos: S.C., S.A., Personas morales sin fines de lucro, etc.).</w:t>
      </w:r>
    </w:p>
    <w:p w14:paraId="6A6C3BE4"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Es un organismo con personalidad jurídica y patrimonio propios; con autonomía técnica, de gestión que cuenta con los recursos que se le asigne en el presupuesto general de egresos del estado; tributa conforme al Título III Del Régimen de las Personas Morales con fines no Lucrativos, de conformidad con el artículo 79, fracción XXIV de la Ley del ISR, legalmente constituida en México.</w:t>
      </w:r>
    </w:p>
    <w:p w14:paraId="7278CBFD" w14:textId="54A139A2"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Consideraciones fiscales del ente: Revelar el tipo de contribuciones que esté obligado a pagar o retener.</w:t>
      </w:r>
    </w:p>
    <w:p w14:paraId="1F369050" w14:textId="77777777" w:rsidR="00822EC9" w:rsidRPr="00822EC9" w:rsidRDefault="00822EC9" w:rsidP="00822EC9">
      <w:pPr>
        <w:tabs>
          <w:tab w:val="left" w:leader="underscore" w:pos="9639"/>
        </w:tabs>
        <w:spacing w:after="120"/>
        <w:ind w:left="709"/>
        <w:jc w:val="both"/>
        <w:rPr>
          <w:rFonts w:ascii="Helvetica" w:hAnsi="Helvetica" w:cs="Helvetica"/>
          <w:iCs/>
        </w:rPr>
      </w:pPr>
      <w:r w:rsidRPr="00822EC9">
        <w:rPr>
          <w:rFonts w:ascii="Helvetica" w:hAnsi="Helvetica" w:cs="Helvetica"/>
          <w:iCs/>
        </w:rPr>
        <w:t>La CEAIV cuenta con las siguientes obligaciones fiscales: Declaración informativa mensual de proveedores y entero de retenciones mensuales de ISR por sueldos y salarios.</w:t>
      </w:r>
    </w:p>
    <w:p w14:paraId="583BDB4B" w14:textId="77777777" w:rsidR="00822EC9" w:rsidRDefault="00822EC9" w:rsidP="00822EC9">
      <w:pPr>
        <w:tabs>
          <w:tab w:val="left" w:leader="underscore" w:pos="9639"/>
        </w:tabs>
        <w:spacing w:after="120"/>
        <w:jc w:val="both"/>
        <w:rPr>
          <w:rFonts w:ascii="Helvetica" w:hAnsi="Helvetica" w:cs="Helvetica"/>
          <w:b/>
        </w:rPr>
      </w:pPr>
    </w:p>
    <w:p w14:paraId="658ECD24" w14:textId="77777777" w:rsidR="00822EC9" w:rsidRDefault="00822EC9" w:rsidP="00822EC9">
      <w:pPr>
        <w:tabs>
          <w:tab w:val="left" w:leader="underscore" w:pos="9639"/>
        </w:tabs>
        <w:spacing w:after="120"/>
        <w:jc w:val="both"/>
        <w:rPr>
          <w:rFonts w:ascii="Helvetica" w:hAnsi="Helvetica" w:cs="Helvetica"/>
          <w:b/>
        </w:rPr>
      </w:pPr>
    </w:p>
    <w:p w14:paraId="472599E2" w14:textId="77777777" w:rsidR="00822EC9" w:rsidRDefault="00822EC9" w:rsidP="00822EC9">
      <w:pPr>
        <w:tabs>
          <w:tab w:val="left" w:leader="underscore" w:pos="9639"/>
        </w:tabs>
        <w:spacing w:after="120"/>
        <w:jc w:val="both"/>
        <w:rPr>
          <w:rFonts w:ascii="Helvetica" w:hAnsi="Helvetica" w:cs="Helvetica"/>
          <w:b/>
        </w:rPr>
      </w:pPr>
    </w:p>
    <w:p w14:paraId="2F9F8D4B" w14:textId="77777777" w:rsidR="00822EC9" w:rsidRDefault="00822EC9" w:rsidP="00822EC9">
      <w:pPr>
        <w:tabs>
          <w:tab w:val="left" w:leader="underscore" w:pos="9639"/>
        </w:tabs>
        <w:spacing w:after="120"/>
        <w:jc w:val="both"/>
        <w:rPr>
          <w:rFonts w:ascii="Helvetica" w:hAnsi="Helvetica" w:cs="Helvetica"/>
          <w:b/>
        </w:rPr>
      </w:pPr>
    </w:p>
    <w:p w14:paraId="66EA0110" w14:textId="77777777" w:rsidR="00822EC9" w:rsidRDefault="00822EC9" w:rsidP="00822EC9">
      <w:pPr>
        <w:tabs>
          <w:tab w:val="left" w:leader="underscore" w:pos="9639"/>
        </w:tabs>
        <w:spacing w:after="120"/>
        <w:jc w:val="both"/>
        <w:rPr>
          <w:rFonts w:ascii="Helvetica" w:hAnsi="Helvetica" w:cs="Helvetica"/>
          <w:b/>
        </w:rPr>
      </w:pPr>
    </w:p>
    <w:p w14:paraId="0316FD9E" w14:textId="77777777" w:rsidR="00822EC9" w:rsidRDefault="00822EC9" w:rsidP="00822EC9">
      <w:pPr>
        <w:tabs>
          <w:tab w:val="left" w:leader="underscore" w:pos="9639"/>
        </w:tabs>
        <w:spacing w:after="120"/>
        <w:jc w:val="both"/>
        <w:rPr>
          <w:rFonts w:ascii="Helvetica" w:hAnsi="Helvetica" w:cs="Helvetica"/>
          <w:b/>
        </w:rPr>
      </w:pPr>
    </w:p>
    <w:p w14:paraId="08CB0D69" w14:textId="77777777" w:rsidR="00822EC9" w:rsidRDefault="00822EC9" w:rsidP="00822EC9">
      <w:pPr>
        <w:tabs>
          <w:tab w:val="left" w:leader="underscore" w:pos="9639"/>
        </w:tabs>
        <w:spacing w:after="120"/>
        <w:jc w:val="both"/>
        <w:rPr>
          <w:rFonts w:ascii="Helvetica" w:hAnsi="Helvetica" w:cs="Helvetica"/>
          <w:b/>
        </w:rPr>
      </w:pPr>
    </w:p>
    <w:p w14:paraId="329CAF0B" w14:textId="77777777" w:rsidR="00822EC9" w:rsidRDefault="00822EC9" w:rsidP="00822EC9">
      <w:pPr>
        <w:tabs>
          <w:tab w:val="left" w:leader="underscore" w:pos="9639"/>
        </w:tabs>
        <w:spacing w:after="120"/>
        <w:jc w:val="both"/>
        <w:rPr>
          <w:rFonts w:ascii="Helvetica" w:hAnsi="Helvetica" w:cs="Helvetica"/>
          <w:b/>
        </w:rPr>
      </w:pPr>
    </w:p>
    <w:p w14:paraId="07D73FE4" w14:textId="77777777" w:rsidR="00485D04" w:rsidRDefault="00485D04" w:rsidP="00822EC9">
      <w:pPr>
        <w:tabs>
          <w:tab w:val="left" w:leader="underscore" w:pos="9639"/>
        </w:tabs>
        <w:spacing w:after="120"/>
        <w:jc w:val="both"/>
        <w:rPr>
          <w:rFonts w:ascii="Helvetica" w:hAnsi="Helvetica" w:cs="Helvetica"/>
          <w:b/>
        </w:rPr>
      </w:pPr>
    </w:p>
    <w:p w14:paraId="3A00E6B1" w14:textId="77777777" w:rsidR="00485D04" w:rsidRDefault="00485D04" w:rsidP="00822EC9">
      <w:pPr>
        <w:tabs>
          <w:tab w:val="left" w:leader="underscore" w:pos="9639"/>
        </w:tabs>
        <w:spacing w:after="120"/>
        <w:jc w:val="both"/>
        <w:rPr>
          <w:rFonts w:ascii="Helvetica" w:hAnsi="Helvetica" w:cs="Helvetica"/>
          <w:b/>
        </w:rPr>
      </w:pPr>
    </w:p>
    <w:p w14:paraId="1DDAFB7F" w14:textId="77777777" w:rsidR="00485D04" w:rsidRDefault="00485D04" w:rsidP="00822EC9">
      <w:pPr>
        <w:tabs>
          <w:tab w:val="left" w:leader="underscore" w:pos="9639"/>
        </w:tabs>
        <w:spacing w:after="120"/>
        <w:jc w:val="both"/>
        <w:rPr>
          <w:rFonts w:ascii="Helvetica" w:hAnsi="Helvetica" w:cs="Helvetica"/>
          <w:b/>
        </w:rPr>
      </w:pPr>
    </w:p>
    <w:p w14:paraId="5B31D3D5" w14:textId="25C3C428"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lastRenderedPageBreak/>
        <w:t>Estructura organizacional básica.</w:t>
      </w:r>
    </w:p>
    <w:p w14:paraId="21987E0E" w14:textId="6CD69F68" w:rsidR="00822EC9" w:rsidRPr="00822EC9" w:rsidRDefault="00485D04" w:rsidP="00822EC9">
      <w:pPr>
        <w:tabs>
          <w:tab w:val="left" w:leader="underscore" w:pos="9639"/>
        </w:tabs>
        <w:spacing w:after="120"/>
        <w:jc w:val="both"/>
        <w:rPr>
          <w:rFonts w:ascii="Helvetica" w:hAnsi="Helvetica" w:cs="Helvetica"/>
        </w:rPr>
      </w:pPr>
      <w:r w:rsidRPr="00D62B84">
        <w:rPr>
          <w:rFonts w:ascii="Arial" w:hAnsi="Arial" w:cs="Arial"/>
          <w:noProof/>
          <w:sz w:val="18"/>
          <w:szCs w:val="18"/>
        </w:rPr>
        <w:drawing>
          <wp:inline distT="0" distB="0" distL="0" distR="0" wp14:anchorId="00AE48CE" wp14:editId="0E0C18D8">
            <wp:extent cx="6151880" cy="3460433"/>
            <wp:effectExtent l="0" t="0" r="0" b="0"/>
            <wp:docPr id="1280961731"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61731" name="Imagen 1" descr="Escala de tiempo&#10;&#10;El contenido generado por IA puede ser incorrecto."/>
                    <pic:cNvPicPr/>
                  </pic:nvPicPr>
                  <pic:blipFill>
                    <a:blip r:embed="rId8"/>
                    <a:stretch>
                      <a:fillRect/>
                    </a:stretch>
                  </pic:blipFill>
                  <pic:spPr>
                    <a:xfrm>
                      <a:off x="0" y="0"/>
                      <a:ext cx="6151880" cy="3460433"/>
                    </a:xfrm>
                    <a:prstGeom prst="rect">
                      <a:avLst/>
                    </a:prstGeom>
                  </pic:spPr>
                </pic:pic>
              </a:graphicData>
            </a:graphic>
          </wp:inline>
        </w:drawing>
      </w:r>
    </w:p>
    <w:p w14:paraId="7228933C" w14:textId="77777777" w:rsidR="00822EC9" w:rsidRPr="00822EC9" w:rsidRDefault="00822EC9" w:rsidP="00822EC9">
      <w:pPr>
        <w:tabs>
          <w:tab w:val="left" w:leader="underscore" w:pos="9639"/>
        </w:tabs>
        <w:spacing w:after="120"/>
        <w:jc w:val="both"/>
        <w:rPr>
          <w:rFonts w:ascii="Helvetica" w:hAnsi="Helvetica" w:cs="Helvetica"/>
        </w:rPr>
      </w:pPr>
    </w:p>
    <w:p w14:paraId="19A54ED3" w14:textId="63F90098" w:rsidR="00822EC9" w:rsidRPr="00822EC9" w:rsidRDefault="00822EC9" w:rsidP="00822EC9">
      <w:pPr>
        <w:pStyle w:val="Prrafodelista"/>
        <w:numPr>
          <w:ilvl w:val="0"/>
          <w:numId w:val="5"/>
        </w:numPr>
        <w:tabs>
          <w:tab w:val="left" w:leader="underscore" w:pos="9639"/>
        </w:tabs>
        <w:spacing w:after="120"/>
        <w:jc w:val="both"/>
        <w:rPr>
          <w:rFonts w:ascii="Helvetica" w:hAnsi="Helvetica" w:cs="Helvetica"/>
        </w:rPr>
      </w:pPr>
      <w:r w:rsidRPr="00822EC9">
        <w:rPr>
          <w:rFonts w:ascii="Helvetica" w:hAnsi="Helvetica" w:cs="Helvetica"/>
        </w:rPr>
        <w:t>Fideicomisos, mandatos y análogos de los cuales es fideicomitente o fideicomisario.</w:t>
      </w:r>
    </w:p>
    <w:p w14:paraId="75CDA906" w14:textId="77777777" w:rsidR="00822EC9" w:rsidRPr="00822EC9" w:rsidRDefault="00822EC9" w:rsidP="00822EC9">
      <w:pPr>
        <w:tabs>
          <w:tab w:val="left" w:leader="underscore" w:pos="9639"/>
        </w:tabs>
        <w:spacing w:after="120"/>
        <w:ind w:left="709"/>
        <w:jc w:val="both"/>
        <w:rPr>
          <w:rFonts w:ascii="Helvetica" w:hAnsi="Helvetica" w:cs="Helvetica"/>
          <w:iCs/>
          <w:u w:val="single"/>
        </w:rPr>
      </w:pPr>
      <w:r w:rsidRPr="00822EC9">
        <w:rPr>
          <w:rFonts w:ascii="Helvetica" w:hAnsi="Helvetica" w:cs="Helvetica"/>
          <w:iCs/>
        </w:rPr>
        <w:t>La CEAIV no cuenta con fideicomisos, mandatos y análogos ni forma parte de algún fideicomiso.</w:t>
      </w:r>
    </w:p>
    <w:p w14:paraId="6A59E29F" w14:textId="77777777" w:rsidR="00822EC9" w:rsidRPr="00822EC9" w:rsidRDefault="00822EC9" w:rsidP="00822EC9">
      <w:pPr>
        <w:pStyle w:val="Ttulo2"/>
        <w:spacing w:after="120"/>
        <w:rPr>
          <w:rFonts w:ascii="Helvetica" w:hAnsi="Helvetica" w:cs="Helvetica"/>
          <w:b/>
          <w:color w:val="auto"/>
          <w:sz w:val="22"/>
        </w:rPr>
      </w:pPr>
      <w:bookmarkStart w:id="4" w:name="_Toc508279625"/>
      <w:r w:rsidRPr="00822EC9">
        <w:rPr>
          <w:rFonts w:ascii="Helvetica" w:hAnsi="Helvetica" w:cs="Helvetica"/>
          <w:b/>
          <w:color w:val="auto"/>
          <w:sz w:val="22"/>
        </w:rPr>
        <w:t>5. Bases de Preparación de los Estados Financieros:</w:t>
      </w:r>
      <w:bookmarkEnd w:id="4"/>
    </w:p>
    <w:p w14:paraId="1557CE7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755104BA" w14:textId="3D734703"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Si se ha observado la normatividad emitida por el CONAC y las disposiciones legales aplicables.</w:t>
      </w:r>
    </w:p>
    <w:p w14:paraId="402F444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emisión de información financiera toma como base las normas emitidas por la CONAC y demás disposiciones legales que aplican para cada caso.</w:t>
      </w:r>
    </w:p>
    <w:p w14:paraId="5FA0E1F7" w14:textId="43B3C70E"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A09B4A5" w14:textId="77777777" w:rsid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información financiera generada por la Comisión se realiza en función de los criterios y normas emitidas por los entes normativos aplicables.</w:t>
      </w:r>
    </w:p>
    <w:p w14:paraId="0D54D0BE" w14:textId="77777777" w:rsidR="00485D04" w:rsidRDefault="00485D04" w:rsidP="00822EC9">
      <w:pPr>
        <w:tabs>
          <w:tab w:val="left" w:leader="underscore" w:pos="9639"/>
        </w:tabs>
        <w:spacing w:after="120"/>
        <w:ind w:left="709"/>
        <w:jc w:val="both"/>
        <w:rPr>
          <w:rFonts w:ascii="Helvetica" w:hAnsi="Helvetica" w:cs="Helvetica"/>
        </w:rPr>
      </w:pPr>
    </w:p>
    <w:p w14:paraId="5D147187" w14:textId="77777777" w:rsidR="00485D04" w:rsidRPr="00822EC9" w:rsidRDefault="00485D04" w:rsidP="00822EC9">
      <w:pPr>
        <w:tabs>
          <w:tab w:val="left" w:leader="underscore" w:pos="9639"/>
        </w:tabs>
        <w:spacing w:after="120"/>
        <w:ind w:left="709"/>
        <w:jc w:val="both"/>
        <w:rPr>
          <w:rFonts w:ascii="Helvetica" w:hAnsi="Helvetica" w:cs="Helvetica"/>
        </w:rPr>
      </w:pPr>
    </w:p>
    <w:p w14:paraId="1322A576" w14:textId="21158426"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lastRenderedPageBreak/>
        <w:t>Postulados básicos.</w:t>
      </w:r>
    </w:p>
    <w:p w14:paraId="3332570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información financiera generada por la Comisión se realiza en función de los criterios y normas emitidas por los entes normativos aplicables.</w:t>
      </w:r>
    </w:p>
    <w:p w14:paraId="2D41024E" w14:textId="77777777" w:rsidR="00822EC9" w:rsidRPr="00822EC9" w:rsidRDefault="00822EC9" w:rsidP="00822EC9">
      <w:pPr>
        <w:tabs>
          <w:tab w:val="left" w:leader="underscore" w:pos="9639"/>
        </w:tabs>
        <w:spacing w:after="120"/>
        <w:jc w:val="both"/>
        <w:rPr>
          <w:rFonts w:ascii="Helvetica" w:hAnsi="Helvetica" w:cs="Helvetica"/>
        </w:rPr>
      </w:pPr>
    </w:p>
    <w:p w14:paraId="3202399C" w14:textId="393E39E6"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A68F642"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La Comisión no emplea normatividades supletorias.</w:t>
      </w:r>
    </w:p>
    <w:p w14:paraId="118A8BE4" w14:textId="1B87864B" w:rsidR="00822EC9" w:rsidRPr="00822EC9" w:rsidRDefault="00822EC9" w:rsidP="00822EC9">
      <w:pPr>
        <w:pStyle w:val="Prrafodelista"/>
        <w:numPr>
          <w:ilvl w:val="0"/>
          <w:numId w:val="6"/>
        </w:numPr>
        <w:tabs>
          <w:tab w:val="left" w:leader="underscore" w:pos="9639"/>
        </w:tabs>
        <w:spacing w:after="120"/>
        <w:jc w:val="both"/>
        <w:rPr>
          <w:rFonts w:ascii="Helvetica" w:hAnsi="Helvetica" w:cs="Helvetica"/>
        </w:rPr>
      </w:pPr>
      <w:r w:rsidRPr="00822EC9">
        <w:rPr>
          <w:rFonts w:ascii="Helvetica" w:hAnsi="Helvetica" w:cs="Helvetica"/>
        </w:rPr>
        <w:t>Para las entidades que por primera vez estén implementando la base devengado de acuerdo a la Ley de Contabilidad, deberán:</w:t>
      </w:r>
    </w:p>
    <w:p w14:paraId="36C944D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*Revelar las nuevas políticas de reconocimiento:</w:t>
      </w:r>
    </w:p>
    <w:p w14:paraId="62636AD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06780B3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*Plan de implementación:</w:t>
      </w:r>
    </w:p>
    <w:p w14:paraId="4653B79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6FDC2B1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*Revelar los cambios en las políticas, la clasificación y medición de las mismas, así como su impacto en la información financiera:</w:t>
      </w:r>
    </w:p>
    <w:p w14:paraId="6C6F10D6"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aplica.</w:t>
      </w:r>
    </w:p>
    <w:p w14:paraId="3B08EA75" w14:textId="77777777" w:rsidR="00822EC9" w:rsidRPr="00822EC9" w:rsidRDefault="00822EC9" w:rsidP="00822EC9">
      <w:pPr>
        <w:pStyle w:val="Ttulo2"/>
        <w:spacing w:after="120"/>
        <w:rPr>
          <w:rFonts w:ascii="Helvetica" w:hAnsi="Helvetica" w:cs="Helvetica"/>
          <w:b/>
        </w:rPr>
      </w:pPr>
      <w:bookmarkStart w:id="5" w:name="_Toc508279626"/>
      <w:r w:rsidRPr="00822EC9">
        <w:rPr>
          <w:rFonts w:ascii="Helvetica" w:hAnsi="Helvetica" w:cs="Helvetica"/>
          <w:b/>
          <w:color w:val="auto"/>
          <w:sz w:val="22"/>
        </w:rPr>
        <w:t>6. Políticas de Contabilidad Significativas:</w:t>
      </w:r>
      <w:bookmarkEnd w:id="5"/>
    </w:p>
    <w:p w14:paraId="7C1559C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6804EAE7" w14:textId="325BFEBE"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Actualización: se informará del método utilizado para la actualización del valor de los activos, pasivos y Hacienda Pública/Patrimonio y las razones de dicha elección. Así como informar de la desconexión o reconexión inflacionaria:</w:t>
      </w:r>
    </w:p>
    <w:p w14:paraId="1FB4969B"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se cuenta con activos, pasivos o Hacienda Pública/Patrimonio de ejercicios anteriores.</w:t>
      </w:r>
    </w:p>
    <w:p w14:paraId="720FA019" w14:textId="1CD6510A"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Informar sobre la realización de operaciones en el extranjero y de sus efectos en la información financiera gubernamental:</w:t>
      </w:r>
    </w:p>
    <w:p w14:paraId="5C7DCA9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ha realizado operaciones en el extranjero.</w:t>
      </w:r>
    </w:p>
    <w:p w14:paraId="0311783E" w14:textId="7C9026AB"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Método de valuación de la inversión en acciones de Compañías subsidiarias no consolidadas y asociadas:</w:t>
      </w:r>
    </w:p>
    <w:p w14:paraId="503E91F4" w14:textId="77777777" w:rsid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se han realizado ese tipo de operaciones financieras.</w:t>
      </w:r>
    </w:p>
    <w:p w14:paraId="76BFB83C" w14:textId="77777777" w:rsidR="00822EC9" w:rsidRPr="00822EC9" w:rsidRDefault="00822EC9" w:rsidP="00822EC9">
      <w:pPr>
        <w:tabs>
          <w:tab w:val="left" w:leader="underscore" w:pos="9639"/>
        </w:tabs>
        <w:spacing w:after="120"/>
        <w:ind w:left="709"/>
        <w:jc w:val="both"/>
        <w:rPr>
          <w:rFonts w:ascii="Helvetica" w:hAnsi="Helvetica" w:cs="Helvetica"/>
        </w:rPr>
      </w:pPr>
    </w:p>
    <w:p w14:paraId="32DC13C8" w14:textId="55D95452"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Sistema y método de valuación de inventarios y costo de lo vendido:</w:t>
      </w:r>
    </w:p>
    <w:p w14:paraId="3FEFB6F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lastRenderedPageBreak/>
        <w:t>No se tienen operaciones relacionadas con inventarios por el momento, ni se realizó a la fecha que se informa venta de bienes.</w:t>
      </w:r>
    </w:p>
    <w:p w14:paraId="4066E44E" w14:textId="7897C224"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Beneficios a empleados: revelar el cálculo de la reserva actuarial, valor presente de los ingresos esperados comparado con el valor presente de la estimación de gastos tanto de los beneficiarios actuales como futuros:</w:t>
      </w:r>
    </w:p>
    <w:p w14:paraId="46516C30" w14:textId="5C8ED4BC" w:rsidR="00822EC9" w:rsidRPr="00822EC9" w:rsidRDefault="00485D04" w:rsidP="00822EC9">
      <w:pPr>
        <w:tabs>
          <w:tab w:val="left" w:leader="underscore" w:pos="9639"/>
        </w:tabs>
        <w:spacing w:after="120"/>
        <w:ind w:left="709"/>
        <w:jc w:val="both"/>
        <w:rPr>
          <w:rFonts w:ascii="Helvetica" w:hAnsi="Helvetica" w:cs="Helvetica"/>
        </w:rPr>
      </w:pPr>
      <w:r w:rsidRPr="00485D04">
        <w:rPr>
          <w:rFonts w:ascii="Helvetica" w:hAnsi="Helvetica" w:cs="Helvetica"/>
        </w:rPr>
        <w:t>Sin información que revelar.</w:t>
      </w:r>
    </w:p>
    <w:p w14:paraId="504110C2" w14:textId="228ECD7A"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Provisiones: objetivo de su creación, monto y plazo:</w:t>
      </w:r>
    </w:p>
    <w:p w14:paraId="6B2CD06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0A221053" w14:textId="78260ED7"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Reservas: objetivo de su creación, monto y plazo:</w:t>
      </w:r>
    </w:p>
    <w:p w14:paraId="57D8E74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1C67353" w14:textId="7CA145C1"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Cambios en políticas contables y corrección de errores junto con la revelación de los efectos que se tendrá en la información financiera del ente público, ya sea retrospectivos o prospectivos:</w:t>
      </w:r>
    </w:p>
    <w:p w14:paraId="4543144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hubo este tipo de cambios.</w:t>
      </w:r>
    </w:p>
    <w:p w14:paraId="52A49D7E" w14:textId="5266D090"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Reclasificaciones: Se deben revelar todos aquellos movimientos entre cuentas por efectos de cambios en los tipos de operaciones:</w:t>
      </w:r>
    </w:p>
    <w:p w14:paraId="103AC97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que no hubo reclasificaciones.</w:t>
      </w:r>
    </w:p>
    <w:p w14:paraId="3924B80A" w14:textId="19BE1351" w:rsidR="00822EC9" w:rsidRPr="00822EC9" w:rsidRDefault="00822EC9" w:rsidP="00822EC9">
      <w:pPr>
        <w:pStyle w:val="Prrafodelista"/>
        <w:numPr>
          <w:ilvl w:val="0"/>
          <w:numId w:val="7"/>
        </w:numPr>
        <w:tabs>
          <w:tab w:val="left" w:leader="underscore" w:pos="9639"/>
        </w:tabs>
        <w:spacing w:after="120"/>
        <w:jc w:val="both"/>
        <w:rPr>
          <w:rFonts w:ascii="Helvetica" w:hAnsi="Helvetica" w:cs="Helvetica"/>
        </w:rPr>
      </w:pPr>
      <w:r w:rsidRPr="00822EC9">
        <w:rPr>
          <w:rFonts w:ascii="Helvetica" w:hAnsi="Helvetica" w:cs="Helvetica"/>
        </w:rPr>
        <w:t>Depuración y cancelación de saldos:</w:t>
      </w:r>
    </w:p>
    <w:p w14:paraId="50B517D8"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Esta nota no le aplica al ente público ya no se han realizado estas actividades.</w:t>
      </w:r>
    </w:p>
    <w:p w14:paraId="0325959F" w14:textId="77777777" w:rsidR="00822EC9" w:rsidRPr="00822EC9" w:rsidRDefault="00822EC9" w:rsidP="00822EC9">
      <w:pPr>
        <w:pStyle w:val="Ttulo2"/>
        <w:spacing w:after="120"/>
        <w:rPr>
          <w:rFonts w:ascii="Helvetica" w:hAnsi="Helvetica" w:cs="Helvetica"/>
          <w:b/>
          <w:color w:val="auto"/>
          <w:sz w:val="22"/>
        </w:rPr>
      </w:pPr>
      <w:bookmarkStart w:id="6" w:name="_Toc508279627"/>
      <w:r w:rsidRPr="00822EC9">
        <w:rPr>
          <w:rFonts w:ascii="Helvetica" w:hAnsi="Helvetica" w:cs="Helvetica"/>
          <w:b/>
          <w:color w:val="auto"/>
          <w:sz w:val="22"/>
        </w:rPr>
        <w:t>7. Posición en Moneda Extranjera y Protección por Riesgo Cambiario:</w:t>
      </w:r>
      <w:bookmarkEnd w:id="6"/>
    </w:p>
    <w:p w14:paraId="4615FBC4"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sobre:</w:t>
      </w:r>
    </w:p>
    <w:p w14:paraId="43ABA855" w14:textId="600BA7F9"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Activos en moneda extranjera:</w:t>
      </w:r>
    </w:p>
    <w:p w14:paraId="2B65A5D6"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5E354EF4" w14:textId="518BD973"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Pasivos en moneda extranjera:</w:t>
      </w:r>
    </w:p>
    <w:p w14:paraId="3E22D87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2201D976" w14:textId="25FDA545"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Posición en moneda extranjera:</w:t>
      </w:r>
    </w:p>
    <w:p w14:paraId="3C0056E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 ya no se han realizado estas actividades.</w:t>
      </w:r>
    </w:p>
    <w:p w14:paraId="704DD3B4" w14:textId="0A0C778B"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Tipo de cambio:</w:t>
      </w:r>
    </w:p>
    <w:p w14:paraId="74BF8CBC"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1C63FF03" w14:textId="1E070CF7" w:rsidR="00822EC9" w:rsidRPr="00822EC9" w:rsidRDefault="00822EC9" w:rsidP="00822EC9">
      <w:pPr>
        <w:pStyle w:val="Prrafodelista"/>
        <w:numPr>
          <w:ilvl w:val="0"/>
          <w:numId w:val="8"/>
        </w:numPr>
        <w:tabs>
          <w:tab w:val="left" w:leader="underscore" w:pos="9639"/>
        </w:tabs>
        <w:spacing w:after="120"/>
        <w:jc w:val="both"/>
        <w:rPr>
          <w:rFonts w:ascii="Helvetica" w:hAnsi="Helvetica" w:cs="Helvetica"/>
        </w:rPr>
      </w:pPr>
      <w:r w:rsidRPr="00822EC9">
        <w:rPr>
          <w:rFonts w:ascii="Helvetica" w:hAnsi="Helvetica" w:cs="Helvetica"/>
        </w:rPr>
        <w:t>Equivalente en moneda nacional:</w:t>
      </w:r>
    </w:p>
    <w:p w14:paraId="433ACC9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78FC6858"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Lo anterior por cada tipo de moneda extranjera que se encuentre en los rubros de activo y pasivo.</w:t>
      </w:r>
    </w:p>
    <w:p w14:paraId="063BFB8C"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lastRenderedPageBreak/>
        <w:t>Adicionalmente se informará sobre los métodos de protección de riesgo por variaciones en el tipo de cambio.</w:t>
      </w:r>
    </w:p>
    <w:p w14:paraId="7FE98D95" w14:textId="77777777" w:rsidR="00822EC9" w:rsidRPr="00822EC9" w:rsidRDefault="00822EC9" w:rsidP="00822EC9">
      <w:pPr>
        <w:pStyle w:val="Ttulo2"/>
        <w:spacing w:after="120"/>
        <w:rPr>
          <w:rFonts w:ascii="Helvetica" w:hAnsi="Helvetica" w:cs="Helvetica"/>
          <w:b/>
          <w:color w:val="auto"/>
          <w:sz w:val="22"/>
        </w:rPr>
      </w:pPr>
      <w:bookmarkStart w:id="7" w:name="_Toc508279628"/>
      <w:r w:rsidRPr="00822EC9">
        <w:rPr>
          <w:rFonts w:ascii="Helvetica" w:hAnsi="Helvetica" w:cs="Helvetica"/>
          <w:b/>
          <w:color w:val="auto"/>
          <w:sz w:val="22"/>
        </w:rPr>
        <w:t>8. Reporte Analítico del Activo:</w:t>
      </w:r>
      <w:bookmarkEnd w:id="7"/>
    </w:p>
    <w:p w14:paraId="4102C88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Debe mostrar la siguiente información:</w:t>
      </w:r>
    </w:p>
    <w:p w14:paraId="3232828E" w14:textId="0AD371A7"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Vida útil o porcentajes de depreciación, deterioro o amortización utilizados en los diferentes tipos de activos:</w:t>
      </w:r>
    </w:p>
    <w:p w14:paraId="56C75CF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No aplica debido a que a la fecha de corte del periodo reportado no se cuenta con este tipo de activos.</w:t>
      </w:r>
    </w:p>
    <w:p w14:paraId="09F47E2A" w14:textId="46D2BBB9"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Cambios en el porcentaje de depreciación o valor residual de los activos:</w:t>
      </w:r>
    </w:p>
    <w:p w14:paraId="0398C0F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C8921F3" w14:textId="428C703F"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Importe de los gastos capitalizados en el ejercicio, tanto financieros como de investigación y desarrollo:</w:t>
      </w:r>
    </w:p>
    <w:p w14:paraId="13E8492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21315BB" w14:textId="274DAED3"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Riesgos por tipo de cambio o tipo de interés de las inversiones financieras:</w:t>
      </w:r>
    </w:p>
    <w:p w14:paraId="213576E2"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7E543CC4" w14:textId="7C8453B1"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Valor activado en el ejercicio de los bienes construidos por la entidad:</w:t>
      </w:r>
    </w:p>
    <w:p w14:paraId="00AC14B5"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E4F14A9" w14:textId="63950C33"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Otras circunstancias de carácter significativo que afecten el activo, tales como bienes en garantía, señalados en embargos, litigios, títulos de inversiones entregados en garantías, baja significativa del valor de inversiones financieras, etc.:</w:t>
      </w:r>
    </w:p>
    <w:p w14:paraId="1AD872A9"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0C5C9CE9" w14:textId="6358AFFE"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Desmantelamiento de Activos, procedimientos, implicaciones, efectos contables:</w:t>
      </w:r>
    </w:p>
    <w:p w14:paraId="57FC45A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D43D0C6" w14:textId="2D24C65C" w:rsidR="00822EC9" w:rsidRPr="00822EC9" w:rsidRDefault="00822EC9" w:rsidP="00822EC9">
      <w:pPr>
        <w:pStyle w:val="Prrafodelista"/>
        <w:numPr>
          <w:ilvl w:val="0"/>
          <w:numId w:val="9"/>
        </w:numPr>
        <w:tabs>
          <w:tab w:val="left" w:leader="underscore" w:pos="9639"/>
        </w:tabs>
        <w:spacing w:after="120"/>
        <w:jc w:val="both"/>
        <w:rPr>
          <w:rFonts w:ascii="Helvetica" w:hAnsi="Helvetica" w:cs="Helvetica"/>
        </w:rPr>
      </w:pPr>
      <w:r w:rsidRPr="00822EC9">
        <w:rPr>
          <w:rFonts w:ascii="Helvetica" w:hAnsi="Helvetica" w:cs="Helvetica"/>
        </w:rPr>
        <w:t>Administración de activos; planeación con el objetivo de que el ente los utilice de manera más efectiva:</w:t>
      </w:r>
    </w:p>
    <w:p w14:paraId="6DAD1A0A"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6075A96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Adicionalmente, se deben incluir las explicaciones de las principales variaciones en el activo, en cuadros comparativos como sigue:</w:t>
      </w:r>
    </w:p>
    <w:p w14:paraId="499BB574" w14:textId="6BB8D4E2"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valores:</w:t>
      </w:r>
    </w:p>
    <w:p w14:paraId="758CFE4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313E852A" w14:textId="4B1026A9"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Patrimonio de Organismos descentralizados de Control Presupuestario Indirecto:</w:t>
      </w:r>
    </w:p>
    <w:p w14:paraId="468777D2" w14:textId="77777777" w:rsidR="00822EC9" w:rsidRPr="00822EC9" w:rsidRDefault="00822EC9" w:rsidP="00822EC9">
      <w:pPr>
        <w:tabs>
          <w:tab w:val="left" w:leader="underscore" w:pos="9639"/>
        </w:tabs>
        <w:spacing w:after="120"/>
        <w:ind w:left="851"/>
        <w:jc w:val="both"/>
        <w:rPr>
          <w:rFonts w:ascii="Helvetica" w:hAnsi="Helvetica" w:cs="Helvetica"/>
        </w:rPr>
      </w:pPr>
      <w:r w:rsidRPr="00822EC9">
        <w:rPr>
          <w:rFonts w:ascii="Helvetica" w:hAnsi="Helvetica" w:cs="Helvetica"/>
        </w:rPr>
        <w:t>Esta nota no le aplica al ente público.</w:t>
      </w:r>
    </w:p>
    <w:p w14:paraId="3A5B3EFD" w14:textId="199EBCDE"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empresas de participación mayoritaria:</w:t>
      </w:r>
    </w:p>
    <w:p w14:paraId="598C46C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lastRenderedPageBreak/>
        <w:t>Esta nota no le aplica al ente público.</w:t>
      </w:r>
    </w:p>
    <w:p w14:paraId="42ACA8FF" w14:textId="681A3AC6"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Inversiones en empresas de participación minoritaria:</w:t>
      </w:r>
    </w:p>
    <w:p w14:paraId="74DC2450"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49313163" w14:textId="00230DCA" w:rsidR="00822EC9" w:rsidRPr="00822EC9" w:rsidRDefault="00822EC9" w:rsidP="00822EC9">
      <w:pPr>
        <w:pStyle w:val="Prrafodelista"/>
        <w:numPr>
          <w:ilvl w:val="0"/>
          <w:numId w:val="10"/>
        </w:numPr>
        <w:tabs>
          <w:tab w:val="left" w:leader="underscore" w:pos="9639"/>
        </w:tabs>
        <w:spacing w:after="120"/>
        <w:jc w:val="both"/>
        <w:rPr>
          <w:rFonts w:ascii="Helvetica" w:hAnsi="Helvetica" w:cs="Helvetica"/>
        </w:rPr>
      </w:pPr>
      <w:r w:rsidRPr="00822EC9">
        <w:rPr>
          <w:rFonts w:ascii="Helvetica" w:hAnsi="Helvetica" w:cs="Helvetica"/>
        </w:rPr>
        <w:t>Patrimonio de organismos descentralizados de control presupuestario directo, según corresponda:</w:t>
      </w:r>
    </w:p>
    <w:p w14:paraId="7F408604"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4F68046F" w14:textId="77777777" w:rsidR="00822EC9" w:rsidRPr="00822EC9" w:rsidRDefault="00822EC9" w:rsidP="00822EC9">
      <w:pPr>
        <w:pStyle w:val="Ttulo2"/>
        <w:spacing w:after="120"/>
        <w:rPr>
          <w:rFonts w:ascii="Helvetica" w:hAnsi="Helvetica" w:cs="Helvetica"/>
          <w:b/>
          <w:color w:val="auto"/>
          <w:sz w:val="22"/>
        </w:rPr>
      </w:pPr>
      <w:bookmarkStart w:id="8" w:name="_Toc508279629"/>
      <w:r w:rsidRPr="00822EC9">
        <w:rPr>
          <w:rFonts w:ascii="Helvetica" w:hAnsi="Helvetica" w:cs="Helvetica"/>
          <w:b/>
          <w:color w:val="auto"/>
          <w:sz w:val="22"/>
        </w:rPr>
        <w:t>9. Fideicomisos, Mandatos y Análogos:</w:t>
      </w:r>
      <w:bookmarkEnd w:id="8"/>
    </w:p>
    <w:p w14:paraId="76293D68"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Se deberá informar:</w:t>
      </w:r>
    </w:p>
    <w:p w14:paraId="6EAC54D3" w14:textId="28CBA8B8" w:rsidR="00822EC9" w:rsidRPr="00822EC9" w:rsidRDefault="00822EC9" w:rsidP="00822EC9">
      <w:pPr>
        <w:pStyle w:val="Prrafodelista"/>
        <w:numPr>
          <w:ilvl w:val="0"/>
          <w:numId w:val="11"/>
        </w:numPr>
        <w:tabs>
          <w:tab w:val="left" w:leader="underscore" w:pos="9639"/>
        </w:tabs>
        <w:spacing w:after="120"/>
        <w:jc w:val="both"/>
        <w:rPr>
          <w:rFonts w:ascii="Helvetica" w:hAnsi="Helvetica" w:cs="Helvetica"/>
        </w:rPr>
      </w:pPr>
      <w:r w:rsidRPr="00822EC9">
        <w:rPr>
          <w:rFonts w:ascii="Helvetica" w:hAnsi="Helvetica" w:cs="Helvetica"/>
        </w:rPr>
        <w:t>Por ramo administrativo que los reporta:</w:t>
      </w:r>
    </w:p>
    <w:p w14:paraId="643F1B23"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1232FF16" w14:textId="68BAC0BA" w:rsidR="00822EC9" w:rsidRPr="00822EC9" w:rsidRDefault="00822EC9" w:rsidP="00822EC9">
      <w:pPr>
        <w:pStyle w:val="Prrafodelista"/>
        <w:numPr>
          <w:ilvl w:val="0"/>
          <w:numId w:val="11"/>
        </w:numPr>
        <w:tabs>
          <w:tab w:val="left" w:leader="underscore" w:pos="9639"/>
        </w:tabs>
        <w:spacing w:after="120"/>
        <w:jc w:val="both"/>
        <w:rPr>
          <w:rFonts w:ascii="Helvetica" w:hAnsi="Helvetica" w:cs="Helvetica"/>
        </w:rPr>
      </w:pPr>
      <w:r w:rsidRPr="00822EC9">
        <w:rPr>
          <w:rFonts w:ascii="Helvetica" w:hAnsi="Helvetica" w:cs="Helvetica"/>
        </w:rPr>
        <w:t>Enlistar los de mayor monto de disponibilidad, relacionando aquéllos que conforman el 80% de las disponibilidades:</w:t>
      </w:r>
    </w:p>
    <w:p w14:paraId="4970BCFE" w14:textId="77777777" w:rsidR="00822EC9" w:rsidRPr="00822EC9" w:rsidRDefault="00822EC9" w:rsidP="00822EC9">
      <w:pPr>
        <w:tabs>
          <w:tab w:val="left" w:leader="underscore" w:pos="9639"/>
        </w:tabs>
        <w:spacing w:after="120"/>
        <w:ind w:left="709"/>
        <w:jc w:val="both"/>
        <w:rPr>
          <w:rFonts w:ascii="Helvetica" w:hAnsi="Helvetica" w:cs="Helvetica"/>
        </w:rPr>
      </w:pPr>
      <w:r w:rsidRPr="00822EC9">
        <w:rPr>
          <w:rFonts w:ascii="Helvetica" w:hAnsi="Helvetica" w:cs="Helvetica"/>
        </w:rPr>
        <w:t>Esta nota no le aplica al ente público.</w:t>
      </w:r>
    </w:p>
    <w:p w14:paraId="5CBD0FB9" w14:textId="77777777" w:rsidR="00822EC9" w:rsidRPr="00822EC9" w:rsidRDefault="00822EC9" w:rsidP="00822EC9">
      <w:pPr>
        <w:pStyle w:val="Ttulo2"/>
        <w:spacing w:after="120"/>
        <w:rPr>
          <w:rFonts w:ascii="Helvetica" w:hAnsi="Helvetica" w:cs="Helvetica"/>
          <w:b/>
          <w:color w:val="auto"/>
          <w:sz w:val="22"/>
        </w:rPr>
      </w:pPr>
      <w:bookmarkStart w:id="9" w:name="_Toc508279630"/>
      <w:r w:rsidRPr="00822EC9">
        <w:rPr>
          <w:rFonts w:ascii="Helvetica" w:hAnsi="Helvetica" w:cs="Helvetica"/>
          <w:b/>
          <w:color w:val="auto"/>
          <w:sz w:val="22"/>
        </w:rPr>
        <w:t>10. Reporte de la Recaudación:</w:t>
      </w:r>
      <w:bookmarkEnd w:id="9"/>
    </w:p>
    <w:p w14:paraId="14EB02FB" w14:textId="21BF928F" w:rsidR="00822EC9" w:rsidRPr="00822EC9" w:rsidRDefault="00822EC9" w:rsidP="00822EC9">
      <w:pPr>
        <w:pStyle w:val="Prrafodelista"/>
        <w:numPr>
          <w:ilvl w:val="0"/>
          <w:numId w:val="12"/>
        </w:numPr>
        <w:tabs>
          <w:tab w:val="left" w:leader="underscore" w:pos="9639"/>
        </w:tabs>
        <w:spacing w:after="120"/>
        <w:jc w:val="both"/>
        <w:rPr>
          <w:rFonts w:ascii="Helvetica" w:hAnsi="Helvetica" w:cs="Helvetica"/>
        </w:rPr>
      </w:pPr>
      <w:r w:rsidRPr="00822EC9">
        <w:rPr>
          <w:rFonts w:ascii="Helvetica" w:hAnsi="Helvetica" w:cs="Helvetica"/>
        </w:rPr>
        <w:t>Análisis del comportamiento de la recaudación correspondiente al ente público o cualquier tipo de ingreso, de forma separada los ingresos locales de los federales:</w:t>
      </w:r>
    </w:p>
    <w:p w14:paraId="16DE1CA5" w14:textId="4C922CBD" w:rsidR="00822EC9" w:rsidRPr="00822EC9" w:rsidRDefault="00485D04" w:rsidP="00822EC9">
      <w:pPr>
        <w:spacing w:after="120"/>
        <w:ind w:left="709"/>
        <w:jc w:val="both"/>
        <w:rPr>
          <w:rFonts w:ascii="Helvetica" w:hAnsi="Helvetica" w:cs="Helvetica"/>
        </w:rPr>
      </w:pPr>
      <w:bookmarkStart w:id="10" w:name="_Hlk158123570"/>
      <w:r w:rsidRPr="00485D04">
        <w:rPr>
          <w:rFonts w:ascii="Helvetica" w:hAnsi="Helvetica" w:cs="Helvetica"/>
        </w:rPr>
        <w:t>Durante el periodo reportado al 3</w:t>
      </w:r>
      <w:r w:rsidR="009118D6">
        <w:rPr>
          <w:rFonts w:ascii="Helvetica" w:hAnsi="Helvetica" w:cs="Helvetica"/>
        </w:rPr>
        <w:t>0</w:t>
      </w:r>
      <w:r w:rsidRPr="00485D04">
        <w:rPr>
          <w:rFonts w:ascii="Helvetica" w:hAnsi="Helvetica" w:cs="Helvetica"/>
        </w:rPr>
        <w:t xml:space="preserve"> de </w:t>
      </w:r>
      <w:r w:rsidR="00D4177A">
        <w:rPr>
          <w:rFonts w:ascii="Helvetica" w:hAnsi="Helvetica" w:cs="Helvetica"/>
        </w:rPr>
        <w:t>Septiembre</w:t>
      </w:r>
      <w:r w:rsidRPr="00485D04">
        <w:rPr>
          <w:rFonts w:ascii="Helvetica" w:hAnsi="Helvetica" w:cs="Helvetica"/>
        </w:rPr>
        <w:t xml:space="preserve"> de 202</w:t>
      </w:r>
      <w:r w:rsidR="00EF51BE">
        <w:rPr>
          <w:rFonts w:ascii="Helvetica" w:hAnsi="Helvetica" w:cs="Helvetica"/>
        </w:rPr>
        <w:t>5</w:t>
      </w:r>
      <w:r w:rsidRPr="00485D04">
        <w:rPr>
          <w:rFonts w:ascii="Helvetica" w:hAnsi="Helvetica" w:cs="Helvetica"/>
        </w:rPr>
        <w:t xml:space="preserve"> se recaudó $</w:t>
      </w:r>
      <w:r w:rsidR="00D4177A" w:rsidRPr="00D4177A">
        <w:rPr>
          <w:rFonts w:ascii="Helvetica" w:hAnsi="Helvetica" w:cs="Helvetica"/>
        </w:rPr>
        <w:t>189,563,301.15</w:t>
      </w:r>
      <w:r w:rsidRPr="00485D04">
        <w:rPr>
          <w:rFonts w:ascii="Helvetica" w:hAnsi="Helvetica" w:cs="Helvetica"/>
        </w:rPr>
        <w:t xml:space="preserve"> en su mayoría correspondiente al subsidio entregado por parte del Gobierno del Estado a través de la Secretaría de Finanzas, Inversión y Administración, así como productos financieros e Ingresos propios.</w:t>
      </w:r>
      <w:r w:rsidR="00822EC9" w:rsidRPr="00822EC9">
        <w:rPr>
          <w:rFonts w:ascii="Helvetica" w:hAnsi="Helvetica" w:cs="Helvetica"/>
          <w:sz w:val="20"/>
          <w:szCs w:val="20"/>
          <w:lang w:eastAsia="es-MX"/>
        </w:rPr>
        <w:t xml:space="preserve"> </w:t>
      </w:r>
    </w:p>
    <w:bookmarkEnd w:id="10"/>
    <w:p w14:paraId="5B23F653" w14:textId="02C68B81" w:rsidR="00822EC9" w:rsidRPr="00822EC9" w:rsidRDefault="00822EC9" w:rsidP="00822EC9">
      <w:pPr>
        <w:pStyle w:val="Prrafodelista"/>
        <w:numPr>
          <w:ilvl w:val="0"/>
          <w:numId w:val="12"/>
        </w:numPr>
        <w:tabs>
          <w:tab w:val="left" w:leader="underscore" w:pos="9639"/>
        </w:tabs>
        <w:spacing w:after="120"/>
        <w:jc w:val="both"/>
        <w:rPr>
          <w:rFonts w:ascii="Helvetica" w:hAnsi="Helvetica" w:cs="Helvetica"/>
        </w:rPr>
      </w:pPr>
      <w:r w:rsidRPr="00822EC9">
        <w:rPr>
          <w:rFonts w:ascii="Helvetica" w:hAnsi="Helvetica" w:cs="Helvetica"/>
        </w:rPr>
        <w:t>Proyección de la recaudación e ingresos en el mediano plazo:</w:t>
      </w:r>
    </w:p>
    <w:p w14:paraId="0DADA991" w14:textId="4AC37788" w:rsidR="00822EC9" w:rsidRPr="00822EC9" w:rsidRDefault="00822EC9" w:rsidP="00822EC9">
      <w:pPr>
        <w:tabs>
          <w:tab w:val="left" w:leader="underscore" w:pos="9639"/>
        </w:tabs>
        <w:spacing w:after="120"/>
        <w:ind w:left="709"/>
        <w:jc w:val="both"/>
        <w:rPr>
          <w:rFonts w:ascii="Helvetica" w:hAnsi="Helvetica" w:cs="Helvetica"/>
        </w:rPr>
      </w:pPr>
      <w:bookmarkStart w:id="11" w:name="_Hlk158123583"/>
      <w:r w:rsidRPr="00822EC9">
        <w:rPr>
          <w:rFonts w:ascii="Helvetica" w:hAnsi="Helvetica" w:cs="Helvetica"/>
        </w:rPr>
        <w:t>La proyección de la recaudación de ingresos para 202</w:t>
      </w:r>
      <w:r w:rsidR="009118D6">
        <w:rPr>
          <w:rFonts w:ascii="Helvetica" w:hAnsi="Helvetica" w:cs="Helvetica"/>
        </w:rPr>
        <w:t>5</w:t>
      </w:r>
      <w:r w:rsidRPr="00822EC9">
        <w:rPr>
          <w:rFonts w:ascii="Helvetica" w:hAnsi="Helvetica" w:cs="Helvetica"/>
        </w:rPr>
        <w:t xml:space="preserve"> es de $</w:t>
      </w:r>
      <w:r w:rsidR="009118D6" w:rsidRPr="009118D6">
        <w:t xml:space="preserve"> </w:t>
      </w:r>
      <w:r w:rsidR="009118D6" w:rsidRPr="009118D6">
        <w:rPr>
          <w:rFonts w:ascii="Helvetica" w:hAnsi="Helvetica" w:cs="Helvetica"/>
        </w:rPr>
        <w:t>190,840,529.04</w:t>
      </w:r>
      <w:r w:rsidRPr="00822EC9">
        <w:rPr>
          <w:rFonts w:ascii="Helvetica" w:hAnsi="Helvetica" w:cs="Helvetica"/>
        </w:rPr>
        <w:t xml:space="preserve">, de acuerdo con la Ley del Presupuesto General de Egresos. </w:t>
      </w:r>
    </w:p>
    <w:p w14:paraId="207CA902" w14:textId="77777777" w:rsidR="00822EC9" w:rsidRPr="00822EC9" w:rsidRDefault="00822EC9" w:rsidP="00822EC9">
      <w:pPr>
        <w:pStyle w:val="Ttulo2"/>
        <w:spacing w:after="120"/>
        <w:rPr>
          <w:rFonts w:ascii="Helvetica" w:hAnsi="Helvetica" w:cs="Helvetica"/>
          <w:b/>
          <w:color w:val="auto"/>
          <w:sz w:val="22"/>
        </w:rPr>
      </w:pPr>
      <w:bookmarkStart w:id="12" w:name="_Toc508279631"/>
      <w:bookmarkEnd w:id="11"/>
      <w:r w:rsidRPr="00822EC9">
        <w:rPr>
          <w:rFonts w:ascii="Helvetica" w:hAnsi="Helvetica" w:cs="Helvetica"/>
          <w:b/>
          <w:color w:val="auto"/>
          <w:sz w:val="22"/>
        </w:rPr>
        <w:t>11. Información sobre la Deuda y el Reporte Analítico de la Deuda:</w:t>
      </w:r>
      <w:bookmarkEnd w:id="12"/>
    </w:p>
    <w:p w14:paraId="03A351D1" w14:textId="5E0BEDD6" w:rsidR="00822EC9" w:rsidRPr="00822EC9" w:rsidRDefault="00822EC9" w:rsidP="00822EC9">
      <w:pPr>
        <w:pStyle w:val="Prrafodelista"/>
        <w:numPr>
          <w:ilvl w:val="0"/>
          <w:numId w:val="13"/>
        </w:numPr>
        <w:tabs>
          <w:tab w:val="left" w:leader="underscore" w:pos="9639"/>
        </w:tabs>
        <w:spacing w:after="120"/>
        <w:jc w:val="both"/>
        <w:rPr>
          <w:rFonts w:ascii="Helvetica" w:hAnsi="Helvetica" w:cs="Helvetica"/>
        </w:rPr>
      </w:pPr>
      <w:r w:rsidRPr="00822EC9">
        <w:rPr>
          <w:rFonts w:ascii="Helvetica" w:hAnsi="Helvetica" w:cs="Helvetica"/>
        </w:rPr>
        <w:t>Utilizar al menos los siguientes indicadores: deuda respecto al PIB y deuda respecto a la recaudación tomando, como mínimo, un período igual o menor a 5 años.</w:t>
      </w:r>
    </w:p>
    <w:p w14:paraId="2B868031" w14:textId="77777777" w:rsidR="00822EC9" w:rsidRPr="00822EC9" w:rsidRDefault="00822EC9" w:rsidP="00822EC9">
      <w:pPr>
        <w:tabs>
          <w:tab w:val="left" w:leader="underscore" w:pos="9639"/>
        </w:tabs>
        <w:spacing w:after="120"/>
        <w:ind w:left="709"/>
        <w:jc w:val="both"/>
        <w:rPr>
          <w:rFonts w:ascii="Helvetica" w:hAnsi="Helvetica" w:cs="Helvetica"/>
        </w:rPr>
      </w:pPr>
      <w:bookmarkStart w:id="13" w:name="_Hlk158123605"/>
      <w:r w:rsidRPr="00822EC9">
        <w:rPr>
          <w:rFonts w:ascii="Helvetica" w:hAnsi="Helvetica" w:cs="Helvetica"/>
        </w:rPr>
        <w:t>Esta nota no le aplica al ente público.</w:t>
      </w:r>
    </w:p>
    <w:bookmarkEnd w:id="13"/>
    <w:p w14:paraId="654F86A0" w14:textId="0C933A76" w:rsidR="00822EC9" w:rsidRPr="00822EC9" w:rsidRDefault="00822EC9" w:rsidP="00822EC9">
      <w:pPr>
        <w:pStyle w:val="Prrafodelista"/>
        <w:numPr>
          <w:ilvl w:val="0"/>
          <w:numId w:val="13"/>
        </w:numPr>
        <w:tabs>
          <w:tab w:val="left" w:leader="underscore" w:pos="9639"/>
        </w:tabs>
        <w:spacing w:after="120"/>
        <w:jc w:val="both"/>
        <w:rPr>
          <w:rFonts w:ascii="Helvetica" w:hAnsi="Helvetica" w:cs="Helvetica"/>
        </w:rPr>
      </w:pPr>
      <w:r w:rsidRPr="00822EC9">
        <w:rPr>
          <w:rFonts w:ascii="Helvetica" w:hAnsi="Helvetica" w:cs="Helvetica"/>
        </w:rPr>
        <w:t>Información de manera agrupada por tipo de valor gubernamental o instrumento financiero en la que se consideren intereses, comisiones, tasa, perfil de vencimiento y otros gastos de la deuda.</w:t>
      </w:r>
    </w:p>
    <w:p w14:paraId="36EC94EC" w14:textId="77777777" w:rsidR="00822EC9" w:rsidRPr="00822EC9" w:rsidRDefault="00822EC9" w:rsidP="00822EC9">
      <w:pPr>
        <w:tabs>
          <w:tab w:val="left" w:leader="underscore" w:pos="9639"/>
        </w:tabs>
        <w:spacing w:after="120"/>
        <w:ind w:left="567"/>
        <w:jc w:val="both"/>
        <w:rPr>
          <w:rFonts w:ascii="Helvetica" w:hAnsi="Helvetica" w:cs="Helvetica"/>
        </w:rPr>
      </w:pPr>
      <w:r w:rsidRPr="00822EC9">
        <w:rPr>
          <w:rFonts w:ascii="Helvetica" w:hAnsi="Helvetica" w:cs="Helvetica"/>
        </w:rPr>
        <w:t>* Se anexará la información en las notas de desglose.</w:t>
      </w:r>
    </w:p>
    <w:p w14:paraId="2D19F1AF" w14:textId="77777777" w:rsidR="00822EC9" w:rsidRPr="00822EC9" w:rsidRDefault="00822EC9" w:rsidP="00822EC9">
      <w:pPr>
        <w:tabs>
          <w:tab w:val="left" w:leader="underscore" w:pos="9639"/>
        </w:tabs>
        <w:spacing w:after="120"/>
        <w:ind w:left="709"/>
        <w:jc w:val="both"/>
        <w:rPr>
          <w:rFonts w:ascii="Helvetica" w:hAnsi="Helvetica" w:cs="Helvetica"/>
        </w:rPr>
      </w:pPr>
      <w:bookmarkStart w:id="14" w:name="_Hlk158123619"/>
      <w:r w:rsidRPr="00822EC9">
        <w:rPr>
          <w:rFonts w:ascii="Helvetica" w:hAnsi="Helvetica" w:cs="Helvetica"/>
        </w:rPr>
        <w:t>Esta nota no le aplica al ente público.</w:t>
      </w:r>
    </w:p>
    <w:p w14:paraId="0F09A2B6" w14:textId="77777777" w:rsidR="00822EC9" w:rsidRPr="00822EC9" w:rsidRDefault="00822EC9" w:rsidP="00822EC9">
      <w:pPr>
        <w:pStyle w:val="Ttulo2"/>
        <w:spacing w:after="120"/>
        <w:rPr>
          <w:rFonts w:ascii="Helvetica" w:hAnsi="Helvetica" w:cs="Helvetica"/>
          <w:b/>
          <w:color w:val="auto"/>
          <w:sz w:val="22"/>
        </w:rPr>
      </w:pPr>
      <w:bookmarkStart w:id="15" w:name="_Toc508279632"/>
      <w:bookmarkEnd w:id="14"/>
      <w:r w:rsidRPr="00822EC9">
        <w:rPr>
          <w:rFonts w:ascii="Helvetica" w:hAnsi="Helvetica" w:cs="Helvetica"/>
          <w:b/>
          <w:color w:val="auto"/>
          <w:sz w:val="22"/>
        </w:rPr>
        <w:lastRenderedPageBreak/>
        <w:t>12. Calificaciones otorgadas:</w:t>
      </w:r>
      <w:bookmarkEnd w:id="15"/>
    </w:p>
    <w:p w14:paraId="2F595072"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Informar, tanto del ente público como cualquier transacción realizada, que haya sido sujeta a una calificación crediticia:</w:t>
      </w:r>
    </w:p>
    <w:p w14:paraId="106FF55E" w14:textId="77777777" w:rsidR="00822EC9" w:rsidRPr="00822EC9" w:rsidRDefault="00822EC9" w:rsidP="00822EC9">
      <w:pPr>
        <w:tabs>
          <w:tab w:val="left" w:leader="underscore" w:pos="9639"/>
        </w:tabs>
        <w:spacing w:after="120"/>
        <w:jc w:val="both"/>
        <w:rPr>
          <w:rFonts w:ascii="Helvetica" w:hAnsi="Helvetica" w:cs="Helvetica"/>
        </w:rPr>
      </w:pPr>
      <w:bookmarkStart w:id="16" w:name="_Hlk158123629"/>
      <w:r w:rsidRPr="00822EC9">
        <w:rPr>
          <w:rFonts w:ascii="Helvetica" w:hAnsi="Helvetica" w:cs="Helvetica"/>
        </w:rPr>
        <w:t>Esta nota no le aplica al ente público.</w:t>
      </w:r>
    </w:p>
    <w:p w14:paraId="6301A51A" w14:textId="77777777" w:rsidR="00822EC9" w:rsidRPr="00822EC9" w:rsidRDefault="00822EC9" w:rsidP="00822EC9">
      <w:pPr>
        <w:pStyle w:val="Ttulo2"/>
        <w:spacing w:after="120"/>
        <w:rPr>
          <w:rFonts w:ascii="Helvetica" w:hAnsi="Helvetica" w:cs="Helvetica"/>
          <w:b/>
          <w:color w:val="auto"/>
          <w:sz w:val="22"/>
        </w:rPr>
      </w:pPr>
      <w:bookmarkStart w:id="17" w:name="_Toc508279633"/>
      <w:bookmarkEnd w:id="16"/>
      <w:r w:rsidRPr="00822EC9">
        <w:rPr>
          <w:rFonts w:ascii="Helvetica" w:hAnsi="Helvetica" w:cs="Helvetica"/>
          <w:b/>
          <w:color w:val="auto"/>
          <w:sz w:val="22"/>
        </w:rPr>
        <w:t>13. Proceso de Mejora:</w:t>
      </w:r>
      <w:bookmarkEnd w:id="17"/>
    </w:p>
    <w:p w14:paraId="7EF28087"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informará de:</w:t>
      </w:r>
    </w:p>
    <w:p w14:paraId="185002F7" w14:textId="73522742" w:rsidR="00822EC9" w:rsidRPr="00822EC9" w:rsidRDefault="00822EC9" w:rsidP="00822EC9">
      <w:pPr>
        <w:pStyle w:val="Prrafodelista"/>
        <w:numPr>
          <w:ilvl w:val="0"/>
          <w:numId w:val="14"/>
        </w:numPr>
        <w:tabs>
          <w:tab w:val="left" w:leader="underscore" w:pos="9639"/>
        </w:tabs>
        <w:spacing w:after="120"/>
        <w:jc w:val="both"/>
        <w:rPr>
          <w:rFonts w:ascii="Helvetica" w:hAnsi="Helvetica" w:cs="Helvetica"/>
        </w:rPr>
      </w:pPr>
      <w:r w:rsidRPr="00822EC9">
        <w:rPr>
          <w:rFonts w:ascii="Helvetica" w:hAnsi="Helvetica" w:cs="Helvetica"/>
        </w:rPr>
        <w:t>Principales Políticas de control interno:</w:t>
      </w:r>
    </w:p>
    <w:p w14:paraId="508E86DC" w14:textId="77777777" w:rsidR="00822EC9" w:rsidRPr="00822EC9" w:rsidRDefault="00822EC9" w:rsidP="00822EC9">
      <w:pPr>
        <w:spacing w:after="120"/>
        <w:ind w:left="709"/>
        <w:jc w:val="both"/>
        <w:rPr>
          <w:rFonts w:ascii="Helvetica" w:eastAsia="Times New Roman" w:hAnsi="Helvetica" w:cs="Helvetica"/>
          <w:color w:val="000000"/>
          <w:lang w:eastAsia="es-MX"/>
        </w:rPr>
      </w:pPr>
      <w:bookmarkStart w:id="18" w:name="_Hlk158123641"/>
      <w:r w:rsidRPr="00822EC9">
        <w:rPr>
          <w:rFonts w:ascii="Helvetica" w:eastAsia="Times New Roman" w:hAnsi="Helvetica" w:cs="Helvetica"/>
          <w:color w:val="000000"/>
          <w:lang w:eastAsia="es-MX"/>
        </w:rPr>
        <w:t>Se aplican las disposiciones administrativas emitidas por la Secretaría de Finanzas, Inversión y Administración.</w:t>
      </w:r>
    </w:p>
    <w:bookmarkEnd w:id="18"/>
    <w:p w14:paraId="3C481AE4" w14:textId="43B9CB1A" w:rsidR="00822EC9" w:rsidRPr="00822EC9" w:rsidRDefault="00822EC9" w:rsidP="00822EC9">
      <w:pPr>
        <w:pStyle w:val="Prrafodelista"/>
        <w:numPr>
          <w:ilvl w:val="0"/>
          <w:numId w:val="14"/>
        </w:numPr>
        <w:tabs>
          <w:tab w:val="left" w:leader="underscore" w:pos="9639"/>
        </w:tabs>
        <w:spacing w:after="120"/>
        <w:jc w:val="both"/>
        <w:rPr>
          <w:rFonts w:ascii="Helvetica" w:hAnsi="Helvetica" w:cs="Helvetica"/>
        </w:rPr>
      </w:pPr>
      <w:r w:rsidRPr="00822EC9">
        <w:rPr>
          <w:rFonts w:ascii="Helvetica" w:hAnsi="Helvetica" w:cs="Helvetica"/>
        </w:rPr>
        <w:t>Medidas de desempeño financiero, metas y alcance:</w:t>
      </w:r>
    </w:p>
    <w:p w14:paraId="353C643C" w14:textId="77777777" w:rsidR="00822EC9" w:rsidRPr="00822EC9" w:rsidRDefault="00822EC9" w:rsidP="00822EC9">
      <w:pPr>
        <w:tabs>
          <w:tab w:val="left" w:leader="underscore" w:pos="9639"/>
        </w:tabs>
        <w:spacing w:after="120"/>
        <w:ind w:left="709"/>
        <w:jc w:val="both"/>
        <w:rPr>
          <w:rFonts w:ascii="Helvetica" w:hAnsi="Helvetica" w:cs="Helvetica"/>
        </w:rPr>
      </w:pPr>
      <w:bookmarkStart w:id="19" w:name="_Hlk158123652"/>
      <w:r w:rsidRPr="00822EC9">
        <w:rPr>
          <w:rFonts w:ascii="Helvetica" w:hAnsi="Helvetica" w:cs="Helvetica"/>
        </w:rPr>
        <w:t>Esta nota no le aplica al ente público.</w:t>
      </w:r>
    </w:p>
    <w:p w14:paraId="44AD130F" w14:textId="77777777" w:rsidR="00822EC9" w:rsidRPr="00822EC9" w:rsidRDefault="00822EC9" w:rsidP="00822EC9">
      <w:pPr>
        <w:pStyle w:val="Ttulo2"/>
        <w:spacing w:after="120"/>
        <w:rPr>
          <w:rFonts w:ascii="Helvetica" w:hAnsi="Helvetica" w:cs="Helvetica"/>
          <w:b/>
          <w:color w:val="auto"/>
          <w:sz w:val="22"/>
        </w:rPr>
      </w:pPr>
      <w:bookmarkStart w:id="20" w:name="_Toc508279634"/>
      <w:bookmarkEnd w:id="19"/>
      <w:r w:rsidRPr="00822EC9">
        <w:rPr>
          <w:rFonts w:ascii="Helvetica" w:hAnsi="Helvetica" w:cs="Helvetica"/>
          <w:b/>
          <w:color w:val="auto"/>
          <w:sz w:val="22"/>
        </w:rPr>
        <w:t>14. Información por Segmentos:</w:t>
      </w:r>
      <w:bookmarkEnd w:id="20"/>
    </w:p>
    <w:p w14:paraId="0E711A55"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7F48359"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Consecuentemente, esta información contribuye al análisis más preciso de la situación financiera, grados y fuentes de riesgo y crecimiento potencial de negocio.</w:t>
      </w:r>
    </w:p>
    <w:p w14:paraId="4A7C514C" w14:textId="77777777" w:rsidR="00822EC9" w:rsidRPr="00822EC9" w:rsidRDefault="00822EC9" w:rsidP="00822EC9">
      <w:pPr>
        <w:tabs>
          <w:tab w:val="left" w:leader="underscore" w:pos="9639"/>
        </w:tabs>
        <w:spacing w:after="120"/>
        <w:jc w:val="both"/>
        <w:rPr>
          <w:rFonts w:ascii="Helvetica" w:hAnsi="Helvetica" w:cs="Helvetica"/>
        </w:rPr>
      </w:pPr>
      <w:bookmarkStart w:id="21" w:name="_Hlk158123666"/>
      <w:r w:rsidRPr="00822EC9">
        <w:rPr>
          <w:rFonts w:ascii="Helvetica" w:hAnsi="Helvetica" w:cs="Helvetica"/>
        </w:rPr>
        <w:t>Esta nota no le aplica al ente público.</w:t>
      </w:r>
    </w:p>
    <w:p w14:paraId="3CE1A0C8" w14:textId="77777777" w:rsidR="00822EC9" w:rsidRPr="00822EC9" w:rsidRDefault="00822EC9" w:rsidP="00822EC9">
      <w:pPr>
        <w:pStyle w:val="Ttulo2"/>
        <w:spacing w:after="120"/>
        <w:rPr>
          <w:rFonts w:ascii="Helvetica" w:hAnsi="Helvetica" w:cs="Helvetica"/>
          <w:b/>
          <w:color w:val="auto"/>
          <w:sz w:val="22"/>
        </w:rPr>
      </w:pPr>
      <w:bookmarkStart w:id="22" w:name="_Toc508279635"/>
      <w:bookmarkEnd w:id="21"/>
      <w:r w:rsidRPr="00822EC9">
        <w:rPr>
          <w:rFonts w:ascii="Helvetica" w:hAnsi="Helvetica" w:cs="Helvetica"/>
          <w:b/>
          <w:color w:val="auto"/>
          <w:sz w:val="22"/>
        </w:rPr>
        <w:t>15. Eventos Posteriores al Cierre:</w:t>
      </w:r>
      <w:bookmarkEnd w:id="22"/>
    </w:p>
    <w:p w14:paraId="061A0025" w14:textId="3E5CA254"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822EC9">
        <w:rPr>
          <w:rFonts w:ascii="Helvetica" w:hAnsi="Helvetica" w:cs="Helvetica"/>
        </w:rPr>
        <w:cr/>
      </w:r>
      <w:bookmarkStart w:id="23" w:name="_Hlk158123686"/>
      <w:r w:rsidRPr="00822EC9">
        <w:rPr>
          <w:rFonts w:ascii="Helvetica" w:hAnsi="Helvetica" w:cs="Helvetica"/>
        </w:rPr>
        <w:t>No hay eventos posteriores al cierre que declarar.</w:t>
      </w:r>
    </w:p>
    <w:p w14:paraId="5F48B5D6" w14:textId="77777777" w:rsidR="00822EC9" w:rsidRPr="00822EC9" w:rsidRDefault="00822EC9" w:rsidP="00822EC9">
      <w:pPr>
        <w:pStyle w:val="Ttulo2"/>
        <w:spacing w:after="120"/>
        <w:rPr>
          <w:rFonts w:ascii="Helvetica" w:hAnsi="Helvetica" w:cs="Helvetica"/>
          <w:b/>
          <w:color w:val="auto"/>
          <w:sz w:val="22"/>
        </w:rPr>
      </w:pPr>
      <w:bookmarkStart w:id="24" w:name="_Toc508279636"/>
      <w:bookmarkEnd w:id="23"/>
      <w:r w:rsidRPr="00822EC9">
        <w:rPr>
          <w:rFonts w:ascii="Helvetica" w:hAnsi="Helvetica" w:cs="Helvetica"/>
          <w:b/>
          <w:color w:val="auto"/>
          <w:sz w:val="22"/>
        </w:rPr>
        <w:t>16. Partes Relacionadas:</w:t>
      </w:r>
      <w:bookmarkEnd w:id="24"/>
    </w:p>
    <w:p w14:paraId="333AC62F"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Se debe establecer por escrito que no existen partes relacionadas que pudieran ejercer influencia significativa sobre la toma de decisiones financieras y operativas:</w:t>
      </w:r>
    </w:p>
    <w:p w14:paraId="70D1BE75" w14:textId="77777777" w:rsidR="00822EC9" w:rsidRPr="00822EC9" w:rsidRDefault="00822EC9" w:rsidP="00822EC9">
      <w:pPr>
        <w:tabs>
          <w:tab w:val="left" w:leader="underscore" w:pos="9639"/>
        </w:tabs>
        <w:spacing w:after="120"/>
        <w:jc w:val="both"/>
        <w:rPr>
          <w:rFonts w:ascii="Helvetica" w:hAnsi="Helvetica" w:cs="Helvetica"/>
        </w:rPr>
      </w:pPr>
      <w:bookmarkStart w:id="25" w:name="_Hlk158123713"/>
      <w:r w:rsidRPr="00822EC9">
        <w:rPr>
          <w:rFonts w:ascii="Helvetica" w:hAnsi="Helvetica" w:cs="Helvetica"/>
        </w:rPr>
        <w:t>Esta nota no le aplica al ente público debido a que no existen partes relacionadas.</w:t>
      </w:r>
    </w:p>
    <w:p w14:paraId="418C82B0" w14:textId="77777777" w:rsidR="00822EC9" w:rsidRPr="00822EC9" w:rsidRDefault="00822EC9" w:rsidP="00822EC9">
      <w:pPr>
        <w:pStyle w:val="Ttulo2"/>
        <w:spacing w:after="120"/>
        <w:rPr>
          <w:rFonts w:ascii="Helvetica" w:hAnsi="Helvetica" w:cs="Helvetica"/>
          <w:b/>
          <w:color w:val="auto"/>
          <w:sz w:val="22"/>
        </w:rPr>
      </w:pPr>
      <w:bookmarkStart w:id="26" w:name="_Toc508279637"/>
      <w:bookmarkEnd w:id="25"/>
      <w:r w:rsidRPr="00822EC9">
        <w:rPr>
          <w:rFonts w:ascii="Helvetica" w:hAnsi="Helvetica" w:cs="Helvetica"/>
          <w:b/>
          <w:color w:val="auto"/>
          <w:sz w:val="22"/>
        </w:rPr>
        <w:t>17. Responsabilidad Sobre la Presentación Razonable de la Información Contable:</w:t>
      </w:r>
      <w:bookmarkEnd w:id="26"/>
    </w:p>
    <w:p w14:paraId="79CB0661" w14:textId="77777777" w:rsidR="00822EC9" w:rsidRPr="00822EC9" w:rsidRDefault="00822EC9" w:rsidP="00822EC9">
      <w:pPr>
        <w:tabs>
          <w:tab w:val="left" w:leader="underscore" w:pos="9639"/>
        </w:tabs>
        <w:spacing w:after="120"/>
        <w:jc w:val="both"/>
        <w:rPr>
          <w:rFonts w:ascii="Helvetica" w:hAnsi="Helvetica" w:cs="Helvetica"/>
        </w:rPr>
      </w:pPr>
      <w:r w:rsidRPr="00822EC9">
        <w:rPr>
          <w:rFonts w:ascii="Helvetica" w:hAnsi="Helvetica" w:cs="Helvetica"/>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822EC9" w:rsidRPr="00822EC9" w14:paraId="210BFA6C" w14:textId="77777777" w:rsidTr="00822EC9">
        <w:tc>
          <w:tcPr>
            <w:tcW w:w="9828" w:type="dxa"/>
          </w:tcPr>
          <w:p w14:paraId="1E6EF078" w14:textId="6484B261" w:rsidR="00822EC9" w:rsidRPr="00822EC9" w:rsidRDefault="00822EC9" w:rsidP="00822EC9">
            <w:pPr>
              <w:tabs>
                <w:tab w:val="left" w:leader="underscore" w:pos="9639"/>
              </w:tabs>
              <w:spacing w:after="120"/>
              <w:rPr>
                <w:rFonts w:ascii="Helvetica" w:hAnsi="Helvetica" w:cs="Helvetica"/>
              </w:rPr>
            </w:pPr>
            <w:r w:rsidRPr="00822EC9">
              <w:rPr>
                <w:rFonts w:ascii="Helvetica" w:hAnsi="Helvetica" w:cs="Helvetica"/>
                <w:b/>
              </w:rPr>
              <w:lastRenderedPageBreak/>
              <w:t>Nota 1</w:t>
            </w:r>
            <w:r w:rsidRPr="00822EC9">
              <w:rPr>
                <w:rFonts w:ascii="Helvetica" w:hAnsi="Helvetica" w:cs="Helvetica"/>
              </w:rPr>
              <w:t>: En cada una de las 16 notas de gestión administrativa el ente público deberá poner la nota correspondiente o en su caso la leyenda “Esta nota no le aplica al ente público” y una breve explicación del motivo por el cual no le es aplicable.</w:t>
            </w:r>
          </w:p>
        </w:tc>
      </w:tr>
    </w:tbl>
    <w:p w14:paraId="2A1DD48C" w14:textId="77777777" w:rsidR="00822EC9" w:rsidRDefault="00822EC9" w:rsidP="00822EC9"/>
    <w:p w14:paraId="684696C0" w14:textId="77777777" w:rsidR="00822EC9" w:rsidRDefault="00822EC9" w:rsidP="00822EC9"/>
    <w:p w14:paraId="106FD437" w14:textId="77777777" w:rsidR="00822EC9" w:rsidRDefault="00822EC9" w:rsidP="00822EC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19"/>
        <w:gridCol w:w="4996"/>
      </w:tblGrid>
      <w:tr w:rsidR="00822EC9" w14:paraId="3A9D8568" w14:textId="77777777" w:rsidTr="00822EC9">
        <w:tc>
          <w:tcPr>
            <w:tcW w:w="4361" w:type="dxa"/>
            <w:tcBorders>
              <w:bottom w:val="single" w:sz="4" w:space="0" w:color="auto"/>
            </w:tcBorders>
          </w:tcPr>
          <w:p w14:paraId="51792980" w14:textId="77777777" w:rsidR="00822EC9" w:rsidRDefault="00822EC9" w:rsidP="00822EC9"/>
        </w:tc>
        <w:tc>
          <w:tcPr>
            <w:tcW w:w="425" w:type="dxa"/>
          </w:tcPr>
          <w:p w14:paraId="16F4A09F" w14:textId="77777777" w:rsidR="00822EC9" w:rsidRDefault="00822EC9" w:rsidP="00822EC9"/>
        </w:tc>
        <w:tc>
          <w:tcPr>
            <w:tcW w:w="5118" w:type="dxa"/>
            <w:tcBorders>
              <w:bottom w:val="single" w:sz="4" w:space="0" w:color="auto"/>
            </w:tcBorders>
          </w:tcPr>
          <w:p w14:paraId="3039F5F5" w14:textId="6AA6AAD5" w:rsidR="00822EC9" w:rsidRDefault="00822EC9" w:rsidP="00822EC9"/>
        </w:tc>
      </w:tr>
      <w:tr w:rsidR="00822EC9" w14:paraId="46BDD329" w14:textId="77777777" w:rsidTr="00822EC9">
        <w:tc>
          <w:tcPr>
            <w:tcW w:w="4361" w:type="dxa"/>
            <w:tcBorders>
              <w:top w:val="single" w:sz="4" w:space="0" w:color="auto"/>
            </w:tcBorders>
          </w:tcPr>
          <w:p w14:paraId="4A5B6D81" w14:textId="77777777" w:rsidR="00822EC9" w:rsidRPr="00822EC9" w:rsidRDefault="00822EC9" w:rsidP="00822EC9">
            <w:pPr>
              <w:spacing w:after="0"/>
              <w:jc w:val="center"/>
              <w:rPr>
                <w:rFonts w:ascii="Helvetica" w:hAnsi="Helvetica" w:cs="Helvetica"/>
                <w:b/>
                <w:bCs/>
              </w:rPr>
            </w:pPr>
            <w:r w:rsidRPr="00822EC9">
              <w:rPr>
                <w:rFonts w:ascii="Helvetica" w:hAnsi="Helvetica" w:cs="Helvetica"/>
                <w:b/>
                <w:bCs/>
              </w:rPr>
              <w:t>Lic. Arturo Antonio Perera Cortés</w:t>
            </w:r>
          </w:p>
          <w:p w14:paraId="4813B29C" w14:textId="509D9307" w:rsidR="00822EC9" w:rsidRPr="00822EC9" w:rsidRDefault="00822EC9" w:rsidP="00822EC9">
            <w:pPr>
              <w:spacing w:after="0"/>
              <w:jc w:val="center"/>
              <w:rPr>
                <w:rFonts w:ascii="Helvetica" w:hAnsi="Helvetica" w:cs="Helvetica"/>
              </w:rPr>
            </w:pPr>
            <w:r w:rsidRPr="00822EC9">
              <w:rPr>
                <w:rFonts w:ascii="Helvetica" w:hAnsi="Helvetica" w:cs="Helvetica"/>
              </w:rPr>
              <w:t>Coordinador de Gestión Administrativa</w:t>
            </w:r>
          </w:p>
        </w:tc>
        <w:tc>
          <w:tcPr>
            <w:tcW w:w="425" w:type="dxa"/>
          </w:tcPr>
          <w:p w14:paraId="65AD48C7" w14:textId="77777777" w:rsidR="00822EC9" w:rsidRPr="00822EC9" w:rsidRDefault="00822EC9" w:rsidP="00822EC9">
            <w:pPr>
              <w:spacing w:after="0"/>
              <w:jc w:val="center"/>
              <w:rPr>
                <w:rFonts w:ascii="Helvetica" w:hAnsi="Helvetica" w:cs="Helvetica"/>
              </w:rPr>
            </w:pPr>
          </w:p>
        </w:tc>
        <w:tc>
          <w:tcPr>
            <w:tcW w:w="5118" w:type="dxa"/>
            <w:tcBorders>
              <w:top w:val="single" w:sz="4" w:space="0" w:color="auto"/>
            </w:tcBorders>
          </w:tcPr>
          <w:p w14:paraId="04F56C27" w14:textId="7DF3F951" w:rsidR="00822EC9" w:rsidRPr="00822EC9" w:rsidRDefault="00EF51BE" w:rsidP="00822EC9">
            <w:pPr>
              <w:spacing w:after="0"/>
              <w:jc w:val="center"/>
              <w:rPr>
                <w:rFonts w:ascii="Helvetica" w:hAnsi="Helvetica" w:cs="Helvetica"/>
                <w:b/>
                <w:bCs/>
              </w:rPr>
            </w:pPr>
            <w:r>
              <w:rPr>
                <w:rFonts w:ascii="Helvetica" w:hAnsi="Helvetica" w:cs="Helvetica"/>
                <w:b/>
                <w:bCs/>
              </w:rPr>
              <w:t>Dr</w:t>
            </w:r>
            <w:r w:rsidR="00822EC9" w:rsidRPr="00822EC9">
              <w:rPr>
                <w:rFonts w:ascii="Helvetica" w:hAnsi="Helvetica" w:cs="Helvetica"/>
                <w:b/>
                <w:bCs/>
              </w:rPr>
              <w:t>. Sergio Jaime Rochín del Rincón</w:t>
            </w:r>
          </w:p>
          <w:p w14:paraId="36B7DD9E" w14:textId="5FDF6362" w:rsidR="00822EC9" w:rsidRPr="00822EC9" w:rsidRDefault="00822EC9" w:rsidP="00822EC9">
            <w:pPr>
              <w:spacing w:after="0"/>
              <w:jc w:val="center"/>
              <w:rPr>
                <w:rFonts w:ascii="Helvetica" w:hAnsi="Helvetica" w:cs="Helvetica"/>
              </w:rPr>
            </w:pPr>
            <w:r>
              <w:rPr>
                <w:rFonts w:ascii="Helvetica" w:hAnsi="Helvetica" w:cs="Helvetica"/>
              </w:rPr>
              <w:t xml:space="preserve">Presidente de la </w:t>
            </w:r>
            <w:r w:rsidRPr="00822EC9">
              <w:rPr>
                <w:rFonts w:ascii="Helvetica" w:hAnsi="Helvetica" w:cs="Helvetica"/>
              </w:rPr>
              <w:t>Comisión Estatal de Atención Integral a Víctimas</w:t>
            </w:r>
          </w:p>
        </w:tc>
      </w:tr>
    </w:tbl>
    <w:p w14:paraId="14E71BB9" w14:textId="77777777" w:rsidR="00822EC9" w:rsidRDefault="00822EC9" w:rsidP="00822EC9"/>
    <w:sectPr w:rsidR="00822EC9" w:rsidSect="00822EC9">
      <w:headerReference w:type="default" r:id="rId9"/>
      <w:footerReference w:type="default" r:id="rId10"/>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EDA3" w14:textId="77777777" w:rsidR="009C7F90" w:rsidRDefault="009C7F90">
      <w:pPr>
        <w:spacing w:after="0" w:line="240" w:lineRule="auto"/>
      </w:pPr>
      <w:r>
        <w:separator/>
      </w:r>
    </w:p>
  </w:endnote>
  <w:endnote w:type="continuationSeparator" w:id="0">
    <w:p w14:paraId="7D36EFF2" w14:textId="77777777" w:rsidR="009C7F90" w:rsidRDefault="009C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65858E88" w14:textId="77777777" w:rsidR="00822EC9" w:rsidRDefault="00822EC9">
        <w:pPr>
          <w:pStyle w:val="Piedepgina"/>
          <w:jc w:val="right"/>
        </w:pPr>
        <w:r>
          <w:fldChar w:fldCharType="begin"/>
        </w:r>
        <w:r>
          <w:instrText>PAGE   \* MERGEFORMAT</w:instrText>
        </w:r>
        <w:r>
          <w:fldChar w:fldCharType="separate"/>
        </w:r>
        <w:r w:rsidRPr="003701FC">
          <w:rPr>
            <w:noProof/>
            <w:lang w:val="es-ES"/>
          </w:rPr>
          <w:t>9</w:t>
        </w:r>
        <w:r>
          <w:fldChar w:fldCharType="end"/>
        </w:r>
      </w:p>
    </w:sdtContent>
  </w:sdt>
  <w:p w14:paraId="4FB9DD02" w14:textId="77777777" w:rsidR="00822EC9" w:rsidRDefault="00822E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F68E" w14:textId="77777777" w:rsidR="009C7F90" w:rsidRDefault="009C7F90">
      <w:pPr>
        <w:spacing w:after="0" w:line="240" w:lineRule="auto"/>
      </w:pPr>
      <w:r>
        <w:separator/>
      </w:r>
    </w:p>
  </w:footnote>
  <w:footnote w:type="continuationSeparator" w:id="0">
    <w:p w14:paraId="7ECD93B9" w14:textId="77777777" w:rsidR="009C7F90" w:rsidRDefault="009C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643C" w14:textId="77777777" w:rsidR="00822EC9" w:rsidRDefault="00822EC9" w:rsidP="00A4610E">
    <w:pPr>
      <w:pStyle w:val="Encabezado"/>
      <w:spacing w:after="0" w:line="240" w:lineRule="auto"/>
      <w:jc w:val="center"/>
    </w:pPr>
    <w:r>
      <w:t>COMISIÓN ESTATAL DE ATENCIÓN INTEGRAL A VÍCTIMAS</w:t>
    </w:r>
  </w:p>
  <w:p w14:paraId="716B1F92" w14:textId="147D26B4" w:rsidR="00822EC9" w:rsidRDefault="00822EC9" w:rsidP="00A4610E">
    <w:pPr>
      <w:pStyle w:val="Encabezado"/>
      <w:spacing w:after="0" w:line="240" w:lineRule="auto"/>
      <w:jc w:val="center"/>
    </w:pPr>
    <w:r w:rsidRPr="00A4610E">
      <w:t xml:space="preserve">CORRESPONDIENTES AL </w:t>
    </w:r>
    <w:r>
      <w:t>3</w:t>
    </w:r>
    <w:r w:rsidR="00C66E17">
      <w:t>0</w:t>
    </w:r>
    <w:r>
      <w:t xml:space="preserve"> DE </w:t>
    </w:r>
    <w:r w:rsidR="00D4177A">
      <w:t>SEPTIEMBRE</w:t>
    </w:r>
    <w:r w:rsidR="00EF51B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070"/>
    <w:multiLevelType w:val="hybridMultilevel"/>
    <w:tmpl w:val="69A8BF82"/>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E2DCE"/>
    <w:multiLevelType w:val="hybridMultilevel"/>
    <w:tmpl w:val="6FA0D25C"/>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D212DB"/>
    <w:multiLevelType w:val="hybridMultilevel"/>
    <w:tmpl w:val="109A5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810D8D"/>
    <w:multiLevelType w:val="hybridMultilevel"/>
    <w:tmpl w:val="FD60E8FE"/>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660B9"/>
    <w:multiLevelType w:val="hybridMultilevel"/>
    <w:tmpl w:val="00CE425A"/>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850E5F"/>
    <w:multiLevelType w:val="hybridMultilevel"/>
    <w:tmpl w:val="2D1C19EA"/>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CE0B9F"/>
    <w:multiLevelType w:val="hybridMultilevel"/>
    <w:tmpl w:val="A3CC786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4F5F73"/>
    <w:multiLevelType w:val="hybridMultilevel"/>
    <w:tmpl w:val="45683888"/>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F85018"/>
    <w:multiLevelType w:val="hybridMultilevel"/>
    <w:tmpl w:val="7AF477A8"/>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851A6A"/>
    <w:multiLevelType w:val="hybridMultilevel"/>
    <w:tmpl w:val="F7840B2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4D49F5"/>
    <w:multiLevelType w:val="hybridMultilevel"/>
    <w:tmpl w:val="CC1C0302"/>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235405"/>
    <w:multiLevelType w:val="hybridMultilevel"/>
    <w:tmpl w:val="8B6AC676"/>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D07D05"/>
    <w:multiLevelType w:val="hybridMultilevel"/>
    <w:tmpl w:val="F386FC9A"/>
    <w:lvl w:ilvl="0" w:tplc="70EC84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2293766">
    <w:abstractNumId w:val="12"/>
  </w:num>
  <w:num w:numId="2" w16cid:durableId="1986011177">
    <w:abstractNumId w:val="4"/>
  </w:num>
  <w:num w:numId="3" w16cid:durableId="1845126007">
    <w:abstractNumId w:val="2"/>
  </w:num>
  <w:num w:numId="4" w16cid:durableId="886991229">
    <w:abstractNumId w:val="9"/>
  </w:num>
  <w:num w:numId="5" w16cid:durableId="1882129797">
    <w:abstractNumId w:val="5"/>
  </w:num>
  <w:num w:numId="6" w16cid:durableId="1780485445">
    <w:abstractNumId w:val="13"/>
  </w:num>
  <w:num w:numId="7" w16cid:durableId="937717480">
    <w:abstractNumId w:val="10"/>
  </w:num>
  <w:num w:numId="8" w16cid:durableId="572160530">
    <w:abstractNumId w:val="11"/>
  </w:num>
  <w:num w:numId="9" w16cid:durableId="800995619">
    <w:abstractNumId w:val="8"/>
  </w:num>
  <w:num w:numId="10" w16cid:durableId="584263983">
    <w:abstractNumId w:val="6"/>
  </w:num>
  <w:num w:numId="11" w16cid:durableId="67071838">
    <w:abstractNumId w:val="7"/>
  </w:num>
  <w:num w:numId="12" w16cid:durableId="2016112274">
    <w:abstractNumId w:val="1"/>
  </w:num>
  <w:num w:numId="13" w16cid:durableId="474225365">
    <w:abstractNumId w:val="3"/>
  </w:num>
  <w:num w:numId="14" w16cid:durableId="159724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C9"/>
    <w:rsid w:val="000F38F3"/>
    <w:rsid w:val="001427A9"/>
    <w:rsid w:val="0026061C"/>
    <w:rsid w:val="00281998"/>
    <w:rsid w:val="00485D04"/>
    <w:rsid w:val="004F1832"/>
    <w:rsid w:val="004F1DAD"/>
    <w:rsid w:val="00592D99"/>
    <w:rsid w:val="00674979"/>
    <w:rsid w:val="0072544F"/>
    <w:rsid w:val="00756EC9"/>
    <w:rsid w:val="00822EC9"/>
    <w:rsid w:val="00841FBD"/>
    <w:rsid w:val="009118D6"/>
    <w:rsid w:val="009C7F90"/>
    <w:rsid w:val="00C174C3"/>
    <w:rsid w:val="00C66E17"/>
    <w:rsid w:val="00D4177A"/>
    <w:rsid w:val="00E06D17"/>
    <w:rsid w:val="00EF51BE"/>
    <w:rsid w:val="00F05BA4"/>
    <w:rsid w:val="00F30894"/>
    <w:rsid w:val="00FD02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E311"/>
  <w15:chartTrackingRefBased/>
  <w15:docId w15:val="{314F254F-815C-48C6-8750-9A47F5B9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Rg" w:eastAsiaTheme="minorHAnsi" w:hAnsi="Proxima Nova Rg" w:cstheme="minorBidi"/>
        <w:kern w:val="2"/>
        <w:sz w:val="22"/>
        <w:szCs w:val="22"/>
        <w:lang w:val="es-MX"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C9"/>
    <w:pPr>
      <w:spacing w:after="200" w:line="276" w:lineRule="auto"/>
      <w:jc w:val="left"/>
    </w:pPr>
    <w:rPr>
      <w:rFonts w:ascii="Calibri" w:eastAsia="Calibri" w:hAnsi="Calibri" w:cs="Times New Roman"/>
      <w:kern w:val="0"/>
    </w:rPr>
  </w:style>
  <w:style w:type="paragraph" w:styleId="Ttulo1">
    <w:name w:val="heading 1"/>
    <w:basedOn w:val="Normal"/>
    <w:next w:val="Normal"/>
    <w:link w:val="Ttulo1Car"/>
    <w:uiPriority w:val="9"/>
    <w:qFormat/>
    <w:rsid w:val="0082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2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2E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2E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22EC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22E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22EC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22EC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22EC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2E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22E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2EC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2EC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22EC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22EC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22EC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22EC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22EC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22E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2E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2E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2EC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22EC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22EC9"/>
    <w:rPr>
      <w:i/>
      <w:iCs/>
      <w:color w:val="404040" w:themeColor="text1" w:themeTint="BF"/>
    </w:rPr>
  </w:style>
  <w:style w:type="paragraph" w:styleId="Prrafodelista">
    <w:name w:val="List Paragraph"/>
    <w:basedOn w:val="Normal"/>
    <w:uiPriority w:val="34"/>
    <w:qFormat/>
    <w:rsid w:val="00822EC9"/>
    <w:pPr>
      <w:ind w:left="720"/>
      <w:contextualSpacing/>
    </w:pPr>
  </w:style>
  <w:style w:type="character" w:styleId="nfasisintenso">
    <w:name w:val="Intense Emphasis"/>
    <w:basedOn w:val="Fuentedeprrafopredeter"/>
    <w:uiPriority w:val="21"/>
    <w:qFormat/>
    <w:rsid w:val="00822EC9"/>
    <w:rPr>
      <w:i/>
      <w:iCs/>
      <w:color w:val="0F4761" w:themeColor="accent1" w:themeShade="BF"/>
    </w:rPr>
  </w:style>
  <w:style w:type="paragraph" w:styleId="Citadestacada">
    <w:name w:val="Intense Quote"/>
    <w:basedOn w:val="Normal"/>
    <w:next w:val="Normal"/>
    <w:link w:val="CitadestacadaCar"/>
    <w:uiPriority w:val="30"/>
    <w:qFormat/>
    <w:rsid w:val="0082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2EC9"/>
    <w:rPr>
      <w:i/>
      <w:iCs/>
      <w:color w:val="0F4761" w:themeColor="accent1" w:themeShade="BF"/>
    </w:rPr>
  </w:style>
  <w:style w:type="character" w:styleId="Referenciaintensa">
    <w:name w:val="Intense Reference"/>
    <w:basedOn w:val="Fuentedeprrafopredeter"/>
    <w:uiPriority w:val="32"/>
    <w:qFormat/>
    <w:rsid w:val="00822EC9"/>
    <w:rPr>
      <w:b/>
      <w:bCs/>
      <w:smallCaps/>
      <w:color w:val="0F4761" w:themeColor="accent1" w:themeShade="BF"/>
      <w:spacing w:val="5"/>
    </w:rPr>
  </w:style>
  <w:style w:type="character" w:styleId="Hipervnculo">
    <w:name w:val="Hyperlink"/>
    <w:uiPriority w:val="99"/>
    <w:unhideWhenUsed/>
    <w:rsid w:val="00822EC9"/>
    <w:rPr>
      <w:color w:val="0000FF"/>
      <w:u w:val="single"/>
    </w:rPr>
  </w:style>
  <w:style w:type="paragraph" w:styleId="Encabezado">
    <w:name w:val="header"/>
    <w:basedOn w:val="Normal"/>
    <w:link w:val="EncabezadoCar"/>
    <w:uiPriority w:val="99"/>
    <w:unhideWhenUsed/>
    <w:rsid w:val="00822EC9"/>
    <w:pPr>
      <w:tabs>
        <w:tab w:val="center" w:pos="4419"/>
        <w:tab w:val="right" w:pos="8838"/>
      </w:tabs>
    </w:pPr>
  </w:style>
  <w:style w:type="character" w:customStyle="1" w:styleId="EncabezadoCar">
    <w:name w:val="Encabezado Car"/>
    <w:basedOn w:val="Fuentedeprrafopredeter"/>
    <w:link w:val="Encabezado"/>
    <w:uiPriority w:val="99"/>
    <w:rsid w:val="00822EC9"/>
    <w:rPr>
      <w:rFonts w:ascii="Calibri" w:eastAsia="Calibri" w:hAnsi="Calibri" w:cs="Times New Roman"/>
      <w:kern w:val="0"/>
    </w:rPr>
  </w:style>
  <w:style w:type="paragraph" w:styleId="Piedepgina">
    <w:name w:val="footer"/>
    <w:basedOn w:val="Normal"/>
    <w:link w:val="PiedepginaCar"/>
    <w:uiPriority w:val="99"/>
    <w:unhideWhenUsed/>
    <w:rsid w:val="00822EC9"/>
    <w:pPr>
      <w:tabs>
        <w:tab w:val="center" w:pos="4419"/>
        <w:tab w:val="right" w:pos="8838"/>
      </w:tabs>
    </w:pPr>
  </w:style>
  <w:style w:type="character" w:customStyle="1" w:styleId="PiedepginaCar">
    <w:name w:val="Pie de página Car"/>
    <w:basedOn w:val="Fuentedeprrafopredeter"/>
    <w:link w:val="Piedepgina"/>
    <w:uiPriority w:val="99"/>
    <w:rsid w:val="00822EC9"/>
    <w:rPr>
      <w:rFonts w:ascii="Calibri" w:eastAsia="Calibri" w:hAnsi="Calibri" w:cs="Times New Roman"/>
      <w:kern w:val="0"/>
    </w:rPr>
  </w:style>
  <w:style w:type="paragraph" w:styleId="NormalWeb">
    <w:name w:val="Normal (Web)"/>
    <w:basedOn w:val="Normal"/>
    <w:uiPriority w:val="99"/>
    <w:unhideWhenUsed/>
    <w:rsid w:val="00822EC9"/>
    <w:pPr>
      <w:spacing w:before="100" w:beforeAutospacing="1" w:after="100" w:afterAutospacing="1" w:line="240" w:lineRule="auto"/>
    </w:pPr>
    <w:rPr>
      <w:rFonts w:ascii="Times New Roman" w:eastAsia="Times New Roman" w:hAnsi="Times New Roman"/>
      <w:sz w:val="24"/>
      <w:szCs w:val="24"/>
      <w:lang w:eastAsia="es-MX"/>
    </w:rPr>
  </w:style>
  <w:style w:type="paragraph" w:styleId="TtuloTDC">
    <w:name w:val="TOC Heading"/>
    <w:basedOn w:val="Ttulo1"/>
    <w:next w:val="Normal"/>
    <w:uiPriority w:val="39"/>
    <w:unhideWhenUsed/>
    <w:qFormat/>
    <w:rsid w:val="00822EC9"/>
    <w:pPr>
      <w:spacing w:before="240" w:after="0" w:line="259" w:lineRule="auto"/>
      <w:outlineLvl w:val="9"/>
    </w:pPr>
    <w:rPr>
      <w:sz w:val="32"/>
      <w:szCs w:val="32"/>
      <w:lang w:eastAsia="es-MX"/>
    </w:rPr>
  </w:style>
  <w:style w:type="paragraph" w:styleId="TDC2">
    <w:name w:val="toc 2"/>
    <w:basedOn w:val="Normal"/>
    <w:next w:val="Normal"/>
    <w:autoRedefine/>
    <w:uiPriority w:val="39"/>
    <w:unhideWhenUsed/>
    <w:rsid w:val="00822EC9"/>
    <w:pPr>
      <w:spacing w:after="100"/>
      <w:ind w:left="220"/>
    </w:pPr>
  </w:style>
  <w:style w:type="table" w:styleId="Tablaconcuadrcula">
    <w:name w:val="Table Grid"/>
    <w:basedOn w:val="Tablanormal"/>
    <w:uiPriority w:val="39"/>
    <w:rsid w:val="00822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corona/lquiroz/AppData/Local/Microsoft/Windows/Temporary%20Internet%20Files/Content.Outlook/HBGSO9P3/MODELO%20CTA%202013.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2768</Words>
  <Characters>15224</Characters>
  <Application>Microsoft Office Word</Application>
  <DocSecurity>0</DocSecurity>
  <Lines>126</Lines>
  <Paragraphs>35</Paragraphs>
  <ScaleCrop>false</ScaleCrop>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Perera</dc:creator>
  <cp:keywords/>
  <dc:description/>
  <cp:lastModifiedBy>Artemio López Pérez</cp:lastModifiedBy>
  <cp:revision>5</cp:revision>
  <dcterms:created xsi:type="dcterms:W3CDTF">2025-07-23T22:12:00Z</dcterms:created>
  <dcterms:modified xsi:type="dcterms:W3CDTF">2025-10-27T22:13:00Z</dcterms:modified>
</cp:coreProperties>
</file>