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bookmarkStart w:id="0" w:name="_Hlk188921240"/>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Pr="00E74967">
        <w:rPr>
          <w:rStyle w:val="Hipervnculo"/>
          <w:rFonts w:cs="Calibri"/>
          <w:b/>
          <w:sz w:val="28"/>
          <w:szCs w:val="28"/>
        </w:rPr>
        <w:t>NOTAS DE GESTIÓN ADMINISTRATIVA</w:t>
      </w:r>
      <w:r>
        <w:fldChar w:fldCharType="end"/>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15062A10"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r w:rsidR="003522D8" w:rsidRPr="00E74967">
        <w:rPr>
          <w:rFonts w:cs="Calibri"/>
        </w:rPr>
        <w:t>esta</w:t>
      </w:r>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E6D44A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3522D9">
              <w:rPr>
                <w:noProof/>
                <w:webHidden/>
              </w:rPr>
              <w:t>2</w:t>
            </w:r>
            <w:r w:rsidR="005F51CC">
              <w:rPr>
                <w:noProof/>
                <w:webHidden/>
              </w:rPr>
              <w:fldChar w:fldCharType="end"/>
            </w:r>
          </w:hyperlink>
        </w:p>
        <w:p w14:paraId="6A6756CA" w14:textId="3363050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3522D9">
              <w:rPr>
                <w:noProof/>
                <w:webHidden/>
              </w:rPr>
              <w:t>3</w:t>
            </w:r>
            <w:r>
              <w:rPr>
                <w:noProof/>
                <w:webHidden/>
              </w:rPr>
              <w:fldChar w:fldCharType="end"/>
            </w:r>
          </w:hyperlink>
        </w:p>
        <w:p w14:paraId="19796F35" w14:textId="094F1FC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3522D9">
              <w:rPr>
                <w:noProof/>
                <w:webHidden/>
              </w:rPr>
              <w:t>3</w:t>
            </w:r>
            <w:r>
              <w:rPr>
                <w:noProof/>
                <w:webHidden/>
              </w:rPr>
              <w:fldChar w:fldCharType="end"/>
            </w:r>
          </w:hyperlink>
        </w:p>
        <w:p w14:paraId="62AC0657" w14:textId="540CCE7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3522D9">
              <w:rPr>
                <w:noProof/>
                <w:webHidden/>
              </w:rPr>
              <w:t>6</w:t>
            </w:r>
            <w:r>
              <w:rPr>
                <w:noProof/>
                <w:webHidden/>
              </w:rPr>
              <w:fldChar w:fldCharType="end"/>
            </w:r>
          </w:hyperlink>
        </w:p>
        <w:p w14:paraId="7C7C1962" w14:textId="3F827EA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3522D9">
              <w:rPr>
                <w:noProof/>
                <w:webHidden/>
              </w:rPr>
              <w:t>6</w:t>
            </w:r>
            <w:r>
              <w:rPr>
                <w:noProof/>
                <w:webHidden/>
              </w:rPr>
              <w:fldChar w:fldCharType="end"/>
            </w:r>
          </w:hyperlink>
        </w:p>
        <w:p w14:paraId="3FE6C661" w14:textId="3FD3B9B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3522D9">
              <w:rPr>
                <w:noProof/>
                <w:webHidden/>
              </w:rPr>
              <w:t>7</w:t>
            </w:r>
            <w:r>
              <w:rPr>
                <w:noProof/>
                <w:webHidden/>
              </w:rPr>
              <w:fldChar w:fldCharType="end"/>
            </w:r>
          </w:hyperlink>
        </w:p>
        <w:p w14:paraId="135541CC" w14:textId="60A0532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3522D9">
              <w:rPr>
                <w:noProof/>
                <w:webHidden/>
              </w:rPr>
              <w:t>7</w:t>
            </w:r>
            <w:r>
              <w:rPr>
                <w:noProof/>
                <w:webHidden/>
              </w:rPr>
              <w:fldChar w:fldCharType="end"/>
            </w:r>
          </w:hyperlink>
        </w:p>
        <w:p w14:paraId="48C9D852" w14:textId="503DA23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3522D9">
              <w:rPr>
                <w:noProof/>
                <w:webHidden/>
              </w:rPr>
              <w:t>8</w:t>
            </w:r>
            <w:r>
              <w:rPr>
                <w:noProof/>
                <w:webHidden/>
              </w:rPr>
              <w:fldChar w:fldCharType="end"/>
            </w:r>
          </w:hyperlink>
        </w:p>
        <w:p w14:paraId="027C97E3" w14:textId="218381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3522D9">
              <w:rPr>
                <w:noProof/>
                <w:webHidden/>
              </w:rPr>
              <w:t>8</w:t>
            </w:r>
            <w:r>
              <w:rPr>
                <w:noProof/>
                <w:webHidden/>
              </w:rPr>
              <w:fldChar w:fldCharType="end"/>
            </w:r>
          </w:hyperlink>
        </w:p>
        <w:p w14:paraId="00DB87A1" w14:textId="05DC43A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3522D9">
              <w:rPr>
                <w:noProof/>
                <w:webHidden/>
              </w:rPr>
              <w:t>9</w:t>
            </w:r>
            <w:r>
              <w:rPr>
                <w:noProof/>
                <w:webHidden/>
              </w:rPr>
              <w:fldChar w:fldCharType="end"/>
            </w:r>
          </w:hyperlink>
        </w:p>
        <w:p w14:paraId="00EEECC2" w14:textId="1B9B0F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3522D9">
              <w:rPr>
                <w:noProof/>
                <w:webHidden/>
              </w:rPr>
              <w:t>9</w:t>
            </w:r>
            <w:r>
              <w:rPr>
                <w:noProof/>
                <w:webHidden/>
              </w:rPr>
              <w:fldChar w:fldCharType="end"/>
            </w:r>
          </w:hyperlink>
        </w:p>
        <w:p w14:paraId="68FD7A9A" w14:textId="60AB4F6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3522D9">
              <w:rPr>
                <w:noProof/>
                <w:webHidden/>
              </w:rPr>
              <w:t>9</w:t>
            </w:r>
            <w:r>
              <w:rPr>
                <w:noProof/>
                <w:webHidden/>
              </w:rPr>
              <w:fldChar w:fldCharType="end"/>
            </w:r>
          </w:hyperlink>
        </w:p>
        <w:p w14:paraId="5F55527F" w14:textId="749D68F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3522D9">
              <w:rPr>
                <w:noProof/>
                <w:webHidden/>
              </w:rPr>
              <w:t>9</w:t>
            </w:r>
            <w:r>
              <w:rPr>
                <w:noProof/>
                <w:webHidden/>
              </w:rPr>
              <w:fldChar w:fldCharType="end"/>
            </w:r>
          </w:hyperlink>
        </w:p>
        <w:p w14:paraId="674ABB69" w14:textId="3E617B5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3522D9">
              <w:rPr>
                <w:noProof/>
                <w:webHidden/>
              </w:rPr>
              <w:t>10</w:t>
            </w:r>
            <w:r>
              <w:rPr>
                <w:noProof/>
                <w:webHidden/>
              </w:rPr>
              <w:fldChar w:fldCharType="end"/>
            </w:r>
          </w:hyperlink>
        </w:p>
        <w:p w14:paraId="39048CDA" w14:textId="69F5EC7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3522D9">
              <w:rPr>
                <w:noProof/>
                <w:webHidden/>
              </w:rPr>
              <w:t>10</w:t>
            </w:r>
            <w:r>
              <w:rPr>
                <w:noProof/>
                <w:webHidden/>
              </w:rPr>
              <w:fldChar w:fldCharType="end"/>
            </w:r>
          </w:hyperlink>
        </w:p>
        <w:p w14:paraId="7E9C5BA3" w14:textId="3245BB9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3522D9">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143B90DC" w:rsidR="007D1E76" w:rsidRPr="00E74967" w:rsidRDefault="009E40EE" w:rsidP="00CB41C4">
      <w:pPr>
        <w:tabs>
          <w:tab w:val="left" w:leader="underscore" w:pos="9639"/>
        </w:tabs>
        <w:spacing w:after="0" w:line="240" w:lineRule="auto"/>
        <w:jc w:val="both"/>
        <w:rPr>
          <w:rFonts w:cs="Calibri"/>
        </w:rPr>
      </w:pPr>
      <w:r>
        <w:rPr>
          <w:rFonts w:cs="Calibri"/>
        </w:rPr>
        <w:t xml:space="preserve"> 12 de julio de 2023</w:t>
      </w:r>
      <w:r w:rsidR="00017139">
        <w:rPr>
          <w:rFonts w:cs="Calibri"/>
        </w:rPr>
        <w:t>, no obstante, formalmente inicia operaciones el 01</w:t>
      </w:r>
      <w:r w:rsidR="005B0D45">
        <w:rPr>
          <w:rFonts w:cs="Calibri"/>
        </w:rPr>
        <w:t xml:space="preserve"> de enero de </w:t>
      </w:r>
      <w:r w:rsidR="00017139">
        <w:rPr>
          <w:rFonts w:cs="Calibri"/>
        </w:rPr>
        <w:t>2024</w:t>
      </w:r>
      <w:r w:rsidR="00045445">
        <w:rPr>
          <w:rFonts w:cs="Calibri"/>
        </w:rPr>
        <w:t>.</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4571BBD9"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w:t>
      </w:r>
    </w:p>
    <w:p w14:paraId="2249DCF2" w14:textId="358BA06C" w:rsidR="00EF3792" w:rsidRDefault="00825DD6" w:rsidP="00EF3792">
      <w:pPr>
        <w:tabs>
          <w:tab w:val="left" w:leader="underscore" w:pos="9639"/>
        </w:tabs>
        <w:spacing w:after="0" w:line="240" w:lineRule="auto"/>
        <w:jc w:val="both"/>
        <w:rPr>
          <w:rFonts w:cs="Calibri"/>
        </w:rPr>
      </w:pPr>
      <w:r>
        <w:rPr>
          <w:rFonts w:cs="Calibri"/>
        </w:rPr>
        <w:t xml:space="preserve">Como se </w:t>
      </w:r>
      <w:r w:rsidR="0049768E">
        <w:rPr>
          <w:rFonts w:cs="Calibri"/>
        </w:rPr>
        <w:t xml:space="preserve">establece en diversos </w:t>
      </w:r>
      <w:r w:rsidR="00C24A94">
        <w:rPr>
          <w:rFonts w:cs="Calibri"/>
        </w:rPr>
        <w:t>documentos,</w:t>
      </w:r>
      <w:r w:rsidR="0049768E">
        <w:rPr>
          <w:rFonts w:cs="Calibri"/>
        </w:rPr>
        <w:t xml:space="preserve"> así como en la normatividad,</w:t>
      </w:r>
      <w:r>
        <w:rPr>
          <w:rFonts w:cs="Calibri"/>
        </w:rPr>
        <w:t xml:space="preserve"> </w:t>
      </w:r>
      <w:r w:rsidR="0049768E">
        <w:rPr>
          <w:rFonts w:cs="Calibri"/>
        </w:rPr>
        <w:t>e</w:t>
      </w:r>
      <w:r w:rsidR="00EF3792" w:rsidRPr="00EF3792">
        <w:rPr>
          <w:rFonts w:cs="Calibri"/>
        </w:rPr>
        <w:t xml:space="preserve">l Archivo General del Estado, desde su conformación, ha sido el órgano rector en materia de archivos para el Poder Ejecutivo. La problemática archivística y la publicación de la Ley de Acceso a la Información Pública para el Estado y los Municipios de Guanajuato, hizo necesaria la participación del personal del Archivo General del Estado, primero con la elaboración de los Criterios Generales para la Organización de Archivos, en el 2004, en los cuales se estableció la necesidad de que los documentos estuvieran organizados. </w:t>
      </w:r>
    </w:p>
    <w:p w14:paraId="52EE2EF9" w14:textId="77777777" w:rsidR="0049768E" w:rsidRPr="00EF3792" w:rsidRDefault="0049768E" w:rsidP="00EF3792">
      <w:pPr>
        <w:tabs>
          <w:tab w:val="left" w:leader="underscore" w:pos="9639"/>
        </w:tabs>
        <w:spacing w:after="0" w:line="240" w:lineRule="auto"/>
        <w:jc w:val="both"/>
        <w:rPr>
          <w:rFonts w:cs="Calibri"/>
        </w:rPr>
      </w:pPr>
    </w:p>
    <w:p w14:paraId="06ADF813" w14:textId="65E9B424" w:rsidR="00EF3792" w:rsidRDefault="00EF3792" w:rsidP="00EF3792">
      <w:pPr>
        <w:tabs>
          <w:tab w:val="left" w:leader="underscore" w:pos="9639"/>
        </w:tabs>
        <w:spacing w:after="0" w:line="240" w:lineRule="auto"/>
        <w:jc w:val="both"/>
        <w:rPr>
          <w:rFonts w:cs="Calibri"/>
        </w:rPr>
      </w:pPr>
      <w:r w:rsidRPr="00EF3792">
        <w:rPr>
          <w:rFonts w:cs="Calibri"/>
        </w:rPr>
        <w:t xml:space="preserve">Más tarde en el año 2007, fue </w:t>
      </w:r>
      <w:r w:rsidR="00F26847" w:rsidRPr="00EF3792">
        <w:rPr>
          <w:rFonts w:cs="Calibri"/>
        </w:rPr>
        <w:t>publicada la</w:t>
      </w:r>
      <w:r w:rsidRPr="00EF3792">
        <w:rPr>
          <w:rFonts w:cs="Calibri"/>
        </w:rPr>
        <w:t xml:space="preserve"> Ley de Archivos Generales del Estado y los Municipios de Guanajuato, y un año después de haber entrado en vigor dicha Ley, fue publicado el Reglamento derivado de la misma. El objeto de esta normativa </w:t>
      </w:r>
      <w:r w:rsidR="00F26847" w:rsidRPr="00EF3792">
        <w:rPr>
          <w:rFonts w:cs="Calibri"/>
        </w:rPr>
        <w:t>fue establecer</w:t>
      </w:r>
      <w:r w:rsidRPr="00EF3792">
        <w:rPr>
          <w:rFonts w:cs="Calibri"/>
        </w:rPr>
        <w:t xml:space="preserve"> las bases de la coordinación, organización y funcionamiento de los archivos generales de las dependencias y entidades de la administración pública estatal y municipal, así como del Sistema Estatal de Archivos Generales de Guanajuato, atribución que se le confirió al Archivo General del Estado quien desarrollo un plan para trabajar con las Dependencias y Entidades del Poder Ejecutivo.</w:t>
      </w:r>
    </w:p>
    <w:p w14:paraId="05186CFD" w14:textId="77777777" w:rsidR="00F26847" w:rsidRPr="00EF3792" w:rsidRDefault="00F26847" w:rsidP="00EF3792">
      <w:pPr>
        <w:tabs>
          <w:tab w:val="left" w:leader="underscore" w:pos="9639"/>
        </w:tabs>
        <w:spacing w:after="0" w:line="240" w:lineRule="auto"/>
        <w:jc w:val="both"/>
        <w:rPr>
          <w:rFonts w:cs="Calibri"/>
        </w:rPr>
      </w:pPr>
    </w:p>
    <w:p w14:paraId="5B12A14E" w14:textId="77777777" w:rsidR="00EF3792" w:rsidRDefault="00EF3792" w:rsidP="00EF3792">
      <w:pPr>
        <w:tabs>
          <w:tab w:val="left" w:leader="underscore" w:pos="9639"/>
        </w:tabs>
        <w:spacing w:after="0" w:line="240" w:lineRule="auto"/>
        <w:jc w:val="both"/>
        <w:rPr>
          <w:rFonts w:cs="Calibri"/>
        </w:rPr>
      </w:pPr>
      <w:r w:rsidRPr="00EF3792">
        <w:rPr>
          <w:rFonts w:cs="Calibri"/>
        </w:rPr>
        <w:t>En 2014 por decreto gubernativo el Reglamento de la Ley de Archivos Generales es reformado con la finalidad de ampliar sus, como por ejemplo emitir diagnósticos, formalizar el procedimiento de dictaminación, para autorizar la baja documental o transferencia secundaria, a fin de dar mayor certeza y seguridad jurídica.</w:t>
      </w:r>
    </w:p>
    <w:p w14:paraId="1C33F6F3" w14:textId="77777777" w:rsidR="00F26847" w:rsidRPr="00EF3792" w:rsidRDefault="00F26847" w:rsidP="00EF3792">
      <w:pPr>
        <w:tabs>
          <w:tab w:val="left" w:leader="underscore" w:pos="9639"/>
        </w:tabs>
        <w:spacing w:after="0" w:line="240" w:lineRule="auto"/>
        <w:jc w:val="both"/>
        <w:rPr>
          <w:rFonts w:cs="Calibri"/>
        </w:rPr>
      </w:pPr>
    </w:p>
    <w:p w14:paraId="3843474F" w14:textId="74C31436" w:rsidR="007D1E76" w:rsidRDefault="00EF3792" w:rsidP="00EF3792">
      <w:pPr>
        <w:tabs>
          <w:tab w:val="left" w:leader="underscore" w:pos="9639"/>
        </w:tabs>
        <w:spacing w:after="0" w:line="240" w:lineRule="auto"/>
        <w:jc w:val="both"/>
        <w:rPr>
          <w:rFonts w:cs="Calibri"/>
        </w:rPr>
      </w:pPr>
      <w:r w:rsidRPr="00EF3792">
        <w:rPr>
          <w:rFonts w:cs="Calibri"/>
        </w:rPr>
        <w:t>Con el objeto de establecer las acciones necesarias para facilitar la correcta organización y conservación de la documentación y de los espacios, en el 2018 se emiten los Lineamientos Generales del Archivo General del Poder Ejecutivo.</w:t>
      </w:r>
    </w:p>
    <w:p w14:paraId="566FAFC5" w14:textId="77777777" w:rsidR="00C24A94" w:rsidRDefault="00C24A94" w:rsidP="00EF3792">
      <w:pPr>
        <w:tabs>
          <w:tab w:val="left" w:leader="underscore" w:pos="9639"/>
        </w:tabs>
        <w:spacing w:after="0" w:line="240" w:lineRule="auto"/>
        <w:jc w:val="both"/>
        <w:rPr>
          <w:rFonts w:cs="Calibri"/>
        </w:rPr>
      </w:pPr>
    </w:p>
    <w:p w14:paraId="19710AAA" w14:textId="4DA60DD8" w:rsidR="00C24A94" w:rsidRDefault="00C24A94" w:rsidP="00C24A94">
      <w:pPr>
        <w:tabs>
          <w:tab w:val="left" w:leader="underscore" w:pos="9639"/>
        </w:tabs>
        <w:spacing w:after="0" w:line="240" w:lineRule="auto"/>
        <w:jc w:val="both"/>
        <w:rPr>
          <w:rFonts w:cs="Calibri"/>
        </w:rPr>
      </w:pPr>
      <w:r>
        <w:rPr>
          <w:rFonts w:cs="Calibri"/>
        </w:rPr>
        <w:t>E</w:t>
      </w:r>
      <w:r w:rsidRPr="00C24A94">
        <w:rPr>
          <w:rFonts w:cs="Calibri"/>
        </w:rPr>
        <w:t xml:space="preserve">n fecha 15 de junio de 2019 entró en vigor la Ley General de Archivos publicada en el Diario Oficial de la Federación el 15 de junio de 2018, en la cual se establece la obligación para cada entidad federativa de crear su Archivo General Estatal como entidad especializada en materia de archivos en el orden local, con el objeto promover la administración homogénea de los archivos, preservar, incrementar y difundir el patrimonio documental de cada entidad federativa, con el fin de salvaguardar su memoria de corto, mediano y largo plazo, así como contribuir a la transparencia y rendición de cuentas, garantizando con ello el adecuado ejercicio del derecho humano de acceso a la información pública de las personas, tal como lo prevé el marco constitucional en términos del artículo 6, párrafo cuarto, inciso A. </w:t>
      </w:r>
    </w:p>
    <w:p w14:paraId="74928110" w14:textId="77777777" w:rsidR="00C24A94" w:rsidRPr="00C24A94" w:rsidRDefault="00C24A94" w:rsidP="00C24A94">
      <w:pPr>
        <w:tabs>
          <w:tab w:val="left" w:leader="underscore" w:pos="9639"/>
        </w:tabs>
        <w:spacing w:after="0" w:line="240" w:lineRule="auto"/>
        <w:jc w:val="both"/>
        <w:rPr>
          <w:rFonts w:cs="Calibri"/>
        </w:rPr>
      </w:pPr>
    </w:p>
    <w:p w14:paraId="20B2D36F" w14:textId="77777777" w:rsidR="00C24A94" w:rsidRDefault="00C24A94" w:rsidP="00C24A94">
      <w:pPr>
        <w:tabs>
          <w:tab w:val="left" w:leader="underscore" w:pos="9639"/>
        </w:tabs>
        <w:spacing w:after="0" w:line="240" w:lineRule="auto"/>
        <w:jc w:val="both"/>
        <w:rPr>
          <w:rFonts w:cs="Calibri"/>
        </w:rPr>
      </w:pPr>
      <w:r w:rsidRPr="00C24A94">
        <w:rPr>
          <w:rFonts w:cs="Calibri"/>
        </w:rPr>
        <w:t xml:space="preserve">En cumplimiento a lo anterior, a través del Decreto Legislativo Número 192, publicado el día 13 de julio de 2020 en el Periódico Oficial de Gobierno del Estado de Guanajuato Número 139, Segunda Parte, se expidió la Ley de Archivos del Estado de Guanajuato y se reformaron y adicionaron diversos artículos de la Ley de Transparencia y Acceso a la Información Pública del Estado de Guanajuato. Posteriormente, mediante Decreto Número 187, publicado el 22 de diciembre de 2022 en el Periódico Oficial del Gobierno del Estado de Guanajuato, Número 254, Segunda Parte, se reformaron y adicionaron diversos artículos de la Ley de Archivos del Estado de Guanajuato, a su vez, se estableció en su Artículo Segundo Transitorio, párrafo segundo, que la Secretaría de Finanzas, Inversión y Administración y demás dependencias que conforme a sus atribuciones intervinieran, llevarán a cabo las gestiones necesarias para que se autorizara la estructura </w:t>
      </w:r>
      <w:r w:rsidRPr="00C24A94">
        <w:rPr>
          <w:rFonts w:cs="Calibri"/>
        </w:rPr>
        <w:lastRenderedPageBreak/>
        <w:t xml:space="preserve">orgánica y funcional del Archivo General del Estado y de esa manera se efectuaran las previsiones y adecuaciones presupuestales para su adecuada operación. </w:t>
      </w:r>
    </w:p>
    <w:p w14:paraId="28C5B9ED" w14:textId="77777777" w:rsidR="00C24A94" w:rsidRPr="00C24A94" w:rsidRDefault="00C24A94" w:rsidP="00C24A94">
      <w:pPr>
        <w:tabs>
          <w:tab w:val="left" w:leader="underscore" w:pos="9639"/>
        </w:tabs>
        <w:spacing w:after="0" w:line="240" w:lineRule="auto"/>
        <w:jc w:val="both"/>
        <w:rPr>
          <w:rFonts w:cs="Calibri"/>
        </w:rPr>
      </w:pPr>
    </w:p>
    <w:p w14:paraId="02B7B322" w14:textId="1549ADE5" w:rsidR="00C24A94" w:rsidRDefault="00C24A94" w:rsidP="00C24A94">
      <w:pPr>
        <w:tabs>
          <w:tab w:val="left" w:leader="underscore" w:pos="9639"/>
        </w:tabs>
        <w:spacing w:after="0" w:line="240" w:lineRule="auto"/>
        <w:jc w:val="both"/>
        <w:rPr>
          <w:rFonts w:cs="Calibri"/>
        </w:rPr>
      </w:pPr>
      <w:r w:rsidRPr="00C24A94">
        <w:rPr>
          <w:rFonts w:cs="Calibri"/>
        </w:rPr>
        <w:t xml:space="preserve">Luego, en la esfera administrativa de exacta observancia al Decreto Legislativo número 187 mencionado, se emitió el Decreto Gubernativo Número 148, publicado el día 12 de julio de 2023 en el Periódico Oficial del Gobierno del Estado de Guanajuato Número 138, Segunda Parte, mediante el cual se establecen las Bases administrativas </w:t>
      </w:r>
      <w:r>
        <w:rPr>
          <w:rFonts w:cs="Calibri"/>
        </w:rPr>
        <w:t>p</w:t>
      </w:r>
      <w:r w:rsidRPr="00C24A94">
        <w:rPr>
          <w:rFonts w:cs="Calibri"/>
        </w:rPr>
        <w:t xml:space="preserve">ara la institución y funcionamiento del organismo descentralizado denominado «Archivo General del Estado» texto normativo que da parte a la constitución del Archivo General del Estado, como un organismo público descentralizado del Poder Ejecutivo del Estado. </w:t>
      </w:r>
    </w:p>
    <w:p w14:paraId="2758B8C8" w14:textId="77777777" w:rsidR="00C24A94" w:rsidRPr="00C24A94" w:rsidRDefault="00C24A94" w:rsidP="00C24A94">
      <w:pPr>
        <w:tabs>
          <w:tab w:val="left" w:leader="underscore" w:pos="9639"/>
        </w:tabs>
        <w:spacing w:after="0" w:line="240" w:lineRule="auto"/>
        <w:jc w:val="both"/>
        <w:rPr>
          <w:rFonts w:cs="Calibri"/>
        </w:rPr>
      </w:pPr>
    </w:p>
    <w:p w14:paraId="5C5FBF58" w14:textId="77777777" w:rsidR="00C24A94" w:rsidRDefault="00C24A94" w:rsidP="00C24A94">
      <w:pPr>
        <w:tabs>
          <w:tab w:val="left" w:leader="underscore" w:pos="9639"/>
        </w:tabs>
        <w:spacing w:after="0" w:line="240" w:lineRule="auto"/>
        <w:jc w:val="both"/>
        <w:rPr>
          <w:rFonts w:cs="Calibri"/>
        </w:rPr>
      </w:pPr>
      <w:r w:rsidRPr="00C24A94">
        <w:rPr>
          <w:rFonts w:cs="Calibri"/>
        </w:rPr>
        <w:t xml:space="preserve">En tal sentido, y considerando que toda la información contenida en los documentos de archivo es pública y que debe estar accesible a cualquier persona, conforme a lo establecido en la Ley de Transparencia y Acceso a la Información Pública para el Estado de Guanajuato y en la Ley de Protección de Datos Personales en Posesión de Sujetos Obligados para el Estado de Guanajuato, los sujetos obligados en el ámbito de su competencia, deben garantizar la organización, conservación y preservación de los archivos generados de todo acto que derive del ejercicio de sus facultades, competencias o funciones, con el objeto de respetar el derecho a la verdad y el acceso a la información pública contenida en sus archivos, así como fomentar el conocimiento de su patrimonio documental. </w:t>
      </w:r>
    </w:p>
    <w:p w14:paraId="7FD68D44" w14:textId="77777777" w:rsidR="00C24A94" w:rsidRPr="00C24A94" w:rsidRDefault="00C24A94" w:rsidP="00C24A94">
      <w:pPr>
        <w:tabs>
          <w:tab w:val="left" w:leader="underscore" w:pos="9639"/>
        </w:tabs>
        <w:spacing w:after="0" w:line="240" w:lineRule="auto"/>
        <w:jc w:val="both"/>
        <w:rPr>
          <w:rFonts w:cs="Calibri"/>
        </w:rPr>
      </w:pPr>
    </w:p>
    <w:p w14:paraId="603C8250" w14:textId="77777777" w:rsidR="00C24A94" w:rsidRDefault="00C24A94" w:rsidP="00C24A94">
      <w:pPr>
        <w:tabs>
          <w:tab w:val="left" w:leader="underscore" w:pos="9639"/>
        </w:tabs>
        <w:spacing w:after="0" w:line="240" w:lineRule="auto"/>
        <w:jc w:val="both"/>
        <w:rPr>
          <w:rFonts w:cs="Calibri"/>
        </w:rPr>
      </w:pPr>
      <w:r w:rsidRPr="00C24A94">
        <w:rPr>
          <w:rFonts w:cs="Calibri"/>
        </w:rPr>
        <w:t xml:space="preserve">Aunado a ello, es necesario precisar que los documentos públicos serán considerados patrimonio documental y cultural del estado, en términos de la Ley de Archivos del Estado de Guanajuato y de la Ley del Patrimonio Cultural del Estado de Guanajuato, ya que éstos se transforman en la memoria de las instituciones y el patrimonio del estado. </w:t>
      </w:r>
    </w:p>
    <w:p w14:paraId="595B7CDB" w14:textId="77777777" w:rsidR="00C24A94" w:rsidRPr="00C24A94" w:rsidRDefault="00C24A94" w:rsidP="00C24A94">
      <w:pPr>
        <w:tabs>
          <w:tab w:val="left" w:leader="underscore" w:pos="9639"/>
        </w:tabs>
        <w:spacing w:after="0" w:line="240" w:lineRule="auto"/>
        <w:jc w:val="both"/>
        <w:rPr>
          <w:rFonts w:cs="Calibri"/>
        </w:rPr>
      </w:pPr>
    </w:p>
    <w:p w14:paraId="0C6024C3" w14:textId="77777777" w:rsidR="00C24A94" w:rsidRDefault="00C24A94" w:rsidP="00C24A94">
      <w:pPr>
        <w:tabs>
          <w:tab w:val="left" w:leader="underscore" w:pos="9639"/>
        </w:tabs>
        <w:spacing w:after="0" w:line="240" w:lineRule="auto"/>
        <w:jc w:val="both"/>
        <w:rPr>
          <w:rFonts w:cs="Calibri"/>
        </w:rPr>
      </w:pPr>
      <w:r w:rsidRPr="00C24A94">
        <w:rPr>
          <w:rFonts w:cs="Calibri"/>
        </w:rPr>
        <w:t xml:space="preserve">En esa línea, resulta necesario normar la organización, funcionamiento y atribuciones del Archivo General de Estado tanto de su órgano de gobierno, como de las unidades administrativas que coadyuven con la Dirección General, con la finalidad de establecer y contar con las condiciones que le permitan optimizar resultados en el ejercicio de sus funciones y cumplimiento de las obligaciones, conferidas al Archivo General del Estado por la legislación en la materia. </w:t>
      </w:r>
    </w:p>
    <w:p w14:paraId="7BB19BFD" w14:textId="77777777" w:rsidR="00C24A94" w:rsidRPr="00C24A94" w:rsidRDefault="00C24A94" w:rsidP="00C24A94">
      <w:pPr>
        <w:tabs>
          <w:tab w:val="left" w:leader="underscore" w:pos="9639"/>
        </w:tabs>
        <w:spacing w:after="0" w:line="240" w:lineRule="auto"/>
        <w:jc w:val="both"/>
        <w:rPr>
          <w:rFonts w:cs="Calibri"/>
        </w:rPr>
      </w:pPr>
    </w:p>
    <w:p w14:paraId="26561344" w14:textId="6BF1D8F1" w:rsidR="00C24A94" w:rsidRPr="00E74967" w:rsidRDefault="00C24A94" w:rsidP="00C24A94">
      <w:pPr>
        <w:tabs>
          <w:tab w:val="left" w:leader="underscore" w:pos="9639"/>
        </w:tabs>
        <w:spacing w:after="0" w:line="240" w:lineRule="auto"/>
        <w:jc w:val="both"/>
        <w:rPr>
          <w:rFonts w:cs="Calibri"/>
        </w:rPr>
      </w:pPr>
      <w:r w:rsidRPr="00C24A94">
        <w:rPr>
          <w:rFonts w:cs="Calibri"/>
        </w:rPr>
        <w:t>El Reglamento se estructura en cuatro capítulos, nueve secciones, cincuenta artículos y once disposiciones transitorias.</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sidRPr="00BF0080">
        <w:rPr>
          <w:rFonts w:asciiTheme="minorHAnsi" w:hAnsiTheme="minorHAnsi" w:cstheme="minorHAnsi"/>
          <w:b/>
          <w:color w:val="auto"/>
          <w:sz w:val="22"/>
        </w:rPr>
        <w:t xml:space="preserve">2. </w:t>
      </w:r>
      <w:r w:rsidR="00B6368B" w:rsidRPr="00BF0080">
        <w:rPr>
          <w:rFonts w:asciiTheme="minorHAnsi" w:hAnsiTheme="minorHAnsi" w:cstheme="minorHAnsi"/>
          <w:b/>
          <w:color w:val="auto"/>
          <w:sz w:val="22"/>
        </w:rPr>
        <w:t>Panorama Económico y Financiero</w:t>
      </w:r>
      <w:bookmarkEnd w:id="2"/>
    </w:p>
    <w:p w14:paraId="167920C9" w14:textId="7E0F95FD" w:rsidR="00A770E9" w:rsidRPr="00953C45" w:rsidRDefault="00B83D44" w:rsidP="0012493A">
      <w:pPr>
        <w:tabs>
          <w:tab w:val="left" w:leader="underscore" w:pos="9639"/>
        </w:tabs>
        <w:spacing w:after="0" w:line="240" w:lineRule="auto"/>
        <w:jc w:val="both"/>
        <w:rPr>
          <w:rFonts w:cs="Calibri"/>
          <w:b/>
          <w:bCs/>
        </w:rPr>
      </w:pPr>
      <w:r>
        <w:rPr>
          <w:rFonts w:cs="Calibri"/>
        </w:rPr>
        <w:t>S</w:t>
      </w:r>
      <w:r w:rsidR="00045445">
        <w:rPr>
          <w:rFonts w:cs="Calibri"/>
        </w:rPr>
        <w:t>i</w:t>
      </w:r>
      <w:r>
        <w:rPr>
          <w:rFonts w:cs="Calibri"/>
        </w:rPr>
        <w:t xml:space="preserve"> bien, el Archivo General del Estado se constituye el 12 de julio del 2023, es hasta el primero de enero del 2024 que entra en funciones, por tal motivo</w:t>
      </w:r>
      <w:r w:rsidR="00CF41F1">
        <w:rPr>
          <w:rFonts w:cs="Calibri"/>
        </w:rPr>
        <w:t>, no se cuenta con información suficiente para proporcionar más datos en este periodo.</w:t>
      </w:r>
    </w:p>
    <w:p w14:paraId="45C54D1F" w14:textId="77777777" w:rsidR="00A770E9" w:rsidRDefault="00A770E9" w:rsidP="0012493A">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5030A3C" w14:textId="2FD71CBD" w:rsidR="00645E00" w:rsidRPr="00E74967" w:rsidRDefault="00045445" w:rsidP="0041654D">
      <w:pPr>
        <w:tabs>
          <w:tab w:val="left" w:leader="underscore" w:pos="9639"/>
        </w:tabs>
        <w:spacing w:after="0" w:line="240" w:lineRule="auto"/>
        <w:jc w:val="both"/>
        <w:rPr>
          <w:rFonts w:cs="Calibri"/>
        </w:rPr>
      </w:pPr>
      <w:r>
        <w:rPr>
          <w:rFonts w:cs="Calibri"/>
          <w:b/>
          <w:bCs/>
        </w:rPr>
        <w:t>P</w:t>
      </w:r>
      <w:r w:rsidR="0041654D" w:rsidRPr="0041654D">
        <w:rPr>
          <w:rFonts w:cs="Calibri"/>
          <w:b/>
          <w:bCs/>
        </w:rPr>
        <w:t>romover la administración homogénea de los archivos, preservar, incrementar y difundir el patrimonio documental del estado, con el fin de salvaguardar la memoria de corto, mediano y largo plazo, así como contribuir a la transparencia y rendición de cuentas.</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D60E3EA" w14:textId="6432E6FF"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lastRenderedPageBreak/>
        <w:t>En el artículo 96-2 de la Ley de Archivos del Estado de Guanajuato se establecen diversas atribuciones para el AGE, como las siguientes fracciones:</w:t>
      </w:r>
    </w:p>
    <w:p w14:paraId="191463CC" w14:textId="77777777" w:rsidR="00762C17" w:rsidRPr="00762C17" w:rsidRDefault="00762C17" w:rsidP="00762C17">
      <w:pPr>
        <w:tabs>
          <w:tab w:val="left" w:leader="underscore" w:pos="9639"/>
        </w:tabs>
        <w:spacing w:after="0" w:line="240" w:lineRule="auto"/>
        <w:jc w:val="both"/>
        <w:rPr>
          <w:rFonts w:cs="Calibri"/>
          <w:b/>
          <w:bCs/>
        </w:rPr>
      </w:pPr>
    </w:p>
    <w:p w14:paraId="3E455024"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II. Organizar, conservar y difundir el acervo documental, gráfico, bibliográfico y hemerográfico que resguarda, con base en las mejores prácticas y las disposiciones jurídicas aplicables;</w:t>
      </w:r>
    </w:p>
    <w:p w14:paraId="0420566A" w14:textId="77777777" w:rsidR="00762C17" w:rsidRPr="00762C17" w:rsidRDefault="00762C17" w:rsidP="00762C17">
      <w:pPr>
        <w:tabs>
          <w:tab w:val="left" w:leader="underscore" w:pos="9639"/>
        </w:tabs>
        <w:spacing w:after="0" w:line="240" w:lineRule="auto"/>
        <w:jc w:val="both"/>
        <w:rPr>
          <w:rFonts w:cs="Calibri"/>
          <w:b/>
          <w:bCs/>
        </w:rPr>
      </w:pPr>
    </w:p>
    <w:p w14:paraId="679FD21C"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III. Difundir y proyectar el derecho a la memoria del Estado, en coordinación con los sujetos obligados;</w:t>
      </w:r>
    </w:p>
    <w:p w14:paraId="794C5F73" w14:textId="77777777" w:rsidR="00762C17" w:rsidRPr="00762C17" w:rsidRDefault="00762C17" w:rsidP="00762C17">
      <w:pPr>
        <w:tabs>
          <w:tab w:val="left" w:leader="underscore" w:pos="9639"/>
        </w:tabs>
        <w:spacing w:after="0" w:line="240" w:lineRule="auto"/>
        <w:jc w:val="both"/>
        <w:rPr>
          <w:rFonts w:cs="Calibri"/>
          <w:b/>
          <w:bCs/>
        </w:rPr>
      </w:pPr>
    </w:p>
    <w:p w14:paraId="01F6B279"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IV. Elaborar, actualizar y publicar en formatos abiertos los inventarios documentales de cada fondo en su acervo;</w:t>
      </w:r>
    </w:p>
    <w:p w14:paraId="70296A73" w14:textId="77777777" w:rsidR="00762C17" w:rsidRPr="00762C17" w:rsidRDefault="00762C17" w:rsidP="00762C17">
      <w:pPr>
        <w:tabs>
          <w:tab w:val="left" w:leader="underscore" w:pos="9639"/>
        </w:tabs>
        <w:spacing w:after="0" w:line="240" w:lineRule="auto"/>
        <w:jc w:val="both"/>
        <w:rPr>
          <w:rFonts w:cs="Calibri"/>
          <w:b/>
          <w:bCs/>
        </w:rPr>
      </w:pPr>
    </w:p>
    <w:p w14:paraId="7FE5BB35"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V. Fungir como órgano de consulta de los sujetos obligados, en materia archivística;</w:t>
      </w:r>
    </w:p>
    <w:p w14:paraId="2B4BD3B8" w14:textId="77777777" w:rsidR="00762C17" w:rsidRPr="00762C17" w:rsidRDefault="00762C17" w:rsidP="00762C17">
      <w:pPr>
        <w:tabs>
          <w:tab w:val="left" w:leader="underscore" w:pos="9639"/>
        </w:tabs>
        <w:spacing w:after="0" w:line="240" w:lineRule="auto"/>
        <w:jc w:val="both"/>
        <w:rPr>
          <w:rFonts w:cs="Calibri"/>
          <w:b/>
          <w:bCs/>
        </w:rPr>
      </w:pPr>
    </w:p>
    <w:p w14:paraId="1706103D"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XII. Establecer técnicas de reproducción que no afecten la integridad física de los documentos;</w:t>
      </w:r>
    </w:p>
    <w:p w14:paraId="5EA9B832" w14:textId="77777777" w:rsidR="00762C17" w:rsidRPr="00762C17" w:rsidRDefault="00762C17" w:rsidP="00762C17">
      <w:pPr>
        <w:tabs>
          <w:tab w:val="left" w:leader="underscore" w:pos="9639"/>
        </w:tabs>
        <w:spacing w:after="0" w:line="240" w:lineRule="auto"/>
        <w:jc w:val="both"/>
        <w:rPr>
          <w:rFonts w:cs="Calibri"/>
          <w:b/>
          <w:bCs/>
        </w:rPr>
      </w:pPr>
    </w:p>
    <w:p w14:paraId="300C2D4F"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XIII. Proveer, cuando los documentos históricos presenten un deterioro físico que impida acceder a ellos directamente, su conservación y restauración que permita su posterior reproducción que no afecte la integridad del documento;</w:t>
      </w:r>
    </w:p>
    <w:p w14:paraId="5E32ECB0" w14:textId="77777777" w:rsidR="00762C17" w:rsidRPr="00762C17" w:rsidRDefault="00762C17" w:rsidP="00762C17">
      <w:pPr>
        <w:tabs>
          <w:tab w:val="left" w:leader="underscore" w:pos="9639"/>
        </w:tabs>
        <w:spacing w:after="0" w:line="240" w:lineRule="auto"/>
        <w:jc w:val="both"/>
        <w:rPr>
          <w:rFonts w:cs="Calibri"/>
          <w:b/>
          <w:bCs/>
        </w:rPr>
      </w:pPr>
    </w:p>
    <w:p w14:paraId="62AF1698"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XIV. Desarrollar investigaciones encaminadas a la organización, conservación y difusión del patrimonio documental que resguarda;</w:t>
      </w:r>
    </w:p>
    <w:p w14:paraId="7202AC51" w14:textId="77777777" w:rsidR="00762C17" w:rsidRPr="00762C17" w:rsidRDefault="00762C17" w:rsidP="00762C17">
      <w:pPr>
        <w:tabs>
          <w:tab w:val="left" w:leader="underscore" w:pos="9639"/>
        </w:tabs>
        <w:spacing w:after="0" w:line="240" w:lineRule="auto"/>
        <w:jc w:val="both"/>
        <w:rPr>
          <w:rFonts w:cs="Calibri"/>
          <w:b/>
          <w:bCs/>
        </w:rPr>
      </w:pPr>
    </w:p>
    <w:p w14:paraId="6B999D3A"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XVII. Publicar y distribuir obras y colecciones para apoyar el conocimiento de su acervo, así como para promover la cultura archivística, de consulta y aprovechamiento del patrimonio documental de la Estado;</w:t>
      </w:r>
    </w:p>
    <w:p w14:paraId="7F31B95F" w14:textId="77777777" w:rsidR="00762C17" w:rsidRPr="00762C17" w:rsidRDefault="00762C17" w:rsidP="00762C17">
      <w:pPr>
        <w:tabs>
          <w:tab w:val="left" w:leader="underscore" w:pos="9639"/>
        </w:tabs>
        <w:spacing w:after="0" w:line="240" w:lineRule="auto"/>
        <w:jc w:val="both"/>
        <w:rPr>
          <w:rFonts w:cs="Calibri"/>
          <w:b/>
          <w:bCs/>
        </w:rPr>
      </w:pPr>
    </w:p>
    <w:p w14:paraId="31A162BB"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XVIII. Diseñar e implementar programas de capacitación en materia de archivos;</w:t>
      </w:r>
    </w:p>
    <w:p w14:paraId="17556518" w14:textId="77777777" w:rsidR="00762C17" w:rsidRPr="00762C17" w:rsidRDefault="00762C17" w:rsidP="00762C17">
      <w:pPr>
        <w:tabs>
          <w:tab w:val="left" w:leader="underscore" w:pos="9639"/>
        </w:tabs>
        <w:spacing w:after="0" w:line="240" w:lineRule="auto"/>
        <w:jc w:val="both"/>
        <w:rPr>
          <w:rFonts w:cs="Calibri"/>
          <w:b/>
          <w:bCs/>
        </w:rPr>
      </w:pPr>
    </w:p>
    <w:p w14:paraId="06B69822" w14:textId="4214164C" w:rsidR="00645E00" w:rsidRPr="00762C17" w:rsidRDefault="00762C17" w:rsidP="00762C17">
      <w:pPr>
        <w:tabs>
          <w:tab w:val="left" w:leader="underscore" w:pos="9639"/>
        </w:tabs>
        <w:spacing w:after="0" w:line="240" w:lineRule="auto"/>
        <w:jc w:val="both"/>
        <w:rPr>
          <w:rFonts w:cs="Calibri"/>
          <w:b/>
          <w:bCs/>
        </w:rPr>
      </w:pPr>
      <w:r w:rsidRPr="00762C17">
        <w:rPr>
          <w:rFonts w:cs="Calibri"/>
          <w:b/>
          <w:bCs/>
        </w:rPr>
        <w:t>Entre otras.</w:t>
      </w:r>
    </w:p>
    <w:p w14:paraId="4B9C594B" w14:textId="77777777" w:rsidR="00D6744E" w:rsidRPr="00E74967" w:rsidRDefault="00D6744E" w:rsidP="00CB41C4">
      <w:pPr>
        <w:tabs>
          <w:tab w:val="left" w:leader="underscore" w:pos="9639"/>
        </w:tabs>
        <w:spacing w:after="0" w:line="240" w:lineRule="auto"/>
        <w:jc w:val="both"/>
        <w:rPr>
          <w:rFonts w:cs="Calibri"/>
        </w:rPr>
      </w:pPr>
    </w:p>
    <w:p w14:paraId="2D21CE61" w14:textId="5B38CFC8"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04F7186A" w14:textId="02C04975" w:rsidR="007D1E76" w:rsidRPr="00481A93" w:rsidRDefault="00045445" w:rsidP="00CB41C4">
      <w:pPr>
        <w:tabs>
          <w:tab w:val="left" w:leader="underscore" w:pos="9639"/>
        </w:tabs>
        <w:spacing w:after="0" w:line="240" w:lineRule="auto"/>
        <w:jc w:val="both"/>
        <w:rPr>
          <w:rFonts w:cs="Calibri"/>
          <w:b/>
          <w:bCs/>
        </w:rPr>
      </w:pPr>
      <w:r>
        <w:rPr>
          <w:rFonts w:cs="Calibri"/>
          <w:b/>
          <w:bCs/>
        </w:rPr>
        <w:t xml:space="preserve">Enero-diciembre </w:t>
      </w:r>
      <w:r w:rsidR="00645E00" w:rsidRPr="00481A93">
        <w:rPr>
          <w:rFonts w:cs="Calibri"/>
          <w:b/>
          <w:bCs/>
        </w:rPr>
        <w:t>2024.</w:t>
      </w:r>
    </w:p>
    <w:p w14:paraId="16703E54" w14:textId="77777777" w:rsidR="007D1E76" w:rsidRPr="00481A93" w:rsidRDefault="007D1E76" w:rsidP="00CB41C4">
      <w:pPr>
        <w:tabs>
          <w:tab w:val="left" w:leader="underscore" w:pos="9639"/>
        </w:tabs>
        <w:spacing w:after="0" w:line="240" w:lineRule="auto"/>
        <w:jc w:val="both"/>
        <w:rPr>
          <w:rFonts w:cs="Calibri"/>
          <w:b/>
          <w:bCs/>
        </w:rPr>
      </w:pPr>
    </w:p>
    <w:p w14:paraId="6B13C93F" w14:textId="51F919F6"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r w:rsidR="00D6744E">
        <w:rPr>
          <w:rFonts w:cs="Calibri"/>
        </w:rPr>
        <w:t>.</w:t>
      </w:r>
    </w:p>
    <w:p w14:paraId="711C6095" w14:textId="5E6B0749" w:rsidR="007D1E76" w:rsidRPr="00481A93" w:rsidRDefault="009A2AA2" w:rsidP="00CB41C4">
      <w:pPr>
        <w:tabs>
          <w:tab w:val="left" w:leader="underscore" w:pos="9639"/>
        </w:tabs>
        <w:spacing w:after="0" w:line="240" w:lineRule="auto"/>
        <w:jc w:val="both"/>
        <w:rPr>
          <w:rFonts w:cs="Calibri"/>
          <w:b/>
          <w:bCs/>
        </w:rPr>
      </w:pPr>
      <w:r>
        <w:rPr>
          <w:rFonts w:cs="Calibri"/>
          <w:b/>
          <w:bCs/>
        </w:rPr>
        <w:t xml:space="preserve">El archivo General del Estado es un Organismo Descentralizado del Poder Ejecutivo del Estado de Guanajuato, se encuentra dado de alta en la Secretaría de Hacienda y Crédito Público </w:t>
      </w:r>
      <w:r w:rsidR="00D6744E">
        <w:rPr>
          <w:rFonts w:cs="Calibri"/>
          <w:b/>
          <w:bCs/>
        </w:rPr>
        <w:t>bajo el régimen de</w:t>
      </w:r>
      <w:r>
        <w:rPr>
          <w:rFonts w:cs="Calibri"/>
          <w:b/>
          <w:bCs/>
        </w:rPr>
        <w:t xml:space="preserve"> </w:t>
      </w:r>
      <w:r w:rsidR="00645E00" w:rsidRPr="00481A93">
        <w:rPr>
          <w:rFonts w:cs="Calibri"/>
          <w:b/>
          <w:bCs/>
        </w:rPr>
        <w:t>Persona morale</w:t>
      </w:r>
      <w:r w:rsidR="00D6744E">
        <w:rPr>
          <w:rFonts w:cs="Calibri"/>
          <w:b/>
          <w:bCs/>
        </w:rPr>
        <w:t>s</w:t>
      </w:r>
      <w:r w:rsidR="00645E00" w:rsidRPr="00481A93">
        <w:rPr>
          <w:rFonts w:cs="Calibri"/>
          <w:b/>
          <w:bCs/>
        </w:rPr>
        <w:t xml:space="preserve"> sin fines de lucro</w:t>
      </w:r>
      <w:r>
        <w:rPr>
          <w:rFonts w:cs="Calibri"/>
          <w:b/>
          <w:bCs/>
        </w:rPr>
        <w:t xml:space="preserve"> y con R.F.C. AGE230712ST5.</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DDD9D89" w14:textId="2307EFE9" w:rsidR="00953C45" w:rsidRPr="00953C45" w:rsidRDefault="00953C45" w:rsidP="00CB41C4">
      <w:pPr>
        <w:tabs>
          <w:tab w:val="left" w:leader="underscore" w:pos="9639"/>
        </w:tabs>
        <w:spacing w:after="0" w:line="240" w:lineRule="auto"/>
        <w:jc w:val="both"/>
        <w:rPr>
          <w:rFonts w:cs="Calibri"/>
          <w:b/>
          <w:bCs/>
        </w:rPr>
      </w:pPr>
      <w:r w:rsidRPr="00953C45">
        <w:rPr>
          <w:rFonts w:cs="Calibri"/>
          <w:b/>
          <w:bCs/>
        </w:rPr>
        <w:t>Federal: Impuesto Sobre la Renta por nómina</w:t>
      </w:r>
      <w:r>
        <w:rPr>
          <w:rFonts w:cs="Calibri"/>
          <w:b/>
          <w:bCs/>
        </w:rPr>
        <w:t>,</w:t>
      </w:r>
      <w:r w:rsidRPr="00953C45">
        <w:rPr>
          <w:rFonts w:cs="Calibri"/>
          <w:b/>
          <w:bCs/>
        </w:rPr>
        <w:t xml:space="preserve"> asimilables a salario</w:t>
      </w:r>
      <w:r w:rsidR="004B5127">
        <w:rPr>
          <w:rFonts w:cs="Calibri"/>
          <w:b/>
          <w:bCs/>
        </w:rPr>
        <w:t>, Declaración Informativa de Operaciones con Terceros</w:t>
      </w:r>
      <w:r>
        <w:rPr>
          <w:rFonts w:cs="Calibri"/>
          <w:b/>
          <w:bCs/>
        </w:rPr>
        <w:t xml:space="preserve"> y retenciones por arrendamiento.</w:t>
      </w:r>
    </w:p>
    <w:p w14:paraId="7E6777B9" w14:textId="4B7BF8D2" w:rsidR="007D1E76" w:rsidRPr="004A27CC" w:rsidRDefault="00953C45" w:rsidP="00CB41C4">
      <w:pPr>
        <w:tabs>
          <w:tab w:val="left" w:leader="underscore" w:pos="9639"/>
        </w:tabs>
        <w:spacing w:after="0" w:line="240" w:lineRule="auto"/>
        <w:jc w:val="both"/>
        <w:rPr>
          <w:rFonts w:cs="Calibri"/>
          <w:b/>
          <w:bCs/>
        </w:rPr>
      </w:pPr>
      <w:r w:rsidRPr="004A27CC">
        <w:rPr>
          <w:rFonts w:cs="Calibri"/>
          <w:b/>
          <w:bCs/>
        </w:rPr>
        <w:t>Estatal: impuestos sobre nómina e impuesto cedular sobr</w:t>
      </w:r>
      <w:r w:rsidR="008A4D2F" w:rsidRPr="004A27CC">
        <w:rPr>
          <w:rFonts w:cs="Calibri"/>
          <w:b/>
          <w:bCs/>
        </w:rPr>
        <w:t>e arrendamiento</w:t>
      </w:r>
      <w:r w:rsidRPr="004A27CC">
        <w:rPr>
          <w:rFonts w:cs="Calibri"/>
          <w:b/>
          <w:bCs/>
        </w:rPr>
        <w:t xml:space="preserve">. </w:t>
      </w:r>
      <w:r w:rsidR="00645E00" w:rsidRPr="004A27CC">
        <w:rPr>
          <w:rFonts w:cs="Calibri"/>
          <w:b/>
          <w:bCs/>
        </w:rPr>
        <w:t xml:space="preserve"> </w:t>
      </w:r>
    </w:p>
    <w:p w14:paraId="6268EF76" w14:textId="77777777" w:rsidR="007D1E76" w:rsidRPr="004A27CC"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4A27CC">
        <w:rPr>
          <w:rFonts w:cs="Calibri"/>
          <w:b/>
        </w:rPr>
        <w:t>f)</w:t>
      </w:r>
      <w:r w:rsidRPr="004A27CC">
        <w:rPr>
          <w:rFonts w:cs="Calibri"/>
        </w:rPr>
        <w:t xml:space="preserve"> Estructura organizacional</w:t>
      </w:r>
      <w:r w:rsidRPr="00E74967">
        <w:rPr>
          <w:rFonts w:cs="Calibri"/>
        </w:rPr>
        <w:t xml:space="preserve"> básica.</w:t>
      </w:r>
    </w:p>
    <w:p w14:paraId="0FE08B68" w14:textId="7EA582FF" w:rsidR="007D1E76" w:rsidRDefault="004B5127" w:rsidP="004B5127">
      <w:pPr>
        <w:tabs>
          <w:tab w:val="left" w:leader="underscore" w:pos="9639"/>
        </w:tabs>
        <w:spacing w:after="0" w:line="240" w:lineRule="auto"/>
        <w:jc w:val="both"/>
        <w:rPr>
          <w:rFonts w:cs="Calibri"/>
          <w:b/>
          <w:bCs/>
        </w:rPr>
      </w:pPr>
      <w:r>
        <w:rPr>
          <w:rFonts w:cs="Calibri"/>
          <w:b/>
          <w:bCs/>
        </w:rPr>
        <w:t>De acuerdo con el artículo 25 del Reglamento Interno del Archivo General del Estado, se cuenta con la siguiente estructura administrativa:</w:t>
      </w:r>
    </w:p>
    <w:p w14:paraId="03E86152" w14:textId="77777777" w:rsidR="004B5127" w:rsidRPr="004B5127" w:rsidRDefault="004B5127" w:rsidP="004B5127">
      <w:pPr>
        <w:pStyle w:val="Prrafodelista"/>
        <w:numPr>
          <w:ilvl w:val="0"/>
          <w:numId w:val="3"/>
        </w:numPr>
        <w:tabs>
          <w:tab w:val="left" w:pos="0"/>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 xml:space="preserve">Despacho del Dirección General: </w:t>
      </w:r>
    </w:p>
    <w:p w14:paraId="04EA3446" w14:textId="77777777" w:rsidR="004B5127" w:rsidRPr="004B5127" w:rsidRDefault="004B5127" w:rsidP="004B5127">
      <w:pPr>
        <w:pStyle w:val="Prrafodelista"/>
        <w:numPr>
          <w:ilvl w:val="0"/>
          <w:numId w:val="5"/>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Jurídica;</w:t>
      </w:r>
    </w:p>
    <w:p w14:paraId="27E41EB9" w14:textId="77777777" w:rsidR="004B5127" w:rsidRPr="004B5127" w:rsidRDefault="004B5127" w:rsidP="004B5127">
      <w:pPr>
        <w:pStyle w:val="Prrafodelista"/>
        <w:numPr>
          <w:ilvl w:val="0"/>
          <w:numId w:val="5"/>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Vinculación;</w:t>
      </w:r>
    </w:p>
    <w:p w14:paraId="757B6902" w14:textId="77777777" w:rsidR="004B5127" w:rsidRPr="004B5127" w:rsidRDefault="004B5127" w:rsidP="004B5127">
      <w:pPr>
        <w:pStyle w:val="Prrafodelista"/>
        <w:numPr>
          <w:ilvl w:val="0"/>
          <w:numId w:val="5"/>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lastRenderedPageBreak/>
        <w:t>Coordinación de Administración y Finanzas; y</w:t>
      </w:r>
    </w:p>
    <w:p w14:paraId="1A786EB6" w14:textId="77777777" w:rsidR="004B5127" w:rsidRPr="004B5127" w:rsidRDefault="004B5127" w:rsidP="004B5127">
      <w:pPr>
        <w:pStyle w:val="Prrafodelista"/>
        <w:numPr>
          <w:ilvl w:val="0"/>
          <w:numId w:val="5"/>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Planeación.</w:t>
      </w:r>
    </w:p>
    <w:p w14:paraId="193BEEB2" w14:textId="77777777" w:rsidR="004B5127" w:rsidRPr="004B5127" w:rsidRDefault="004B5127" w:rsidP="004B5127">
      <w:pPr>
        <w:pStyle w:val="Prrafodelista"/>
        <w:numPr>
          <w:ilvl w:val="0"/>
          <w:numId w:val="3"/>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Dirección de Desarrollo Archivístico Estatal:</w:t>
      </w:r>
    </w:p>
    <w:p w14:paraId="2B40ED72" w14:textId="77777777" w:rsidR="004B5127" w:rsidRPr="004B5127" w:rsidRDefault="004B5127" w:rsidP="004B5127">
      <w:pPr>
        <w:pStyle w:val="Prrafodelista"/>
        <w:numPr>
          <w:ilvl w:val="0"/>
          <w:numId w:val="4"/>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Capacitación, Profesionalización y Certificación; y</w:t>
      </w:r>
    </w:p>
    <w:p w14:paraId="74E1EC87" w14:textId="77777777" w:rsidR="004B5127" w:rsidRPr="004B5127" w:rsidRDefault="004B5127" w:rsidP="004B5127">
      <w:pPr>
        <w:pStyle w:val="Prrafodelista"/>
        <w:numPr>
          <w:ilvl w:val="0"/>
          <w:numId w:val="4"/>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Administración Documental.</w:t>
      </w:r>
    </w:p>
    <w:p w14:paraId="1A3BE723" w14:textId="77777777" w:rsidR="004B5127" w:rsidRPr="004B5127" w:rsidRDefault="004B5127" w:rsidP="004B5127">
      <w:pPr>
        <w:pStyle w:val="Prrafodelista"/>
        <w:numPr>
          <w:ilvl w:val="0"/>
          <w:numId w:val="3"/>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Dirección de Patrimonio Documental:</w:t>
      </w:r>
    </w:p>
    <w:p w14:paraId="071EF95E" w14:textId="77777777" w:rsidR="004B5127" w:rsidRPr="004B5127" w:rsidRDefault="004B5127" w:rsidP="004B5127">
      <w:pPr>
        <w:pStyle w:val="Prrafodelista"/>
        <w:numPr>
          <w:ilvl w:val="0"/>
          <w:numId w:val="6"/>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Archivo Histórico, y</w:t>
      </w:r>
    </w:p>
    <w:p w14:paraId="4A5141D9" w14:textId="77777777" w:rsidR="004B5127" w:rsidRPr="004B5127" w:rsidRDefault="004B5127" w:rsidP="004B5127">
      <w:pPr>
        <w:pStyle w:val="Prrafodelista"/>
        <w:numPr>
          <w:ilvl w:val="0"/>
          <w:numId w:val="6"/>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Edición y Difusión del Patrimonio Documental.</w:t>
      </w:r>
    </w:p>
    <w:p w14:paraId="2A57EC3D" w14:textId="77777777" w:rsidR="004B5127" w:rsidRPr="004B5127" w:rsidRDefault="004B5127" w:rsidP="004B5127">
      <w:pPr>
        <w:pStyle w:val="Prrafodelista"/>
        <w:numPr>
          <w:ilvl w:val="0"/>
          <w:numId w:val="3"/>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Órgano Interno de Control.</w:t>
      </w:r>
    </w:p>
    <w:p w14:paraId="32F599AB" w14:textId="77777777" w:rsidR="004B5127" w:rsidRPr="004B5127" w:rsidRDefault="004B5127" w:rsidP="004B5127">
      <w:pPr>
        <w:tabs>
          <w:tab w:val="left" w:leader="underscore" w:pos="9639"/>
        </w:tabs>
        <w:spacing w:after="0" w:line="240" w:lineRule="auto"/>
        <w:jc w:val="both"/>
        <w:rPr>
          <w:rFonts w:cs="Calibri"/>
          <w:b/>
          <w:bCs/>
        </w:rPr>
      </w:pPr>
    </w:p>
    <w:p w14:paraId="5855E488" w14:textId="77777777" w:rsidR="00BF0080" w:rsidRDefault="00BF0080" w:rsidP="00CB41C4">
      <w:pPr>
        <w:tabs>
          <w:tab w:val="left" w:leader="underscore" w:pos="9639"/>
        </w:tabs>
        <w:spacing w:after="0" w:line="240" w:lineRule="auto"/>
        <w:ind w:firstLine="708"/>
        <w:jc w:val="both"/>
        <w:rPr>
          <w:rFonts w:cs="Calibri"/>
        </w:rPr>
      </w:pPr>
    </w:p>
    <w:p w14:paraId="4A352171" w14:textId="586709DD" w:rsidR="00BF0080" w:rsidRPr="00E74967" w:rsidRDefault="00BF0080" w:rsidP="00CB41C4">
      <w:pPr>
        <w:tabs>
          <w:tab w:val="left" w:leader="underscore" w:pos="9639"/>
        </w:tabs>
        <w:spacing w:after="0" w:line="240" w:lineRule="auto"/>
        <w:ind w:firstLine="708"/>
        <w:jc w:val="both"/>
        <w:rPr>
          <w:rFonts w:cs="Calibri"/>
        </w:rPr>
      </w:pPr>
      <w:r w:rsidRPr="00BF0080">
        <w:rPr>
          <w:rFonts w:cs="Calibri"/>
          <w:noProof/>
        </w:rPr>
        <w:drawing>
          <wp:inline distT="0" distB="0" distL="0" distR="0" wp14:anchorId="03F23AE1" wp14:editId="21D35814">
            <wp:extent cx="5453677" cy="3779520"/>
            <wp:effectExtent l="0" t="0" r="0" b="0"/>
            <wp:docPr id="37903624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36242" name="Imagen 1" descr="Diagrama&#10;&#10;Descripción generada automáticamente"/>
                    <pic:cNvPicPr/>
                  </pic:nvPicPr>
                  <pic:blipFill>
                    <a:blip r:embed="rId11"/>
                    <a:stretch>
                      <a:fillRect/>
                    </a:stretch>
                  </pic:blipFill>
                  <pic:spPr>
                    <a:xfrm>
                      <a:off x="0" y="0"/>
                      <a:ext cx="5459267" cy="3783394"/>
                    </a:xfrm>
                    <a:prstGeom prst="rect">
                      <a:avLst/>
                    </a:prstGeom>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5229B3BD" w:rsidR="007D1E76" w:rsidRPr="00ED3998" w:rsidRDefault="00953C45" w:rsidP="00CB41C4">
      <w:pPr>
        <w:tabs>
          <w:tab w:val="left" w:leader="underscore" w:pos="9639"/>
        </w:tabs>
        <w:spacing w:after="0" w:line="240" w:lineRule="auto"/>
        <w:jc w:val="both"/>
        <w:rPr>
          <w:rFonts w:cs="Calibri"/>
          <w:b/>
          <w:bCs/>
        </w:rPr>
      </w:pPr>
      <w:r w:rsidRPr="00ED3998">
        <w:rPr>
          <w:rFonts w:cs="Calibri"/>
          <w:b/>
          <w:bCs/>
        </w:rPr>
        <w:t>No aplica.</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595D7712" w14:textId="77777777" w:rsidR="006654EE" w:rsidRDefault="006654EE" w:rsidP="006654EE">
      <w:pPr>
        <w:tabs>
          <w:tab w:val="left" w:leader="underscore" w:pos="9639"/>
        </w:tabs>
        <w:spacing w:after="0" w:line="240" w:lineRule="auto"/>
        <w:jc w:val="both"/>
        <w:rPr>
          <w:rFonts w:cs="Calibri"/>
        </w:rPr>
      </w:pPr>
      <w:r w:rsidRPr="006654EE">
        <w:rPr>
          <w:rFonts w:cs="Calibri"/>
        </w:rPr>
        <w:t>a) En la elaboración de los Estados Financieros se observa la normatividad emitida por el CONAC y las disposiciones legales aplicables.</w:t>
      </w:r>
    </w:p>
    <w:p w14:paraId="20943E6F" w14:textId="77777777" w:rsidR="006654EE" w:rsidRPr="006654EE" w:rsidRDefault="006654EE" w:rsidP="006654EE">
      <w:pPr>
        <w:tabs>
          <w:tab w:val="left" w:leader="underscore" w:pos="9639"/>
        </w:tabs>
        <w:spacing w:after="0" w:line="240" w:lineRule="auto"/>
        <w:jc w:val="both"/>
        <w:rPr>
          <w:rFonts w:cs="Calibri"/>
        </w:rPr>
      </w:pPr>
    </w:p>
    <w:p w14:paraId="71ADDB4E" w14:textId="77777777" w:rsidR="006654EE" w:rsidRDefault="006654EE" w:rsidP="006654EE">
      <w:pPr>
        <w:tabs>
          <w:tab w:val="left" w:leader="underscore" w:pos="9639"/>
        </w:tabs>
        <w:spacing w:after="0" w:line="240" w:lineRule="auto"/>
        <w:jc w:val="both"/>
        <w:rPr>
          <w:rFonts w:cs="Calibri"/>
        </w:rPr>
      </w:pPr>
      <w:r w:rsidRPr="006654EE">
        <w:rPr>
          <w:rFonts w:cs="Calibri"/>
        </w:rPr>
        <w:lastRenderedPageBreak/>
        <w:t xml:space="preserve">b) Las Bases de Preparación de los Estados Financieros observa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6654EE">
        <w:rPr>
          <w:rFonts w:cs="Calibri"/>
        </w:rPr>
        <w:t>los mismos</w:t>
      </w:r>
      <w:proofErr w:type="gramEnd"/>
      <w:r w:rsidRPr="006654EE">
        <w:rPr>
          <w:rFonts w:cs="Calibri"/>
        </w:rPr>
        <w:t>.</w:t>
      </w:r>
    </w:p>
    <w:p w14:paraId="18D84AEC" w14:textId="77777777" w:rsidR="006654EE" w:rsidRPr="006654EE" w:rsidRDefault="006654EE" w:rsidP="006654EE">
      <w:pPr>
        <w:tabs>
          <w:tab w:val="left" w:leader="underscore" w:pos="9639"/>
        </w:tabs>
        <w:spacing w:after="0" w:line="240" w:lineRule="auto"/>
        <w:jc w:val="both"/>
        <w:rPr>
          <w:rFonts w:cs="Calibri"/>
        </w:rPr>
      </w:pPr>
    </w:p>
    <w:p w14:paraId="55F54FB9" w14:textId="7663993A" w:rsidR="004A27CC" w:rsidRDefault="006654EE" w:rsidP="006654EE">
      <w:pPr>
        <w:tabs>
          <w:tab w:val="left" w:leader="underscore" w:pos="9639"/>
        </w:tabs>
        <w:spacing w:after="0" w:line="240" w:lineRule="auto"/>
        <w:jc w:val="both"/>
        <w:rPr>
          <w:rFonts w:cs="Calibri"/>
        </w:rPr>
      </w:pPr>
      <w:r w:rsidRPr="006654EE">
        <w:rPr>
          <w:rFonts w:cs="Calibri"/>
        </w:rPr>
        <w:t xml:space="preserve">c) En la Preparación de los Estados Financieros se aplican los Postulados Básicos de Registro Contable, aún se encuentra en </w:t>
      </w:r>
      <w:r w:rsidR="004F4F07">
        <w:rPr>
          <w:rFonts w:cs="Calibri"/>
        </w:rPr>
        <w:t>trabajo para</w:t>
      </w:r>
      <w:r w:rsidRPr="006654EE">
        <w:rPr>
          <w:rFonts w:cs="Calibri"/>
        </w:rPr>
        <w:t xml:space="preserve"> diferentes rubros de la información financiera.</w:t>
      </w:r>
    </w:p>
    <w:p w14:paraId="7BC7683A" w14:textId="77777777" w:rsidR="006654EE" w:rsidRPr="004A27CC" w:rsidRDefault="006654EE" w:rsidP="006654EE">
      <w:pPr>
        <w:tabs>
          <w:tab w:val="left" w:leader="underscore" w:pos="9639"/>
        </w:tabs>
        <w:spacing w:after="0" w:line="240" w:lineRule="auto"/>
        <w:jc w:val="both"/>
        <w:rPr>
          <w:rFonts w:cs="Calibri"/>
        </w:rPr>
      </w:pPr>
    </w:p>
    <w:p w14:paraId="7989D893" w14:textId="3E44440F" w:rsidR="007D1E76" w:rsidRPr="004A27CC" w:rsidRDefault="007D1E76" w:rsidP="00CB41C4">
      <w:pPr>
        <w:tabs>
          <w:tab w:val="left" w:leader="underscore" w:pos="9639"/>
        </w:tabs>
        <w:spacing w:after="0" w:line="240" w:lineRule="auto"/>
        <w:jc w:val="both"/>
        <w:rPr>
          <w:rFonts w:cs="Calibri"/>
        </w:rPr>
      </w:pPr>
      <w:r w:rsidRPr="006654EE">
        <w:rPr>
          <w:rFonts w:cs="Calibri"/>
          <w:bCs/>
        </w:rPr>
        <w:t>d)</w:t>
      </w:r>
      <w:r w:rsidRPr="004A27CC">
        <w:rPr>
          <w:rFonts w:cs="Calibri"/>
        </w:rPr>
        <w:t xml:space="preserve"> Normatividad supletoria. </w:t>
      </w:r>
    </w:p>
    <w:p w14:paraId="384678DD" w14:textId="1058E7D5" w:rsidR="007D1E76" w:rsidRPr="004A27CC" w:rsidRDefault="009A2AA2" w:rsidP="00CB41C4">
      <w:pPr>
        <w:tabs>
          <w:tab w:val="left" w:leader="underscore" w:pos="9639"/>
        </w:tabs>
        <w:spacing w:after="0" w:line="240" w:lineRule="auto"/>
        <w:jc w:val="both"/>
        <w:rPr>
          <w:rFonts w:cs="Calibri"/>
          <w:b/>
          <w:bCs/>
        </w:rPr>
      </w:pPr>
      <w:r w:rsidRPr="004A27CC">
        <w:rPr>
          <w:rFonts w:cs="Calibri"/>
          <w:b/>
          <w:bCs/>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158EC49E" w14:textId="61941D24" w:rsidR="007D1E76" w:rsidRPr="00E74967" w:rsidRDefault="00524C25" w:rsidP="00CB41C4">
      <w:pPr>
        <w:tabs>
          <w:tab w:val="left" w:leader="underscore" w:pos="9639"/>
        </w:tabs>
        <w:spacing w:after="0" w:line="240" w:lineRule="auto"/>
        <w:jc w:val="both"/>
        <w:rPr>
          <w:rFonts w:cs="Calibri"/>
        </w:rPr>
      </w:pPr>
      <w:r w:rsidRPr="00524C25">
        <w:rPr>
          <w:rFonts w:cs="Calibri"/>
        </w:rPr>
        <w:t xml:space="preserve">e) Entidades que por primera vez estén implementando la base </w:t>
      </w:r>
      <w:r w:rsidR="004F4F07">
        <w:rPr>
          <w:rFonts w:cs="Calibri"/>
        </w:rPr>
        <w:t>de devengo</w:t>
      </w:r>
      <w:r w:rsidRPr="00524C25">
        <w:rPr>
          <w:rFonts w:cs="Calibri"/>
        </w:rPr>
        <w:t>. No aplica</w:t>
      </w:r>
      <w:r w:rsidR="004F4F07">
        <w:rPr>
          <w:rFonts w:cs="Calibri"/>
        </w:rPr>
        <w:t>, toda vez que la entidad ha iniciado operaciones este periodo que se reporta, adoptando la normativa desde un inicio.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3A8D7951" w14:textId="77777777" w:rsidR="007D1E76" w:rsidRPr="00E74967" w:rsidRDefault="007D1E76" w:rsidP="00CB41C4">
      <w:pPr>
        <w:tabs>
          <w:tab w:val="left" w:leader="underscore" w:pos="9639"/>
        </w:tabs>
        <w:spacing w:after="0" w:line="240" w:lineRule="auto"/>
        <w:jc w:val="both"/>
        <w:rPr>
          <w:rFonts w:cs="Calibri"/>
        </w:rPr>
      </w:pPr>
    </w:p>
    <w:p w14:paraId="5C45EC38"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183FA30"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3F21AEBF" w14:textId="77777777" w:rsidR="005B0D45" w:rsidRPr="00E74967" w:rsidRDefault="005B0D45" w:rsidP="005B0D45">
      <w:pPr>
        <w:tabs>
          <w:tab w:val="left" w:leader="underscore" w:pos="9639"/>
        </w:tabs>
        <w:spacing w:after="0" w:line="240" w:lineRule="auto"/>
        <w:jc w:val="both"/>
        <w:rPr>
          <w:rFonts w:cs="Calibri"/>
        </w:rPr>
      </w:pPr>
    </w:p>
    <w:p w14:paraId="0A39AEC8"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61F2E1FB"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3DD44448" w14:textId="77777777" w:rsidR="005B0D45" w:rsidRPr="00E74967" w:rsidRDefault="005B0D45" w:rsidP="005B0D45">
      <w:pPr>
        <w:tabs>
          <w:tab w:val="left" w:leader="underscore" w:pos="9639"/>
        </w:tabs>
        <w:spacing w:after="0" w:line="240" w:lineRule="auto"/>
        <w:jc w:val="both"/>
        <w:rPr>
          <w:rFonts w:cs="Calibri"/>
        </w:rPr>
      </w:pPr>
    </w:p>
    <w:p w14:paraId="134C5FCA"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Pr="00E9132F">
        <w:rPr>
          <w:rFonts w:cs="Calibri"/>
        </w:rPr>
        <w:t>Método de valuación de la inversión en acciones de Compañías subsidiarias no consolidadas y asociadas</w:t>
      </w:r>
      <w:r w:rsidRPr="00E74967">
        <w:rPr>
          <w:rFonts w:cs="Calibri"/>
        </w:rPr>
        <w:t>:</w:t>
      </w:r>
    </w:p>
    <w:p w14:paraId="740395DB"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4898EBB8" w14:textId="77777777" w:rsidR="005B0D45" w:rsidRPr="00E74967" w:rsidRDefault="005B0D45" w:rsidP="005B0D45">
      <w:pPr>
        <w:tabs>
          <w:tab w:val="left" w:leader="underscore" w:pos="9639"/>
        </w:tabs>
        <w:spacing w:after="0" w:line="240" w:lineRule="auto"/>
        <w:jc w:val="both"/>
        <w:rPr>
          <w:rFonts w:cs="Calibri"/>
        </w:rPr>
      </w:pPr>
    </w:p>
    <w:p w14:paraId="2D97C0BF"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1CA1D21"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31CC483E" w14:textId="77777777" w:rsidR="005B0D45" w:rsidRPr="00E74967" w:rsidRDefault="005B0D45" w:rsidP="005B0D45">
      <w:pPr>
        <w:tabs>
          <w:tab w:val="left" w:leader="underscore" w:pos="9639"/>
        </w:tabs>
        <w:spacing w:after="0" w:line="240" w:lineRule="auto"/>
        <w:jc w:val="both"/>
        <w:rPr>
          <w:rFonts w:cs="Calibri"/>
        </w:rPr>
      </w:pPr>
    </w:p>
    <w:p w14:paraId="04FC306B"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9DA2DB2"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2217E1AE" w14:textId="77777777" w:rsidR="005B0D45" w:rsidRPr="00E74967" w:rsidRDefault="005B0D45" w:rsidP="005B0D45">
      <w:pPr>
        <w:tabs>
          <w:tab w:val="left" w:leader="underscore" w:pos="9639"/>
        </w:tabs>
        <w:spacing w:after="0" w:line="240" w:lineRule="auto"/>
        <w:jc w:val="both"/>
        <w:rPr>
          <w:rFonts w:cs="Calibri"/>
        </w:rPr>
      </w:pPr>
    </w:p>
    <w:p w14:paraId="093985CA"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ECE44FC"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4A397700" w14:textId="77777777" w:rsidR="005B0D45" w:rsidRPr="00E74967" w:rsidRDefault="005B0D45" w:rsidP="005B0D45">
      <w:pPr>
        <w:tabs>
          <w:tab w:val="left" w:leader="underscore" w:pos="9639"/>
        </w:tabs>
        <w:spacing w:after="0" w:line="240" w:lineRule="auto"/>
        <w:jc w:val="both"/>
        <w:rPr>
          <w:rFonts w:cs="Calibri"/>
        </w:rPr>
      </w:pPr>
    </w:p>
    <w:p w14:paraId="199713CB"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3DF0F96"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2F65DA37" w14:textId="77777777" w:rsidR="005B0D45" w:rsidRPr="00E74967" w:rsidRDefault="005B0D45" w:rsidP="005B0D45">
      <w:pPr>
        <w:tabs>
          <w:tab w:val="left" w:leader="underscore" w:pos="9639"/>
        </w:tabs>
        <w:spacing w:after="0" w:line="240" w:lineRule="auto"/>
        <w:jc w:val="both"/>
        <w:rPr>
          <w:rFonts w:cs="Calibri"/>
        </w:rPr>
      </w:pPr>
    </w:p>
    <w:p w14:paraId="717138F5"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FA30C10"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4D127B6F" w14:textId="77777777" w:rsidR="005B0D45" w:rsidRPr="00E74967" w:rsidRDefault="005B0D45" w:rsidP="005B0D45">
      <w:pPr>
        <w:tabs>
          <w:tab w:val="left" w:leader="underscore" w:pos="9639"/>
        </w:tabs>
        <w:spacing w:after="0" w:line="240" w:lineRule="auto"/>
        <w:jc w:val="both"/>
        <w:rPr>
          <w:rFonts w:cs="Calibri"/>
        </w:rPr>
      </w:pPr>
    </w:p>
    <w:p w14:paraId="59161EF3"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40AE3103"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759B06AB" w14:textId="77777777" w:rsidR="005B0D45" w:rsidRPr="00E74967" w:rsidRDefault="005B0D45" w:rsidP="005B0D45">
      <w:pPr>
        <w:tabs>
          <w:tab w:val="left" w:leader="underscore" w:pos="9639"/>
        </w:tabs>
        <w:spacing w:after="0" w:line="240" w:lineRule="auto"/>
        <w:jc w:val="both"/>
        <w:rPr>
          <w:rFonts w:cs="Calibri"/>
        </w:rPr>
      </w:pPr>
    </w:p>
    <w:p w14:paraId="575BD25E"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8A250EA"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06070903" w14:textId="77777777" w:rsidR="005B0D45" w:rsidRPr="00E74967" w:rsidRDefault="005B0D45" w:rsidP="005B0D45">
      <w:pPr>
        <w:tabs>
          <w:tab w:val="left" w:leader="underscore" w:pos="9639"/>
        </w:tabs>
        <w:spacing w:after="0" w:line="240" w:lineRule="auto"/>
        <w:jc w:val="both"/>
        <w:rPr>
          <w:rFonts w:cs="Calibri"/>
        </w:rPr>
      </w:pPr>
    </w:p>
    <w:p w14:paraId="56F1700F" w14:textId="77777777" w:rsidR="005B0D45" w:rsidRPr="000C3365" w:rsidRDefault="005B0D45" w:rsidP="005B0D45">
      <w:pPr>
        <w:pStyle w:val="Ttulo2"/>
        <w:rPr>
          <w:rFonts w:asciiTheme="minorHAnsi" w:hAnsiTheme="minorHAnsi" w:cstheme="minorHAnsi"/>
          <w:b/>
          <w:color w:val="auto"/>
          <w:sz w:val="22"/>
        </w:rPr>
      </w:pPr>
      <w:r>
        <w:rPr>
          <w:rFonts w:asciiTheme="minorHAnsi" w:hAnsiTheme="minorHAnsi" w:cstheme="minorHAnsi"/>
          <w:b/>
          <w:color w:val="auto"/>
          <w:sz w:val="22"/>
        </w:rPr>
        <w:t>6</w:t>
      </w:r>
      <w:r w:rsidRPr="000C3365">
        <w:rPr>
          <w:rFonts w:asciiTheme="minorHAnsi" w:hAnsiTheme="minorHAnsi" w:cstheme="minorHAnsi"/>
          <w:b/>
          <w:color w:val="auto"/>
          <w:sz w:val="22"/>
        </w:rPr>
        <w:t>. Posición en Moneda Extranjera y Protección por Riesgo Cambiario:</w:t>
      </w:r>
    </w:p>
    <w:p w14:paraId="0764E398" w14:textId="77777777" w:rsidR="005B0D45" w:rsidRPr="00E74967" w:rsidRDefault="005B0D45" w:rsidP="005B0D45">
      <w:pPr>
        <w:tabs>
          <w:tab w:val="left" w:leader="underscore" w:pos="9639"/>
        </w:tabs>
        <w:spacing w:after="0" w:line="240" w:lineRule="auto"/>
        <w:jc w:val="both"/>
        <w:rPr>
          <w:rFonts w:cs="Calibri"/>
        </w:rPr>
      </w:pPr>
    </w:p>
    <w:p w14:paraId="447BE029" w14:textId="77777777" w:rsidR="005B0D45" w:rsidRPr="00E74967" w:rsidRDefault="005B0D45" w:rsidP="005B0D45">
      <w:pPr>
        <w:tabs>
          <w:tab w:val="left" w:leader="underscore" w:pos="9639"/>
        </w:tabs>
        <w:spacing w:after="0" w:line="240" w:lineRule="auto"/>
        <w:jc w:val="both"/>
        <w:rPr>
          <w:rFonts w:cs="Calibri"/>
        </w:rPr>
      </w:pPr>
      <w:r w:rsidRPr="00E74967">
        <w:rPr>
          <w:rFonts w:cs="Calibri"/>
        </w:rPr>
        <w:t>Se informará sobre:</w:t>
      </w:r>
    </w:p>
    <w:p w14:paraId="5F536999" w14:textId="77777777" w:rsidR="005B0D45" w:rsidRPr="00E74967" w:rsidRDefault="005B0D45" w:rsidP="005B0D45">
      <w:pPr>
        <w:tabs>
          <w:tab w:val="left" w:leader="underscore" w:pos="9639"/>
        </w:tabs>
        <w:spacing w:after="0" w:line="240" w:lineRule="auto"/>
        <w:jc w:val="both"/>
        <w:rPr>
          <w:rFonts w:cs="Calibri"/>
        </w:rPr>
      </w:pPr>
    </w:p>
    <w:p w14:paraId="1E06F138"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B60B4A2"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17FE62AD" w14:textId="77777777" w:rsidR="005B0D45" w:rsidRPr="00E74967" w:rsidRDefault="005B0D45" w:rsidP="005B0D45">
      <w:pPr>
        <w:tabs>
          <w:tab w:val="left" w:leader="underscore" w:pos="9639"/>
        </w:tabs>
        <w:spacing w:after="0" w:line="240" w:lineRule="auto"/>
        <w:jc w:val="both"/>
        <w:rPr>
          <w:rFonts w:cs="Calibri"/>
        </w:rPr>
      </w:pPr>
    </w:p>
    <w:p w14:paraId="151C46B1"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8D09E7B"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765CDF00" w14:textId="77777777" w:rsidR="005B0D45" w:rsidRPr="00E74967" w:rsidRDefault="005B0D45" w:rsidP="005B0D45">
      <w:pPr>
        <w:tabs>
          <w:tab w:val="left" w:leader="underscore" w:pos="9639"/>
        </w:tabs>
        <w:spacing w:after="0" w:line="240" w:lineRule="auto"/>
        <w:jc w:val="both"/>
        <w:rPr>
          <w:rFonts w:cs="Calibri"/>
        </w:rPr>
      </w:pPr>
    </w:p>
    <w:p w14:paraId="63E3E8D3"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967E129"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6135BB0F" w14:textId="77777777" w:rsidR="005B0D45" w:rsidRPr="00E74967" w:rsidRDefault="005B0D45" w:rsidP="005B0D45">
      <w:pPr>
        <w:tabs>
          <w:tab w:val="left" w:leader="underscore" w:pos="9639"/>
        </w:tabs>
        <w:spacing w:after="0" w:line="240" w:lineRule="auto"/>
        <w:jc w:val="both"/>
        <w:rPr>
          <w:rFonts w:cs="Calibri"/>
        </w:rPr>
      </w:pPr>
    </w:p>
    <w:p w14:paraId="65560E21"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1690678"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2529F473" w14:textId="77777777" w:rsidR="005B0D45" w:rsidRPr="00E74967" w:rsidRDefault="005B0D45" w:rsidP="005B0D45">
      <w:pPr>
        <w:tabs>
          <w:tab w:val="left" w:leader="underscore" w:pos="9639"/>
        </w:tabs>
        <w:spacing w:after="0" w:line="240" w:lineRule="auto"/>
        <w:jc w:val="both"/>
        <w:rPr>
          <w:rFonts w:cs="Calibri"/>
        </w:rPr>
      </w:pPr>
    </w:p>
    <w:p w14:paraId="5593A4DC"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C2877E5"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122B7B8F" w14:textId="77777777" w:rsidR="005B0D45" w:rsidRDefault="005B0D45" w:rsidP="00CB41C4">
      <w:pPr>
        <w:tabs>
          <w:tab w:val="left" w:leader="underscore" w:pos="9639"/>
        </w:tabs>
        <w:spacing w:after="0" w:line="240" w:lineRule="auto"/>
        <w:jc w:val="both"/>
        <w:rPr>
          <w:rFonts w:cs="Calibri"/>
          <w:b/>
        </w:rPr>
      </w:pPr>
    </w:p>
    <w:p w14:paraId="2E07ACFB" w14:textId="77777777" w:rsidR="005B0D45" w:rsidRDefault="005B0D45" w:rsidP="00CB41C4">
      <w:pPr>
        <w:tabs>
          <w:tab w:val="left" w:leader="underscore" w:pos="9639"/>
        </w:tabs>
        <w:spacing w:after="0" w:line="240" w:lineRule="auto"/>
        <w:jc w:val="both"/>
        <w:rPr>
          <w:rFonts w:cs="Calibri"/>
          <w:b/>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58BD9DFF"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r w:rsidR="00F72FCE">
        <w:rPr>
          <w:rFonts w:cs="Calibri"/>
        </w:rPr>
        <w:t xml:space="preserve"> </w:t>
      </w:r>
      <w:r w:rsidR="00F72FCE" w:rsidRPr="005F5B1D">
        <w:rPr>
          <w:rFonts w:cs="Calibri"/>
          <w:b/>
          <w:bCs/>
        </w:rPr>
        <w:t>se está trabajando para contar con la información.</w:t>
      </w:r>
    </w:p>
    <w:p w14:paraId="2B914A04" w14:textId="77777777" w:rsidR="007D1E76" w:rsidRPr="00E74967" w:rsidRDefault="007D1E76" w:rsidP="00CB41C4">
      <w:pPr>
        <w:tabs>
          <w:tab w:val="left" w:leader="underscore" w:pos="9639"/>
        </w:tabs>
        <w:spacing w:after="0" w:line="240" w:lineRule="auto"/>
        <w:jc w:val="both"/>
        <w:rPr>
          <w:rFonts w:cs="Calibri"/>
        </w:rPr>
      </w:pPr>
    </w:p>
    <w:p w14:paraId="1983354C" w14:textId="7A903313" w:rsidR="007D1E76" w:rsidRPr="005F5B1D" w:rsidRDefault="007D1E76" w:rsidP="005F5B1D">
      <w:pPr>
        <w:tabs>
          <w:tab w:val="left" w:leader="underscore" w:pos="9639"/>
        </w:tabs>
        <w:spacing w:after="0" w:line="240" w:lineRule="auto"/>
        <w:jc w:val="both"/>
        <w:rPr>
          <w:rFonts w:cs="Calibri"/>
          <w:b/>
          <w:bCs/>
        </w:rPr>
      </w:pPr>
      <w:r w:rsidRPr="005F5B1D">
        <w:rPr>
          <w:rFonts w:cs="Calibri"/>
          <w:b/>
          <w:bCs/>
        </w:rPr>
        <w:t>b)</w:t>
      </w:r>
      <w:r w:rsidRPr="00E74967">
        <w:rPr>
          <w:rFonts w:cs="Calibri"/>
        </w:rPr>
        <w:t xml:space="preserve"> </w:t>
      </w:r>
      <w:r w:rsidR="00AA2768" w:rsidRPr="005F5B1D">
        <w:rPr>
          <w:rFonts w:cs="Calibri"/>
        </w:rPr>
        <w:t>Cambios en el porcentaje de depreciación y amortización y en el valor de los activos ocasionado por deterioro</w:t>
      </w:r>
      <w:r w:rsidRPr="005F5B1D">
        <w:rPr>
          <w:rFonts w:cs="Calibri"/>
        </w:rPr>
        <w:t>:</w:t>
      </w:r>
      <w:r w:rsidR="005F5B1D">
        <w:rPr>
          <w:rFonts w:cs="Calibri"/>
        </w:rPr>
        <w:t xml:space="preserve"> </w:t>
      </w:r>
      <w:r w:rsidR="005F5B1D" w:rsidRPr="005F5B1D">
        <w:rPr>
          <w:rFonts w:cs="Calibri"/>
          <w:b/>
          <w:bCs/>
        </w:rPr>
        <w:t>Se está trabajando para contar con la información.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411EBDAF" w:rsidR="007D1E76" w:rsidRPr="00157C3F" w:rsidRDefault="00157C3F" w:rsidP="00CB41C4">
      <w:pPr>
        <w:tabs>
          <w:tab w:val="left" w:leader="underscore" w:pos="9639"/>
        </w:tabs>
        <w:spacing w:after="0" w:line="240" w:lineRule="auto"/>
        <w:jc w:val="both"/>
        <w:rPr>
          <w:rFonts w:cs="Calibri"/>
          <w:b/>
          <w:bCs/>
        </w:rPr>
      </w:pPr>
      <w:r w:rsidRPr="00157C3F">
        <w:rPr>
          <w:rFonts w:cs="Calibri"/>
          <w:b/>
          <w:bCs/>
        </w:rPr>
        <w:t>No se tuvo gastos capitalizados en el ejercicio, tanto financieros como de investigación y desarrollo.</w:t>
      </w:r>
    </w:p>
    <w:p w14:paraId="6A4F0D8C" w14:textId="77777777" w:rsidR="00157C3F" w:rsidRPr="00E74967" w:rsidRDefault="00157C3F"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DE77AC0" w:rsidR="007D1E76" w:rsidRPr="00157C3F" w:rsidRDefault="00157C3F" w:rsidP="00CB41C4">
      <w:pPr>
        <w:tabs>
          <w:tab w:val="left" w:leader="underscore" w:pos="9639"/>
        </w:tabs>
        <w:spacing w:after="0" w:line="240" w:lineRule="auto"/>
        <w:jc w:val="both"/>
        <w:rPr>
          <w:rFonts w:cs="Calibri"/>
          <w:b/>
          <w:bCs/>
        </w:rPr>
      </w:pPr>
      <w:r>
        <w:rPr>
          <w:rFonts w:cs="Calibri"/>
          <w:b/>
          <w:bCs/>
        </w:rPr>
        <w:t>No aplica, no se cuenta con inversiones extranjeras</w:t>
      </w:r>
      <w:r w:rsidRPr="00157C3F">
        <w:rPr>
          <w:rFonts w:cs="Calibri"/>
          <w:b/>
          <w:bCs/>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5B22CF6E" w:rsidR="007D1E76" w:rsidRPr="00157C3F" w:rsidRDefault="00157C3F" w:rsidP="00CB41C4">
      <w:pPr>
        <w:tabs>
          <w:tab w:val="left" w:leader="underscore" w:pos="9639"/>
        </w:tabs>
        <w:spacing w:after="0" w:line="240" w:lineRule="auto"/>
        <w:jc w:val="both"/>
        <w:rPr>
          <w:rFonts w:cs="Calibri"/>
          <w:b/>
          <w:bCs/>
        </w:rPr>
      </w:pPr>
      <w:r w:rsidRPr="00157C3F">
        <w:rPr>
          <w:rFonts w:cs="Calibri"/>
          <w:b/>
          <w:bCs/>
        </w:rPr>
        <w:t>No tuvimos Valor activado en el ejercicio de los bienes construidos por la entidad.</w:t>
      </w:r>
    </w:p>
    <w:p w14:paraId="02200C12" w14:textId="77777777" w:rsidR="00157C3F" w:rsidRPr="00E74967" w:rsidRDefault="00157C3F" w:rsidP="00CB41C4">
      <w:pPr>
        <w:tabs>
          <w:tab w:val="left" w:leader="underscore" w:pos="9639"/>
        </w:tabs>
        <w:spacing w:after="0" w:line="240" w:lineRule="auto"/>
        <w:jc w:val="both"/>
        <w:rPr>
          <w:rFonts w:cs="Calibri"/>
          <w:b/>
        </w:rPr>
      </w:pPr>
    </w:p>
    <w:p w14:paraId="6FD1B4E4" w14:textId="5EE127A4" w:rsidR="007D1E76" w:rsidRPr="00157C3F" w:rsidRDefault="007D1E76" w:rsidP="00CB41C4">
      <w:pPr>
        <w:tabs>
          <w:tab w:val="left" w:leader="underscore" w:pos="9639"/>
        </w:tabs>
        <w:spacing w:after="0" w:line="240" w:lineRule="auto"/>
        <w:jc w:val="both"/>
        <w:rPr>
          <w:rFonts w:cs="Calibri"/>
          <w:b/>
          <w:bCs/>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4D3FBA">
        <w:rPr>
          <w:rFonts w:cs="Calibri"/>
        </w:rPr>
        <w:t xml:space="preserve"> </w:t>
      </w:r>
      <w:r w:rsidR="004D3FBA">
        <w:rPr>
          <w:rFonts w:cs="Calibri"/>
          <w:b/>
          <w:bCs/>
        </w:rPr>
        <w:t>No se cuenta con circunstancias</w:t>
      </w:r>
      <w:r w:rsidR="00157C3F" w:rsidRPr="00157C3F">
        <w:rPr>
          <w:rFonts w:cs="Calibri"/>
          <w:b/>
          <w:bCs/>
        </w:rPr>
        <w:t xml:space="preserve"> que afecten el activo, tales como bienes en garantía, señalados en embargos, litigios, títulos de inversiones entregados en garantías, baja significativa del valor de inversiones financieras, etc.</w:t>
      </w:r>
    </w:p>
    <w:p w14:paraId="3E9754A4" w14:textId="77777777" w:rsidR="00157C3F" w:rsidRPr="00E74967" w:rsidRDefault="00157C3F"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3E6811DB" w:rsidR="007D1E76" w:rsidRPr="00157C3F" w:rsidRDefault="00157C3F" w:rsidP="00CB41C4">
      <w:pPr>
        <w:tabs>
          <w:tab w:val="left" w:leader="underscore" w:pos="9639"/>
        </w:tabs>
        <w:spacing w:after="0" w:line="240" w:lineRule="auto"/>
        <w:jc w:val="both"/>
        <w:rPr>
          <w:rFonts w:cs="Calibri"/>
          <w:b/>
          <w:bCs/>
        </w:rPr>
      </w:pPr>
      <w:r w:rsidRPr="00157C3F">
        <w:rPr>
          <w:rFonts w:cs="Calibri"/>
          <w:b/>
          <w:bCs/>
        </w:rPr>
        <w:t xml:space="preserve">No </w:t>
      </w:r>
      <w:r w:rsidR="004D3FBA">
        <w:rPr>
          <w:rFonts w:cs="Calibri"/>
          <w:b/>
          <w:bCs/>
        </w:rPr>
        <w:t>se han</w:t>
      </w:r>
      <w:r w:rsidR="00337B53">
        <w:rPr>
          <w:rFonts w:cs="Calibri"/>
          <w:b/>
          <w:bCs/>
        </w:rPr>
        <w:t xml:space="preserve"> tenido</w:t>
      </w:r>
      <w:r w:rsidRPr="00157C3F">
        <w:rPr>
          <w:rFonts w:cs="Calibri"/>
          <w:b/>
          <w:bCs/>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19AF2F68" w:rsidR="005E231E" w:rsidRPr="00157C3F" w:rsidRDefault="0057256B" w:rsidP="00CB41C4">
      <w:pPr>
        <w:tabs>
          <w:tab w:val="left" w:leader="underscore" w:pos="9639"/>
        </w:tabs>
        <w:spacing w:after="0" w:line="240" w:lineRule="auto"/>
        <w:jc w:val="both"/>
        <w:rPr>
          <w:rFonts w:cs="Calibri"/>
          <w:b/>
          <w:bCs/>
        </w:rPr>
      </w:pPr>
      <w:r>
        <w:rPr>
          <w:rFonts w:cs="Calibri"/>
          <w:b/>
          <w:bCs/>
        </w:rPr>
        <w:t xml:space="preserve">Actualmente no se cuenta </w:t>
      </w:r>
      <w:r w:rsidR="00157C3F" w:rsidRPr="00157C3F">
        <w:rPr>
          <w:rFonts w:cs="Calibri"/>
          <w:b/>
          <w:bCs/>
        </w:rPr>
        <w:t xml:space="preserve">con un plan escrito para la Administración de activos, </w:t>
      </w:r>
      <w:r w:rsidR="000A1BED">
        <w:rPr>
          <w:rFonts w:cs="Calibri"/>
          <w:b/>
          <w:bCs/>
        </w:rPr>
        <w:t>no obstante</w:t>
      </w:r>
      <w:r w:rsidR="00157C3F" w:rsidRPr="00157C3F">
        <w:rPr>
          <w:rFonts w:cs="Calibri"/>
          <w:b/>
          <w:bCs/>
        </w:rPr>
        <w:t xml:space="preserve">, </w:t>
      </w:r>
      <w:r w:rsidR="000A1BED">
        <w:rPr>
          <w:rFonts w:cs="Calibri"/>
          <w:b/>
          <w:bCs/>
        </w:rPr>
        <w:t xml:space="preserve">se reporta la información durante cada sesión del Órgano de </w:t>
      </w:r>
      <w:r w:rsidR="007C030F">
        <w:rPr>
          <w:rFonts w:cs="Calibri"/>
          <w:b/>
          <w:bCs/>
        </w:rPr>
        <w:t>Gobierno</w:t>
      </w:r>
      <w:r w:rsidR="00E568D8">
        <w:rPr>
          <w:rFonts w:cs="Calibri"/>
          <w:b/>
          <w:bCs/>
        </w:rPr>
        <w:t>; también se implementó una bitácora del uso de automóviles dados de alta en el Archivo General del Estado</w:t>
      </w:r>
      <w:r w:rsidR="00157C3F" w:rsidRPr="00157C3F">
        <w:rPr>
          <w:rFonts w:cs="Calibri"/>
          <w:b/>
          <w:bCs/>
        </w:rPr>
        <w:t>.</w:t>
      </w:r>
    </w:p>
    <w:p w14:paraId="6AE70428" w14:textId="77777777" w:rsidR="00157C3F" w:rsidRPr="00E74967" w:rsidRDefault="00157C3F" w:rsidP="00CB41C4">
      <w:pPr>
        <w:tabs>
          <w:tab w:val="left" w:leader="underscore" w:pos="9639"/>
        </w:tabs>
        <w:spacing w:after="0" w:line="240" w:lineRule="auto"/>
        <w:jc w:val="both"/>
        <w:rPr>
          <w:rFonts w:cs="Calibri"/>
        </w:rPr>
      </w:pPr>
    </w:p>
    <w:p w14:paraId="1F344FA6" w14:textId="77777777" w:rsidR="007D1E76"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2B69D54C" w14:textId="1BFA21D4" w:rsidR="00157C3F" w:rsidRPr="007C030F" w:rsidRDefault="007C030F" w:rsidP="00CB41C4">
      <w:pPr>
        <w:tabs>
          <w:tab w:val="left" w:leader="underscore" w:pos="9639"/>
        </w:tabs>
        <w:spacing w:after="0" w:line="240" w:lineRule="auto"/>
        <w:jc w:val="both"/>
        <w:rPr>
          <w:rFonts w:cs="Calibri"/>
          <w:b/>
          <w:bCs/>
        </w:rPr>
      </w:pPr>
      <w:r>
        <w:rPr>
          <w:rFonts w:cs="Calibri"/>
          <w:b/>
          <w:bCs/>
        </w:rPr>
        <w:t>No aplica, toda vez que el AGE comenzó operaciones este periodo reportado.</w:t>
      </w:r>
    </w:p>
    <w:p w14:paraId="4AF2094B" w14:textId="77777777" w:rsidR="007C030F" w:rsidRPr="00E74967" w:rsidRDefault="007C030F"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677C8F82" w:rsidR="007D1E76" w:rsidRPr="00157C3F" w:rsidRDefault="002F0EF3" w:rsidP="00CB41C4">
      <w:pPr>
        <w:tabs>
          <w:tab w:val="left" w:leader="underscore" w:pos="9639"/>
        </w:tabs>
        <w:spacing w:after="0" w:line="240" w:lineRule="auto"/>
        <w:jc w:val="both"/>
        <w:rPr>
          <w:rFonts w:cs="Calibri"/>
          <w:b/>
          <w:bCs/>
        </w:rPr>
      </w:pPr>
      <w:r w:rsidRPr="00157C3F">
        <w:rPr>
          <w:rFonts w:cs="Calibri"/>
          <w:b/>
          <w:bCs/>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32E68EFA" w:rsidR="007D1E76" w:rsidRPr="00157C3F" w:rsidRDefault="002F0EF3" w:rsidP="00CB41C4">
      <w:pPr>
        <w:tabs>
          <w:tab w:val="left" w:leader="underscore" w:pos="9639"/>
        </w:tabs>
        <w:spacing w:after="0" w:line="240" w:lineRule="auto"/>
        <w:jc w:val="both"/>
        <w:rPr>
          <w:rFonts w:cs="Calibri"/>
          <w:b/>
          <w:bCs/>
        </w:rPr>
      </w:pPr>
      <w:r w:rsidRPr="00157C3F">
        <w:rPr>
          <w:rFonts w:cs="Calibri"/>
          <w:b/>
          <w:bCs/>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6454E49" w14:textId="77777777" w:rsidR="002F0EF3" w:rsidRPr="00157C3F" w:rsidRDefault="002F0EF3" w:rsidP="002F0EF3">
      <w:pPr>
        <w:tabs>
          <w:tab w:val="left" w:leader="underscore" w:pos="9639"/>
        </w:tabs>
        <w:spacing w:after="0" w:line="240" w:lineRule="auto"/>
        <w:jc w:val="both"/>
        <w:rPr>
          <w:rFonts w:cs="Calibri"/>
          <w:b/>
          <w:bCs/>
        </w:rPr>
      </w:pPr>
      <w:r w:rsidRPr="00157C3F">
        <w:rPr>
          <w:rFonts w:cs="Calibri"/>
          <w:b/>
          <w:bCs/>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744B282" w14:textId="77777777" w:rsidR="002F0EF3" w:rsidRPr="00157C3F" w:rsidRDefault="002F0EF3" w:rsidP="002F0EF3">
      <w:pPr>
        <w:tabs>
          <w:tab w:val="left" w:leader="underscore" w:pos="9639"/>
        </w:tabs>
        <w:spacing w:after="0" w:line="240" w:lineRule="auto"/>
        <w:jc w:val="both"/>
        <w:rPr>
          <w:rFonts w:cs="Calibri"/>
          <w:b/>
          <w:bCs/>
        </w:rPr>
      </w:pPr>
      <w:r w:rsidRPr="00157C3F">
        <w:rPr>
          <w:rFonts w:cs="Calibri"/>
          <w:b/>
          <w:bCs/>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7C030F">
        <w:rPr>
          <w:rFonts w:cs="Calibri"/>
          <w:b/>
        </w:rPr>
        <w:t>e)</w:t>
      </w:r>
      <w:r w:rsidRPr="007C030F">
        <w:rPr>
          <w:rFonts w:cs="Calibri"/>
        </w:rPr>
        <w:t xml:space="preserve"> Patrimonio de </w:t>
      </w:r>
      <w:r w:rsidR="006B1ADF" w:rsidRPr="007C030F">
        <w:rPr>
          <w:rFonts w:cs="Calibri"/>
        </w:rPr>
        <w:t>O</w:t>
      </w:r>
      <w:r w:rsidRPr="007C030F">
        <w:rPr>
          <w:rFonts w:cs="Calibri"/>
        </w:rPr>
        <w:t xml:space="preserve">rganismos </w:t>
      </w:r>
      <w:r w:rsidR="006B1ADF" w:rsidRPr="007C030F">
        <w:rPr>
          <w:rFonts w:cs="Calibri"/>
        </w:rPr>
        <w:t>D</w:t>
      </w:r>
      <w:r w:rsidRPr="007C030F">
        <w:rPr>
          <w:rFonts w:cs="Calibri"/>
        </w:rPr>
        <w:t xml:space="preserve">escentralizados de control </w:t>
      </w:r>
      <w:r w:rsidR="006B1ADF" w:rsidRPr="007C030F">
        <w:rPr>
          <w:rFonts w:cs="Calibri"/>
        </w:rPr>
        <w:t>P</w:t>
      </w:r>
      <w:r w:rsidRPr="007C030F">
        <w:rPr>
          <w:rFonts w:cs="Calibri"/>
        </w:rPr>
        <w:t xml:space="preserve">resupuestario </w:t>
      </w:r>
      <w:r w:rsidR="006B1ADF" w:rsidRPr="007C030F">
        <w:rPr>
          <w:rFonts w:cs="Calibri"/>
        </w:rPr>
        <w:t>D</w:t>
      </w:r>
      <w:r w:rsidRPr="007C030F">
        <w:rPr>
          <w:rFonts w:cs="Calibri"/>
        </w:rPr>
        <w:t>irecto, según corresponda:</w:t>
      </w:r>
    </w:p>
    <w:p w14:paraId="5471AF37" w14:textId="77777777" w:rsidR="005B0D45" w:rsidRPr="00157C3F" w:rsidRDefault="005B0D45" w:rsidP="005B0D45">
      <w:pPr>
        <w:tabs>
          <w:tab w:val="left" w:leader="underscore" w:pos="9639"/>
        </w:tabs>
        <w:spacing w:after="0" w:line="240" w:lineRule="auto"/>
        <w:jc w:val="both"/>
        <w:rPr>
          <w:rFonts w:cs="Calibri"/>
          <w:b/>
          <w:bCs/>
        </w:rPr>
      </w:pPr>
      <w:r w:rsidRPr="00157C3F">
        <w:rPr>
          <w:rFonts w:cs="Calibri"/>
          <w:b/>
          <w:bCs/>
        </w:rPr>
        <w:t>No aplica.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03AB3A3A" w14:textId="24057DBB" w:rsidR="007D1E76" w:rsidRPr="00E74967" w:rsidRDefault="007C030F" w:rsidP="00CB41C4">
      <w:pPr>
        <w:tabs>
          <w:tab w:val="left" w:leader="underscore" w:pos="9639"/>
        </w:tabs>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17C2CB83" w:rsidR="007D1E76" w:rsidRPr="00EC146B" w:rsidRDefault="00EC146B" w:rsidP="00CB41C4">
      <w:pPr>
        <w:tabs>
          <w:tab w:val="left" w:leader="underscore" w:pos="9639"/>
        </w:tabs>
        <w:spacing w:after="0" w:line="240" w:lineRule="auto"/>
        <w:jc w:val="both"/>
        <w:rPr>
          <w:rFonts w:cs="Calibri"/>
          <w:b/>
          <w:bCs/>
        </w:rPr>
      </w:pPr>
      <w:r>
        <w:rPr>
          <w:rFonts w:cs="Calibri"/>
          <w:b/>
          <w:bCs/>
        </w:rPr>
        <w:t>Estatal</w:t>
      </w:r>
      <w:r w:rsidRPr="00EC146B">
        <w:rPr>
          <w:rFonts w:cs="Calibri"/>
          <w:b/>
          <w:bCs/>
        </w:rPr>
        <w:t>.</w:t>
      </w:r>
    </w:p>
    <w:p w14:paraId="4FA2E1ED" w14:textId="77777777" w:rsidR="007D1E76" w:rsidRDefault="007D1E76" w:rsidP="00CB41C4">
      <w:pPr>
        <w:tabs>
          <w:tab w:val="left" w:leader="underscore" w:pos="9639"/>
        </w:tabs>
        <w:spacing w:after="0" w:line="240" w:lineRule="auto"/>
        <w:jc w:val="both"/>
        <w:rPr>
          <w:rFonts w:cs="Calibri"/>
        </w:rPr>
      </w:pPr>
    </w:p>
    <w:p w14:paraId="68107FF4" w14:textId="77777777" w:rsidR="009D7A0E" w:rsidRDefault="009D7A0E" w:rsidP="00CB41C4">
      <w:pPr>
        <w:tabs>
          <w:tab w:val="left" w:leader="underscore" w:pos="9639"/>
        </w:tabs>
        <w:spacing w:after="0" w:line="240" w:lineRule="auto"/>
        <w:jc w:val="both"/>
        <w:rPr>
          <w:rFonts w:cs="Calibri"/>
        </w:rPr>
      </w:pPr>
    </w:p>
    <w:p w14:paraId="7AACDDFE" w14:textId="77777777" w:rsidR="009D7A0E" w:rsidRDefault="009D7A0E" w:rsidP="00CB41C4">
      <w:pPr>
        <w:tabs>
          <w:tab w:val="left" w:leader="underscore" w:pos="9639"/>
        </w:tabs>
        <w:spacing w:after="0" w:line="240" w:lineRule="auto"/>
        <w:jc w:val="both"/>
        <w:rPr>
          <w:rFonts w:cs="Calibri"/>
        </w:rPr>
      </w:pPr>
    </w:p>
    <w:p w14:paraId="6319E412" w14:textId="77777777" w:rsidR="009D7A0E" w:rsidRDefault="009D7A0E" w:rsidP="00CB41C4">
      <w:pPr>
        <w:tabs>
          <w:tab w:val="left" w:leader="underscore" w:pos="9639"/>
        </w:tabs>
        <w:spacing w:after="0" w:line="240" w:lineRule="auto"/>
        <w:jc w:val="both"/>
        <w:rPr>
          <w:rFonts w:cs="Calibri"/>
        </w:rPr>
      </w:pPr>
    </w:p>
    <w:p w14:paraId="4A0E39EF" w14:textId="77777777" w:rsidR="009D7A0E" w:rsidRPr="00E74967" w:rsidRDefault="009D7A0E" w:rsidP="00CB41C4">
      <w:pPr>
        <w:tabs>
          <w:tab w:val="left" w:leader="underscore" w:pos="9639"/>
        </w:tabs>
        <w:spacing w:after="0" w:line="240" w:lineRule="auto"/>
        <w:jc w:val="both"/>
        <w:rPr>
          <w:rFonts w:cs="Calibri"/>
        </w:rPr>
      </w:pPr>
    </w:p>
    <w:p w14:paraId="36C23337" w14:textId="77777777" w:rsidR="007D1E76" w:rsidRPr="00736774" w:rsidRDefault="007D1E76" w:rsidP="00CB41C4">
      <w:pPr>
        <w:tabs>
          <w:tab w:val="left" w:leader="underscore" w:pos="9639"/>
        </w:tabs>
        <w:spacing w:after="0" w:line="240" w:lineRule="auto"/>
        <w:jc w:val="both"/>
        <w:rPr>
          <w:rFonts w:cs="Calibri"/>
        </w:rPr>
      </w:pPr>
      <w:r w:rsidRPr="00736774">
        <w:rPr>
          <w:rFonts w:cs="Calibri"/>
          <w:b/>
        </w:rPr>
        <w:lastRenderedPageBreak/>
        <w:t>b)</w:t>
      </w:r>
      <w:r w:rsidRPr="00736774">
        <w:rPr>
          <w:rFonts w:cs="Calibri"/>
        </w:rPr>
        <w:t xml:space="preserve"> Proyección de la recaudación e ingresos en el mediano plazo:</w:t>
      </w:r>
    </w:p>
    <w:p w14:paraId="143D1480" w14:textId="77777777" w:rsidR="00EC146B" w:rsidRPr="00736774" w:rsidRDefault="00EC146B" w:rsidP="00EC146B">
      <w:pPr>
        <w:tabs>
          <w:tab w:val="left" w:leader="underscore" w:pos="9639"/>
        </w:tabs>
        <w:spacing w:after="0" w:line="240" w:lineRule="auto"/>
        <w:jc w:val="both"/>
        <w:rPr>
          <w:rFonts w:cs="Calibri"/>
          <w:b/>
          <w:bCs/>
        </w:rPr>
      </w:pPr>
    </w:p>
    <w:tbl>
      <w:tblPr>
        <w:tblStyle w:val="Tablaconcuadrcula"/>
        <w:tblW w:w="0" w:type="auto"/>
        <w:jc w:val="center"/>
        <w:tblLook w:val="04A0" w:firstRow="1" w:lastRow="0" w:firstColumn="1" w:lastColumn="0" w:noHBand="0" w:noVBand="1"/>
      </w:tblPr>
      <w:tblGrid>
        <w:gridCol w:w="2419"/>
        <w:gridCol w:w="2419"/>
        <w:gridCol w:w="2420"/>
        <w:gridCol w:w="2420"/>
      </w:tblGrid>
      <w:tr w:rsidR="00EC146B" w:rsidRPr="00736774" w14:paraId="2C0D561E" w14:textId="77777777" w:rsidTr="00EC146B">
        <w:trPr>
          <w:jc w:val="center"/>
        </w:trPr>
        <w:tc>
          <w:tcPr>
            <w:tcW w:w="2419" w:type="dxa"/>
            <w:vAlign w:val="center"/>
          </w:tcPr>
          <w:p w14:paraId="5BFD2F42" w14:textId="0F78806B" w:rsidR="00EC146B" w:rsidRPr="00736774" w:rsidRDefault="00EC146B" w:rsidP="00EC146B">
            <w:pPr>
              <w:tabs>
                <w:tab w:val="left" w:leader="underscore" w:pos="9639"/>
              </w:tabs>
              <w:spacing w:after="0" w:line="240" w:lineRule="auto"/>
              <w:jc w:val="center"/>
              <w:rPr>
                <w:rFonts w:cs="Calibri"/>
                <w:b/>
                <w:bCs/>
              </w:rPr>
            </w:pPr>
            <w:r w:rsidRPr="00736774">
              <w:rPr>
                <w:b/>
                <w:bCs/>
                <w:color w:val="000000"/>
                <w:sz w:val="27"/>
                <w:szCs w:val="27"/>
              </w:rPr>
              <w:t>TIPO</w:t>
            </w:r>
          </w:p>
        </w:tc>
        <w:tc>
          <w:tcPr>
            <w:tcW w:w="2419" w:type="dxa"/>
            <w:vAlign w:val="center"/>
          </w:tcPr>
          <w:p w14:paraId="1B0AE1FA" w14:textId="1CE33D19" w:rsidR="00EC146B" w:rsidRPr="00736774" w:rsidRDefault="00EC146B" w:rsidP="00EC146B">
            <w:pPr>
              <w:tabs>
                <w:tab w:val="left" w:leader="underscore" w:pos="9639"/>
              </w:tabs>
              <w:spacing w:after="0" w:line="240" w:lineRule="auto"/>
              <w:jc w:val="center"/>
              <w:rPr>
                <w:rFonts w:cs="Calibri"/>
                <w:b/>
                <w:bCs/>
              </w:rPr>
            </w:pPr>
            <w:r w:rsidRPr="00736774">
              <w:rPr>
                <w:b/>
                <w:bCs/>
                <w:color w:val="000000"/>
                <w:sz w:val="27"/>
                <w:szCs w:val="27"/>
              </w:rPr>
              <w:t>PRESUPUESTO</w:t>
            </w:r>
          </w:p>
        </w:tc>
        <w:tc>
          <w:tcPr>
            <w:tcW w:w="2420" w:type="dxa"/>
            <w:vAlign w:val="center"/>
          </w:tcPr>
          <w:p w14:paraId="0B8BF5FC" w14:textId="54ABB2B6" w:rsidR="00EC146B" w:rsidRPr="00736774" w:rsidRDefault="00EC146B" w:rsidP="00EC146B">
            <w:pPr>
              <w:tabs>
                <w:tab w:val="left" w:leader="underscore" w:pos="9639"/>
              </w:tabs>
              <w:spacing w:after="0" w:line="240" w:lineRule="auto"/>
              <w:jc w:val="center"/>
              <w:rPr>
                <w:rFonts w:cs="Calibri"/>
                <w:b/>
                <w:bCs/>
              </w:rPr>
            </w:pPr>
            <w:r w:rsidRPr="00736774">
              <w:rPr>
                <w:b/>
                <w:bCs/>
                <w:color w:val="000000"/>
                <w:sz w:val="27"/>
                <w:szCs w:val="27"/>
              </w:rPr>
              <w:t>DEVENGADO</w:t>
            </w:r>
          </w:p>
        </w:tc>
        <w:tc>
          <w:tcPr>
            <w:tcW w:w="2420" w:type="dxa"/>
            <w:vAlign w:val="center"/>
          </w:tcPr>
          <w:p w14:paraId="136886F0" w14:textId="02178445" w:rsidR="00EC146B" w:rsidRPr="00736774" w:rsidRDefault="00EC146B" w:rsidP="00EC146B">
            <w:pPr>
              <w:tabs>
                <w:tab w:val="left" w:leader="underscore" w:pos="9639"/>
              </w:tabs>
              <w:spacing w:after="0" w:line="240" w:lineRule="auto"/>
              <w:jc w:val="center"/>
              <w:rPr>
                <w:rFonts w:cs="Calibri"/>
                <w:b/>
                <w:bCs/>
              </w:rPr>
            </w:pPr>
            <w:r w:rsidRPr="00736774">
              <w:rPr>
                <w:b/>
                <w:bCs/>
                <w:color w:val="000000"/>
                <w:sz w:val="27"/>
                <w:szCs w:val="27"/>
              </w:rPr>
              <w:t>PORCENTAJE</w:t>
            </w:r>
          </w:p>
        </w:tc>
      </w:tr>
      <w:tr w:rsidR="00EC146B" w:rsidRPr="00736774" w14:paraId="42CAFF92" w14:textId="77777777" w:rsidTr="00EC146B">
        <w:trPr>
          <w:trHeight w:val="463"/>
          <w:jc w:val="center"/>
        </w:trPr>
        <w:tc>
          <w:tcPr>
            <w:tcW w:w="2419" w:type="dxa"/>
            <w:vAlign w:val="center"/>
          </w:tcPr>
          <w:p w14:paraId="16AD87D4" w14:textId="234449CD" w:rsidR="00EC146B" w:rsidRPr="00736774" w:rsidRDefault="00EC146B" w:rsidP="00EC146B">
            <w:pPr>
              <w:tabs>
                <w:tab w:val="left" w:leader="underscore" w:pos="9639"/>
              </w:tabs>
              <w:spacing w:after="0" w:line="240" w:lineRule="auto"/>
              <w:jc w:val="center"/>
              <w:rPr>
                <w:color w:val="000000"/>
                <w:sz w:val="27"/>
                <w:szCs w:val="27"/>
              </w:rPr>
            </w:pPr>
            <w:r w:rsidRPr="00736774">
              <w:rPr>
                <w:color w:val="000000"/>
                <w:sz w:val="27"/>
                <w:szCs w:val="27"/>
              </w:rPr>
              <w:t>ESTATAL</w:t>
            </w:r>
          </w:p>
        </w:tc>
        <w:tc>
          <w:tcPr>
            <w:tcW w:w="2419" w:type="dxa"/>
            <w:vAlign w:val="center"/>
          </w:tcPr>
          <w:p w14:paraId="1A409C12" w14:textId="1A809F80" w:rsidR="00EC146B" w:rsidRPr="00736774" w:rsidRDefault="00EC146B" w:rsidP="00EC146B">
            <w:pPr>
              <w:tabs>
                <w:tab w:val="left" w:leader="underscore" w:pos="9639"/>
              </w:tabs>
              <w:spacing w:after="0" w:line="240" w:lineRule="auto"/>
              <w:jc w:val="center"/>
              <w:rPr>
                <w:color w:val="000000"/>
                <w:sz w:val="27"/>
                <w:szCs w:val="27"/>
              </w:rPr>
            </w:pPr>
            <w:r w:rsidRPr="00736774">
              <w:rPr>
                <w:color w:val="000000"/>
                <w:sz w:val="27"/>
                <w:szCs w:val="27"/>
              </w:rPr>
              <w:t>$</w:t>
            </w:r>
            <w:r w:rsidR="00B66B92">
              <w:rPr>
                <w:color w:val="000000"/>
                <w:sz w:val="27"/>
                <w:szCs w:val="27"/>
              </w:rPr>
              <w:t>107</w:t>
            </w:r>
            <w:r w:rsidR="00736774">
              <w:rPr>
                <w:color w:val="000000"/>
                <w:sz w:val="27"/>
                <w:szCs w:val="27"/>
              </w:rPr>
              <w:t>,</w:t>
            </w:r>
            <w:r w:rsidR="00F00C49">
              <w:rPr>
                <w:color w:val="000000"/>
                <w:sz w:val="27"/>
                <w:szCs w:val="27"/>
              </w:rPr>
              <w:t>243,008.54</w:t>
            </w:r>
          </w:p>
        </w:tc>
        <w:tc>
          <w:tcPr>
            <w:tcW w:w="2420" w:type="dxa"/>
            <w:vAlign w:val="center"/>
          </w:tcPr>
          <w:p w14:paraId="3BB02007" w14:textId="49C9F769" w:rsidR="00EC146B" w:rsidRPr="00736774" w:rsidRDefault="00EC146B" w:rsidP="00EC146B">
            <w:pPr>
              <w:tabs>
                <w:tab w:val="left" w:leader="underscore" w:pos="9639"/>
              </w:tabs>
              <w:spacing w:after="0" w:line="240" w:lineRule="auto"/>
              <w:jc w:val="center"/>
              <w:rPr>
                <w:color w:val="000000"/>
                <w:sz w:val="27"/>
                <w:szCs w:val="27"/>
              </w:rPr>
            </w:pPr>
            <w:r w:rsidRPr="00736774">
              <w:rPr>
                <w:color w:val="000000"/>
                <w:sz w:val="27"/>
                <w:szCs w:val="27"/>
              </w:rPr>
              <w:t>$</w:t>
            </w:r>
            <w:r w:rsidR="00F00C49">
              <w:rPr>
                <w:color w:val="000000"/>
                <w:sz w:val="27"/>
                <w:szCs w:val="27"/>
              </w:rPr>
              <w:t>107,243,008.54</w:t>
            </w:r>
          </w:p>
        </w:tc>
        <w:tc>
          <w:tcPr>
            <w:tcW w:w="2420" w:type="dxa"/>
            <w:vAlign w:val="center"/>
          </w:tcPr>
          <w:p w14:paraId="6EC97CF0" w14:textId="55368B93" w:rsidR="00EC146B" w:rsidRPr="00736774" w:rsidRDefault="00F00C49" w:rsidP="00EC146B">
            <w:pPr>
              <w:tabs>
                <w:tab w:val="left" w:leader="underscore" w:pos="9639"/>
              </w:tabs>
              <w:spacing w:after="0" w:line="240" w:lineRule="auto"/>
              <w:jc w:val="center"/>
              <w:rPr>
                <w:color w:val="000000"/>
                <w:sz w:val="27"/>
                <w:szCs w:val="27"/>
              </w:rPr>
            </w:pPr>
            <w:r>
              <w:rPr>
                <w:color w:val="000000"/>
                <w:sz w:val="27"/>
                <w:szCs w:val="27"/>
              </w:rPr>
              <w:t>100.00</w:t>
            </w:r>
            <w:r w:rsidR="00EC146B" w:rsidRPr="00736774">
              <w:rPr>
                <w:color w:val="000000"/>
                <w:sz w:val="27"/>
                <w:szCs w:val="27"/>
              </w:rPr>
              <w:t>%</w:t>
            </w:r>
          </w:p>
        </w:tc>
      </w:tr>
      <w:tr w:rsidR="00736774" w14:paraId="69BCEE48" w14:textId="77777777" w:rsidTr="00EC146B">
        <w:trPr>
          <w:trHeight w:val="463"/>
          <w:jc w:val="center"/>
        </w:trPr>
        <w:tc>
          <w:tcPr>
            <w:tcW w:w="2419" w:type="dxa"/>
            <w:vAlign w:val="center"/>
          </w:tcPr>
          <w:p w14:paraId="2187B264" w14:textId="41237CF1" w:rsidR="00736774" w:rsidRPr="00736774" w:rsidRDefault="00736774" w:rsidP="00EC146B">
            <w:pPr>
              <w:tabs>
                <w:tab w:val="left" w:leader="underscore" w:pos="9639"/>
              </w:tabs>
              <w:spacing w:after="0" w:line="240" w:lineRule="auto"/>
              <w:jc w:val="center"/>
              <w:rPr>
                <w:color w:val="000000"/>
                <w:sz w:val="27"/>
                <w:szCs w:val="27"/>
              </w:rPr>
            </w:pPr>
            <w:r w:rsidRPr="00736774">
              <w:rPr>
                <w:color w:val="000000"/>
                <w:sz w:val="27"/>
                <w:szCs w:val="27"/>
              </w:rPr>
              <w:t>OTROS RECURSOS</w:t>
            </w:r>
          </w:p>
        </w:tc>
        <w:tc>
          <w:tcPr>
            <w:tcW w:w="2419" w:type="dxa"/>
            <w:vAlign w:val="center"/>
          </w:tcPr>
          <w:p w14:paraId="6DD3663D" w14:textId="46EF477C" w:rsidR="00736774" w:rsidRPr="00736774" w:rsidRDefault="00F3795B" w:rsidP="00EC146B">
            <w:pPr>
              <w:tabs>
                <w:tab w:val="left" w:leader="underscore" w:pos="9639"/>
              </w:tabs>
              <w:spacing w:after="0" w:line="240" w:lineRule="auto"/>
              <w:jc w:val="center"/>
              <w:rPr>
                <w:color w:val="000000"/>
                <w:sz w:val="27"/>
                <w:szCs w:val="27"/>
              </w:rPr>
            </w:pPr>
            <w:r>
              <w:rPr>
                <w:color w:val="000000"/>
                <w:sz w:val="27"/>
                <w:szCs w:val="27"/>
              </w:rPr>
              <w:t>$</w:t>
            </w:r>
            <w:r w:rsidR="00F00C49">
              <w:rPr>
                <w:color w:val="000000"/>
                <w:sz w:val="27"/>
                <w:szCs w:val="27"/>
              </w:rPr>
              <w:t>9,401.89</w:t>
            </w:r>
          </w:p>
        </w:tc>
        <w:tc>
          <w:tcPr>
            <w:tcW w:w="2420" w:type="dxa"/>
            <w:vAlign w:val="center"/>
          </w:tcPr>
          <w:p w14:paraId="6206300A" w14:textId="542A6FCF" w:rsidR="00736774" w:rsidRPr="00736774" w:rsidRDefault="009C23BB" w:rsidP="00EC146B">
            <w:pPr>
              <w:tabs>
                <w:tab w:val="left" w:leader="underscore" w:pos="9639"/>
              </w:tabs>
              <w:spacing w:after="0" w:line="240" w:lineRule="auto"/>
              <w:jc w:val="center"/>
              <w:rPr>
                <w:color w:val="000000"/>
                <w:sz w:val="27"/>
                <w:szCs w:val="27"/>
              </w:rPr>
            </w:pPr>
            <w:r>
              <w:rPr>
                <w:color w:val="000000"/>
                <w:sz w:val="27"/>
                <w:szCs w:val="27"/>
              </w:rPr>
              <w:t>$</w:t>
            </w:r>
            <w:r w:rsidR="00F00C49">
              <w:rPr>
                <w:color w:val="000000"/>
                <w:sz w:val="27"/>
                <w:szCs w:val="27"/>
              </w:rPr>
              <w:t>9,401.89</w:t>
            </w:r>
          </w:p>
        </w:tc>
        <w:tc>
          <w:tcPr>
            <w:tcW w:w="2420" w:type="dxa"/>
            <w:vAlign w:val="center"/>
          </w:tcPr>
          <w:p w14:paraId="226DCF78" w14:textId="62FD1083" w:rsidR="00736774" w:rsidRPr="00736774" w:rsidRDefault="00F00C49" w:rsidP="00EC146B">
            <w:pPr>
              <w:tabs>
                <w:tab w:val="left" w:leader="underscore" w:pos="9639"/>
              </w:tabs>
              <w:spacing w:after="0" w:line="240" w:lineRule="auto"/>
              <w:jc w:val="center"/>
              <w:rPr>
                <w:color w:val="000000"/>
                <w:sz w:val="27"/>
                <w:szCs w:val="27"/>
              </w:rPr>
            </w:pPr>
            <w:r>
              <w:rPr>
                <w:color w:val="000000"/>
                <w:sz w:val="27"/>
                <w:szCs w:val="27"/>
              </w:rPr>
              <w:t>100.00</w:t>
            </w:r>
            <w:r w:rsidR="00B66B92">
              <w:rPr>
                <w:color w:val="000000"/>
                <w:sz w:val="27"/>
                <w:szCs w:val="27"/>
              </w:rPr>
              <w:t>%</w:t>
            </w:r>
          </w:p>
        </w:tc>
      </w:tr>
    </w:tbl>
    <w:p w14:paraId="1C834FDA" w14:textId="77777777" w:rsidR="00EC146B" w:rsidRPr="00EC146B" w:rsidRDefault="00EC146B" w:rsidP="00EC146B">
      <w:pPr>
        <w:tabs>
          <w:tab w:val="left" w:leader="underscore" w:pos="9639"/>
        </w:tabs>
        <w:spacing w:after="0" w:line="240" w:lineRule="auto"/>
        <w:jc w:val="both"/>
        <w:rPr>
          <w:rFonts w:cs="Calibri"/>
          <w:b/>
          <w:bCs/>
        </w:rPr>
      </w:pPr>
    </w:p>
    <w:p w14:paraId="693688DA" w14:textId="77777777" w:rsidR="00F3795B" w:rsidRPr="00F3795B" w:rsidRDefault="00F3795B"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47A92FC9" w14:textId="6B92DD11" w:rsidR="007D1E76" w:rsidRPr="00E74967" w:rsidRDefault="00094762"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FD43505" w14:textId="5B8C5E3E" w:rsidR="007D1E76" w:rsidRPr="00A8767D" w:rsidRDefault="00DA4AD5" w:rsidP="00CB41C4">
      <w:pPr>
        <w:tabs>
          <w:tab w:val="left" w:leader="underscore" w:pos="9639"/>
        </w:tabs>
        <w:spacing w:after="0" w:line="240" w:lineRule="auto"/>
        <w:jc w:val="both"/>
        <w:rPr>
          <w:rFonts w:cs="Calibri"/>
        </w:rPr>
      </w:pPr>
      <w:r w:rsidRPr="00A8767D">
        <w:rPr>
          <w:rFonts w:cs="Calibri"/>
        </w:rPr>
        <w:t>No aplica</w:t>
      </w:r>
      <w:r w:rsidR="00A8767D" w:rsidRPr="00A8767D">
        <w:rPr>
          <w:rFonts w:cs="Calibri"/>
        </w:rPr>
        <w:t>.</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C64931" w:rsidRDefault="007D1E76" w:rsidP="00CB41C4">
      <w:pPr>
        <w:tabs>
          <w:tab w:val="left" w:leader="underscore" w:pos="9639"/>
        </w:tabs>
        <w:spacing w:after="0" w:line="240" w:lineRule="auto"/>
        <w:jc w:val="both"/>
        <w:rPr>
          <w:rFonts w:cs="Calibri"/>
        </w:rPr>
      </w:pPr>
      <w:r w:rsidRPr="00C64931">
        <w:rPr>
          <w:rFonts w:cs="Calibri"/>
          <w:b/>
        </w:rPr>
        <w:t>a)</w:t>
      </w:r>
      <w:r w:rsidRPr="00C64931">
        <w:rPr>
          <w:rFonts w:cs="Calibri"/>
        </w:rPr>
        <w:t xml:space="preserve"> Principales Políticas de control interno:</w:t>
      </w:r>
    </w:p>
    <w:p w14:paraId="4BC0E3CC" w14:textId="6BB149C2" w:rsidR="00C64931" w:rsidRDefault="00C64931" w:rsidP="00C64931">
      <w:pPr>
        <w:pStyle w:val="Prrafodelista"/>
        <w:numPr>
          <w:ilvl w:val="0"/>
          <w:numId w:val="8"/>
        </w:numPr>
        <w:tabs>
          <w:tab w:val="left" w:leader="underscore" w:pos="9639"/>
        </w:tabs>
        <w:spacing w:after="0" w:line="240" w:lineRule="auto"/>
        <w:jc w:val="both"/>
        <w:rPr>
          <w:rFonts w:cs="Calibri"/>
        </w:rPr>
      </w:pPr>
      <w:r>
        <w:rPr>
          <w:rFonts w:cs="Calibri"/>
        </w:rPr>
        <w:t>Todos los movimientos bancarios se realizan mediante token digital, con autorización mancomunada;</w:t>
      </w:r>
    </w:p>
    <w:p w14:paraId="1CCAB6BC" w14:textId="4FE97F2E" w:rsidR="00C64931" w:rsidRDefault="00C64931" w:rsidP="00C64931">
      <w:pPr>
        <w:pStyle w:val="Prrafodelista"/>
        <w:numPr>
          <w:ilvl w:val="0"/>
          <w:numId w:val="8"/>
        </w:numPr>
        <w:tabs>
          <w:tab w:val="left" w:leader="underscore" w:pos="9639"/>
        </w:tabs>
        <w:spacing w:after="0" w:line="240" w:lineRule="auto"/>
        <w:jc w:val="both"/>
        <w:rPr>
          <w:rFonts w:cs="Calibri"/>
        </w:rPr>
      </w:pPr>
      <w:r w:rsidRPr="00C64931">
        <w:rPr>
          <w:rFonts w:cs="Calibri"/>
        </w:rPr>
        <w:t>Se está elaborando un resguardo para cada uno de los bienes propiedad del Archivo General del Estado;</w:t>
      </w:r>
    </w:p>
    <w:p w14:paraId="20BCB9C1" w14:textId="10EEDF80" w:rsidR="00C64931" w:rsidRDefault="009B01E2" w:rsidP="00C64931">
      <w:pPr>
        <w:pStyle w:val="Prrafodelista"/>
        <w:numPr>
          <w:ilvl w:val="0"/>
          <w:numId w:val="8"/>
        </w:numPr>
        <w:tabs>
          <w:tab w:val="left" w:leader="underscore" w:pos="9639"/>
        </w:tabs>
        <w:spacing w:after="0" w:line="240" w:lineRule="auto"/>
        <w:jc w:val="both"/>
        <w:rPr>
          <w:rFonts w:cs="Calibri"/>
        </w:rPr>
      </w:pPr>
      <w:r w:rsidRPr="009B01E2">
        <w:rPr>
          <w:rFonts w:cs="Calibri"/>
        </w:rPr>
        <w:t xml:space="preserve">Para la adquisición y contratación de los bienes, materiales y servicios, se realizan con base en la normatividad y dependiendo de su naturaleza, nos apoyamos en las </w:t>
      </w:r>
      <w:r w:rsidR="00EC4E76">
        <w:rPr>
          <w:rFonts w:cs="Calibri"/>
        </w:rPr>
        <w:t>Secretaría</w:t>
      </w:r>
      <w:r w:rsidRPr="009B01E2">
        <w:rPr>
          <w:rFonts w:cs="Calibri"/>
        </w:rPr>
        <w:t xml:space="preserve"> de Finanzas y Administración</w:t>
      </w:r>
      <w:r>
        <w:rPr>
          <w:rFonts w:cs="Calibri"/>
        </w:rPr>
        <w:t>;</w:t>
      </w:r>
    </w:p>
    <w:p w14:paraId="24D8D8D4" w14:textId="760BF29A" w:rsidR="009B01E2" w:rsidRPr="00275E03" w:rsidRDefault="009B01E2" w:rsidP="00C64931">
      <w:pPr>
        <w:pStyle w:val="Prrafodelista"/>
        <w:numPr>
          <w:ilvl w:val="0"/>
          <w:numId w:val="8"/>
        </w:numPr>
        <w:tabs>
          <w:tab w:val="left" w:leader="underscore" w:pos="9639"/>
        </w:tabs>
        <w:spacing w:after="0" w:line="240" w:lineRule="auto"/>
        <w:jc w:val="both"/>
        <w:rPr>
          <w:rFonts w:cs="Calibri"/>
        </w:rPr>
      </w:pPr>
      <w:r w:rsidRPr="00356E3D">
        <w:rPr>
          <w:rFonts w:ascii="Arial" w:hAnsi="Arial" w:cs="Arial"/>
          <w:sz w:val="20"/>
          <w:szCs w:val="20"/>
        </w:rPr>
        <w:t>La contratación del personal de base</w:t>
      </w:r>
      <w:r>
        <w:rPr>
          <w:rFonts w:ascii="Arial" w:hAnsi="Arial" w:cs="Arial"/>
          <w:sz w:val="20"/>
          <w:szCs w:val="20"/>
        </w:rPr>
        <w:t xml:space="preserve"> para las nuevas vacantes</w:t>
      </w:r>
      <w:r w:rsidRPr="00356E3D">
        <w:rPr>
          <w:rFonts w:ascii="Arial" w:hAnsi="Arial" w:cs="Arial"/>
          <w:sz w:val="20"/>
          <w:szCs w:val="20"/>
        </w:rPr>
        <w:t xml:space="preserve"> </w:t>
      </w:r>
      <w:r>
        <w:rPr>
          <w:rFonts w:ascii="Arial" w:hAnsi="Arial" w:cs="Arial"/>
          <w:sz w:val="20"/>
          <w:szCs w:val="20"/>
        </w:rPr>
        <w:t>se realiza</w:t>
      </w:r>
      <w:r w:rsidRPr="00356E3D">
        <w:rPr>
          <w:rFonts w:ascii="Arial" w:hAnsi="Arial" w:cs="Arial"/>
          <w:sz w:val="20"/>
          <w:szCs w:val="20"/>
        </w:rPr>
        <w:t xml:space="preserve"> respetando el proceso que indica el Servicio Civil de Carrera</w:t>
      </w:r>
      <w:r w:rsidR="00275E03">
        <w:rPr>
          <w:rFonts w:ascii="Arial" w:hAnsi="Arial" w:cs="Arial"/>
          <w:sz w:val="20"/>
          <w:szCs w:val="20"/>
        </w:rPr>
        <w:t>;</w:t>
      </w:r>
    </w:p>
    <w:p w14:paraId="5D5F7585" w14:textId="11BF1331" w:rsidR="00275E03" w:rsidRDefault="00275E03" w:rsidP="00C64931">
      <w:pPr>
        <w:pStyle w:val="Prrafodelista"/>
        <w:numPr>
          <w:ilvl w:val="0"/>
          <w:numId w:val="8"/>
        </w:numPr>
        <w:tabs>
          <w:tab w:val="left" w:leader="underscore" w:pos="9639"/>
        </w:tabs>
        <w:spacing w:after="0" w:line="240" w:lineRule="auto"/>
        <w:jc w:val="both"/>
        <w:rPr>
          <w:rFonts w:cs="Calibri"/>
        </w:rPr>
      </w:pPr>
      <w:r>
        <w:rPr>
          <w:rFonts w:cs="Calibri"/>
        </w:rPr>
        <w:t>Sin importar su nivel tabular, todo el personal que labora en esta Institución registra su entrada y salida de labores.</w:t>
      </w:r>
    </w:p>
    <w:p w14:paraId="6859C318" w14:textId="482922D2" w:rsidR="00475704" w:rsidRPr="00C64931" w:rsidRDefault="00475704" w:rsidP="00C64931">
      <w:pPr>
        <w:pStyle w:val="Prrafodelista"/>
        <w:numPr>
          <w:ilvl w:val="0"/>
          <w:numId w:val="8"/>
        </w:numPr>
        <w:tabs>
          <w:tab w:val="left" w:leader="underscore" w:pos="9639"/>
        </w:tabs>
        <w:spacing w:after="0" w:line="240" w:lineRule="auto"/>
        <w:jc w:val="both"/>
        <w:rPr>
          <w:rFonts w:cs="Calibri"/>
        </w:rPr>
      </w:pPr>
      <w:r>
        <w:rPr>
          <w:rFonts w:cs="Calibri"/>
        </w:rPr>
        <w:t>Se tiene una bitácora del uso de la flotilla vehicular del AGE.</w:t>
      </w:r>
    </w:p>
    <w:p w14:paraId="0132FB08" w14:textId="41EFEC04" w:rsidR="007D1E76" w:rsidRPr="00C64931" w:rsidRDefault="007D1E76" w:rsidP="00C64931">
      <w:pPr>
        <w:tabs>
          <w:tab w:val="left" w:leader="underscore" w:pos="9639"/>
        </w:tabs>
        <w:spacing w:after="0" w:line="240" w:lineRule="auto"/>
        <w:jc w:val="both"/>
        <w:rPr>
          <w:rFonts w:cs="Calibri"/>
        </w:rPr>
      </w:pPr>
    </w:p>
    <w:p w14:paraId="1BD51D41" w14:textId="77777777" w:rsidR="007D1E76" w:rsidRPr="00C64931" w:rsidRDefault="007D1E76" w:rsidP="00CB41C4">
      <w:pPr>
        <w:tabs>
          <w:tab w:val="left" w:leader="underscore" w:pos="9639"/>
        </w:tabs>
        <w:spacing w:after="0" w:line="240" w:lineRule="auto"/>
        <w:jc w:val="both"/>
        <w:rPr>
          <w:rFonts w:cs="Calibri"/>
        </w:rPr>
      </w:pPr>
    </w:p>
    <w:p w14:paraId="59CFF4B2" w14:textId="77777777" w:rsidR="007D1E76" w:rsidRPr="00C64931" w:rsidRDefault="007D1E76" w:rsidP="00CB41C4">
      <w:pPr>
        <w:tabs>
          <w:tab w:val="left" w:leader="underscore" w:pos="9639"/>
        </w:tabs>
        <w:spacing w:after="0" w:line="240" w:lineRule="auto"/>
        <w:jc w:val="both"/>
        <w:rPr>
          <w:rFonts w:cs="Calibri"/>
        </w:rPr>
      </w:pPr>
      <w:r w:rsidRPr="00C64931">
        <w:rPr>
          <w:rFonts w:cs="Calibri"/>
          <w:b/>
        </w:rPr>
        <w:t>b)</w:t>
      </w:r>
      <w:r w:rsidRPr="00C64931">
        <w:rPr>
          <w:rFonts w:cs="Calibri"/>
        </w:rPr>
        <w:t xml:space="preserve"> Medidas de desempeño financiero, metas y alcance:</w:t>
      </w:r>
    </w:p>
    <w:p w14:paraId="795495BA" w14:textId="55B41D4B" w:rsidR="007D1E76" w:rsidRDefault="00275E03" w:rsidP="00CB41C4">
      <w:pPr>
        <w:tabs>
          <w:tab w:val="left" w:leader="underscore" w:pos="9639"/>
        </w:tabs>
        <w:spacing w:after="0" w:line="240" w:lineRule="auto"/>
        <w:jc w:val="both"/>
        <w:rPr>
          <w:rFonts w:cs="Calibri"/>
        </w:rPr>
      </w:pPr>
      <w:r>
        <w:rPr>
          <w:rFonts w:cs="Calibri"/>
        </w:rPr>
        <w:t xml:space="preserve">A pesar de la reciente entrada en operaciones de la Institución, se realizan </w:t>
      </w:r>
      <w:r w:rsidR="00EC4E76">
        <w:rPr>
          <w:rFonts w:cs="Calibri"/>
        </w:rPr>
        <w:t>numerables esfuerzos para el cumplimiento de las metas planeadas</w:t>
      </w:r>
      <w:r w:rsidR="00944431">
        <w:rPr>
          <w:rFonts w:cs="Calibri"/>
        </w:rPr>
        <w:t xml:space="preserve"> dentro del marco legal</w:t>
      </w:r>
      <w:r w:rsidR="00EC4E76">
        <w:rPr>
          <w:rFonts w:cs="Calibri"/>
        </w:rPr>
        <w:t xml:space="preserve">, </w:t>
      </w:r>
      <w:r w:rsidR="00944431">
        <w:rPr>
          <w:rFonts w:cs="Calibri"/>
        </w:rPr>
        <w:t>toda actividad, adquisición y aplicación de recursos públicos se hacen respetando la normativa y los Lineamientos de Racionalidad y Austeridad Presupuestaria aplicables.</w:t>
      </w:r>
    </w:p>
    <w:p w14:paraId="19B4EC75" w14:textId="77777777" w:rsidR="00275E03" w:rsidRPr="00E74967" w:rsidRDefault="00275E03"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4970F0" w:rsidRDefault="007D1E76" w:rsidP="00CB41C4">
      <w:pPr>
        <w:tabs>
          <w:tab w:val="left" w:leader="underscore" w:pos="9639"/>
        </w:tabs>
        <w:spacing w:after="0" w:line="240" w:lineRule="auto"/>
        <w:jc w:val="both"/>
        <w:rPr>
          <w:rFonts w:cs="Calibri"/>
        </w:rPr>
      </w:pPr>
    </w:p>
    <w:p w14:paraId="3F15EC05" w14:textId="30ECFC66" w:rsidR="00DA4AD5" w:rsidRPr="004970F0" w:rsidRDefault="00DA4AD5" w:rsidP="00CB41C4">
      <w:pPr>
        <w:tabs>
          <w:tab w:val="left" w:leader="underscore" w:pos="9639"/>
        </w:tabs>
        <w:spacing w:after="0" w:line="240" w:lineRule="auto"/>
        <w:jc w:val="both"/>
        <w:rPr>
          <w:rFonts w:cs="Calibri"/>
        </w:rPr>
      </w:pPr>
      <w:r w:rsidRPr="004970F0">
        <w:rPr>
          <w:rFonts w:cs="Calibri"/>
        </w:rPr>
        <w:t>No aplica.</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ED2B7E9" w14:textId="6C3A35DB" w:rsidR="00DA4AD5" w:rsidRPr="004970F0" w:rsidRDefault="00B66B92" w:rsidP="00DA4AD5">
      <w:pPr>
        <w:tabs>
          <w:tab w:val="left" w:leader="underscore" w:pos="9639"/>
        </w:tabs>
        <w:spacing w:after="0" w:line="240" w:lineRule="auto"/>
        <w:jc w:val="both"/>
        <w:rPr>
          <w:rFonts w:cs="Calibri"/>
        </w:rPr>
      </w:pPr>
      <w:r>
        <w:rPr>
          <w:rFonts w:cs="Calibri"/>
        </w:rPr>
        <w:t xml:space="preserve">Se detectan al cierre del mes de </w:t>
      </w:r>
      <w:r w:rsidR="006E3A7A">
        <w:rPr>
          <w:rFonts w:cs="Calibri"/>
        </w:rPr>
        <w:t>diciembre</w:t>
      </w:r>
      <w:r>
        <w:rPr>
          <w:rFonts w:cs="Calibri"/>
        </w:rPr>
        <w:t>, inconsistencias en los Estados Analíticos de Egresos emitidos en el primer y segundo trimestre del 2024. Se reportan cantidades superiores en los montos modificados, situación que se corrige en la información presupuestal y programática del tercer trimestre 2024.</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70B6AE5D" w14:textId="77777777" w:rsidR="00DA4AD5" w:rsidRPr="004970F0" w:rsidRDefault="00DA4AD5" w:rsidP="00DA4AD5">
      <w:pPr>
        <w:tabs>
          <w:tab w:val="left" w:leader="underscore" w:pos="9639"/>
        </w:tabs>
        <w:spacing w:after="0" w:line="240" w:lineRule="auto"/>
        <w:jc w:val="both"/>
        <w:rPr>
          <w:rFonts w:cs="Calibri"/>
        </w:rPr>
      </w:pPr>
      <w:r w:rsidRPr="004970F0">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74D16815" w14:textId="77777777" w:rsidR="00D5018E" w:rsidRDefault="00D5018E" w:rsidP="00CB41C4">
      <w:pPr>
        <w:tabs>
          <w:tab w:val="left" w:leader="underscore" w:pos="9639"/>
        </w:tabs>
        <w:spacing w:after="0" w:line="240" w:lineRule="auto"/>
        <w:jc w:val="both"/>
        <w:rPr>
          <w:rFonts w:cs="Calibri"/>
        </w:rPr>
      </w:pPr>
    </w:p>
    <w:p w14:paraId="6FDECA6F" w14:textId="5108E727" w:rsidR="00B66B92" w:rsidRDefault="00B66B92"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192C2FB9" w14:textId="77777777" w:rsidR="004970F0" w:rsidRDefault="004970F0" w:rsidP="004970F0">
      <w:pPr>
        <w:spacing w:after="0" w:line="240" w:lineRule="auto"/>
        <w:jc w:val="both"/>
        <w:rPr>
          <w:rFonts w:cs="Calibri"/>
        </w:rPr>
      </w:pPr>
    </w:p>
    <w:p w14:paraId="6ECEB0E3" w14:textId="77777777" w:rsidR="004970F0" w:rsidRDefault="004970F0" w:rsidP="004970F0">
      <w:pPr>
        <w:spacing w:after="0" w:line="240" w:lineRule="auto"/>
        <w:jc w:val="both"/>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4970F0" w14:paraId="270B01CA" w14:textId="77777777" w:rsidTr="004970F0">
        <w:tc>
          <w:tcPr>
            <w:tcW w:w="4839" w:type="dxa"/>
          </w:tcPr>
          <w:p w14:paraId="231F2D34" w14:textId="77777777" w:rsidR="004970F0" w:rsidRDefault="004970F0" w:rsidP="004970F0">
            <w:pPr>
              <w:tabs>
                <w:tab w:val="left" w:leader="underscore" w:pos="9639"/>
              </w:tabs>
              <w:spacing w:after="0" w:line="240" w:lineRule="auto"/>
              <w:jc w:val="both"/>
              <w:rPr>
                <w:rFonts w:cs="Calibri"/>
              </w:rPr>
            </w:pPr>
          </w:p>
        </w:tc>
        <w:tc>
          <w:tcPr>
            <w:tcW w:w="4839" w:type="dxa"/>
          </w:tcPr>
          <w:p w14:paraId="7E15D7F6" w14:textId="77777777" w:rsidR="004970F0" w:rsidRDefault="004970F0" w:rsidP="004970F0">
            <w:pPr>
              <w:tabs>
                <w:tab w:val="left" w:leader="underscore" w:pos="9639"/>
              </w:tabs>
              <w:spacing w:after="0" w:line="240" w:lineRule="auto"/>
              <w:jc w:val="both"/>
              <w:rPr>
                <w:rFonts w:cs="Calibri"/>
              </w:rPr>
            </w:pPr>
          </w:p>
        </w:tc>
      </w:tr>
      <w:tr w:rsidR="004970F0" w14:paraId="56238352" w14:textId="77777777" w:rsidTr="004970F0">
        <w:tc>
          <w:tcPr>
            <w:tcW w:w="4839" w:type="dxa"/>
          </w:tcPr>
          <w:p w14:paraId="45EDE4F8" w14:textId="77777777" w:rsidR="004970F0" w:rsidRDefault="004970F0" w:rsidP="004970F0">
            <w:pPr>
              <w:tabs>
                <w:tab w:val="left" w:leader="underscore" w:pos="9639"/>
              </w:tabs>
              <w:spacing w:after="0" w:line="240" w:lineRule="auto"/>
              <w:jc w:val="center"/>
              <w:rPr>
                <w:rFonts w:cs="Calibri"/>
              </w:rPr>
            </w:pPr>
            <w:r>
              <w:rPr>
                <w:rFonts w:cs="Calibri"/>
              </w:rPr>
              <w:t>Cecilia Elizabeth Nila García</w:t>
            </w:r>
          </w:p>
          <w:p w14:paraId="6C505AF4" w14:textId="22F2805F" w:rsidR="004970F0" w:rsidRPr="004970F0" w:rsidRDefault="004970F0" w:rsidP="004970F0">
            <w:pPr>
              <w:tabs>
                <w:tab w:val="left" w:leader="underscore" w:pos="9639"/>
              </w:tabs>
              <w:spacing w:after="0" w:line="240" w:lineRule="auto"/>
              <w:jc w:val="center"/>
              <w:rPr>
                <w:rFonts w:cs="Calibri"/>
                <w:b/>
                <w:bCs/>
              </w:rPr>
            </w:pPr>
            <w:r w:rsidRPr="004970F0">
              <w:rPr>
                <w:rFonts w:cs="Calibri"/>
                <w:b/>
                <w:bCs/>
              </w:rPr>
              <w:t>DIRECTORA GENERAL</w:t>
            </w:r>
          </w:p>
        </w:tc>
        <w:tc>
          <w:tcPr>
            <w:tcW w:w="4839" w:type="dxa"/>
          </w:tcPr>
          <w:p w14:paraId="2C589345" w14:textId="5A364E0D" w:rsidR="004970F0" w:rsidRDefault="00B66B92" w:rsidP="004970F0">
            <w:pPr>
              <w:tabs>
                <w:tab w:val="left" w:leader="underscore" w:pos="9639"/>
              </w:tabs>
              <w:spacing w:after="0" w:line="240" w:lineRule="auto"/>
              <w:jc w:val="center"/>
              <w:rPr>
                <w:rFonts w:cs="Calibri"/>
              </w:rPr>
            </w:pPr>
            <w:r>
              <w:rPr>
                <w:rFonts w:cs="Calibri"/>
              </w:rPr>
              <w:t>Jesús Alejandro Duran Hernández</w:t>
            </w:r>
          </w:p>
          <w:p w14:paraId="61BE21CC" w14:textId="167536C0" w:rsidR="004970F0" w:rsidRPr="004970F0" w:rsidRDefault="004970F0" w:rsidP="004970F0">
            <w:pPr>
              <w:tabs>
                <w:tab w:val="left" w:leader="underscore" w:pos="9639"/>
              </w:tabs>
              <w:spacing w:after="0" w:line="240" w:lineRule="auto"/>
              <w:jc w:val="center"/>
              <w:rPr>
                <w:rFonts w:cs="Calibri"/>
                <w:b/>
                <w:bCs/>
              </w:rPr>
            </w:pPr>
            <w:r w:rsidRPr="004970F0">
              <w:rPr>
                <w:rFonts w:cs="Calibri"/>
                <w:b/>
                <w:bCs/>
              </w:rPr>
              <w:t>COORDINADOR DE ADMINISTRACIÓN Y FINANZAS</w:t>
            </w:r>
          </w:p>
        </w:tc>
      </w:tr>
      <w:bookmarkEnd w:id="0"/>
    </w:tbl>
    <w:p w14:paraId="74B08F48" w14:textId="77777777" w:rsidR="004970F0" w:rsidRPr="00E74967" w:rsidRDefault="004970F0" w:rsidP="004970F0">
      <w:pPr>
        <w:tabs>
          <w:tab w:val="left" w:leader="underscore" w:pos="9639"/>
        </w:tabs>
        <w:spacing w:after="0" w:line="240" w:lineRule="auto"/>
        <w:jc w:val="both"/>
        <w:rPr>
          <w:rFonts w:cs="Calibri"/>
        </w:rPr>
      </w:pPr>
    </w:p>
    <w:sectPr w:rsidR="004970F0" w:rsidRPr="00E74967" w:rsidSect="003524BD">
      <w:headerReference w:type="default" r:id="rId12"/>
      <w:footerReference w:type="default" r:id="rId13"/>
      <w:pgSz w:w="12240" w:h="15840" w:code="1"/>
      <w:pgMar w:top="1134" w:right="1418" w:bottom="141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CA27C" w14:textId="77777777" w:rsidR="002B6398" w:rsidRDefault="002B6398" w:rsidP="00E00323">
      <w:pPr>
        <w:spacing w:after="0" w:line="240" w:lineRule="auto"/>
      </w:pPr>
      <w:r>
        <w:separator/>
      </w:r>
    </w:p>
  </w:endnote>
  <w:endnote w:type="continuationSeparator" w:id="0">
    <w:p w14:paraId="43DD99AB" w14:textId="77777777" w:rsidR="002B6398" w:rsidRDefault="002B639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22908" w14:textId="77777777" w:rsidR="002B6398" w:rsidRDefault="002B6398" w:rsidP="00E00323">
      <w:pPr>
        <w:spacing w:after="0" w:line="240" w:lineRule="auto"/>
      </w:pPr>
      <w:r>
        <w:separator/>
      </w:r>
    </w:p>
  </w:footnote>
  <w:footnote w:type="continuationSeparator" w:id="0">
    <w:p w14:paraId="61768191" w14:textId="77777777" w:rsidR="002B6398" w:rsidRDefault="002B639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4CB6" w14:textId="77777777" w:rsidR="00481A93" w:rsidRDefault="00481A93" w:rsidP="00481A93">
    <w:pPr>
      <w:pStyle w:val="Encabezado"/>
      <w:spacing w:after="0" w:line="240" w:lineRule="auto"/>
      <w:jc w:val="center"/>
    </w:pPr>
    <w:r>
      <w:t>ARCHIVO GENERAL DEL ESTADO</w:t>
    </w:r>
  </w:p>
  <w:p w14:paraId="651A4C4F" w14:textId="18B19FF2" w:rsidR="00A4610E" w:rsidRDefault="00A4610E" w:rsidP="00481A93">
    <w:pPr>
      <w:pStyle w:val="Encabezado"/>
      <w:spacing w:after="0" w:line="240" w:lineRule="auto"/>
      <w:jc w:val="center"/>
    </w:pPr>
    <w:r w:rsidRPr="00A4610E">
      <w:t>CORRESPONDI</w:t>
    </w:r>
    <w:r w:rsidR="00DD018C">
      <w:t>E</w:t>
    </w:r>
    <w:r w:rsidRPr="00A4610E">
      <w:t xml:space="preserve">NTES AL </w:t>
    </w:r>
    <w:r w:rsidR="00164A9D">
      <w:t>3</w:t>
    </w:r>
    <w:r w:rsidR="00F00C49">
      <w:t>1</w:t>
    </w:r>
    <w:r w:rsidR="00164A9D">
      <w:t xml:space="preserve"> DE </w:t>
    </w:r>
    <w:r w:rsidR="00F00C49">
      <w:t>DICIEMBRE</w:t>
    </w:r>
    <w:r w:rsidR="00164A9D">
      <w:t xml:space="preserve"> DE </w:t>
    </w:r>
    <w:r w:rsidR="00481A93">
      <w:t>202</w:t>
    </w:r>
    <w:r w:rsidR="00E64B0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B6A71"/>
    <w:multiLevelType w:val="hybridMultilevel"/>
    <w:tmpl w:val="5866AA52"/>
    <w:lvl w:ilvl="0" w:tplc="E07213A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72393C"/>
    <w:multiLevelType w:val="hybridMultilevel"/>
    <w:tmpl w:val="71F68998"/>
    <w:lvl w:ilvl="0" w:tplc="0E0C5EC2">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8B04A27"/>
    <w:multiLevelType w:val="hybridMultilevel"/>
    <w:tmpl w:val="9FD06BC6"/>
    <w:lvl w:ilvl="0" w:tplc="E07213A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576484"/>
    <w:multiLevelType w:val="hybridMultilevel"/>
    <w:tmpl w:val="4F96C46A"/>
    <w:lvl w:ilvl="0" w:tplc="CDBE70D8">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C37707"/>
    <w:multiLevelType w:val="hybridMultilevel"/>
    <w:tmpl w:val="9B5EDC68"/>
    <w:lvl w:ilvl="0" w:tplc="229650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F17E14"/>
    <w:multiLevelType w:val="hybridMultilevel"/>
    <w:tmpl w:val="BB925D68"/>
    <w:lvl w:ilvl="0" w:tplc="66F07B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B07895"/>
    <w:multiLevelType w:val="hybridMultilevel"/>
    <w:tmpl w:val="13305744"/>
    <w:lvl w:ilvl="0" w:tplc="464C254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2061130542">
    <w:abstractNumId w:val="4"/>
  </w:num>
  <w:num w:numId="2" w16cid:durableId="1169440582">
    <w:abstractNumId w:val="6"/>
  </w:num>
  <w:num w:numId="3" w16cid:durableId="607657678">
    <w:abstractNumId w:val="5"/>
  </w:num>
  <w:num w:numId="4" w16cid:durableId="443038227">
    <w:abstractNumId w:val="7"/>
  </w:num>
  <w:num w:numId="5" w16cid:durableId="844629390">
    <w:abstractNumId w:val="3"/>
  </w:num>
  <w:num w:numId="6" w16cid:durableId="789128421">
    <w:abstractNumId w:val="1"/>
  </w:num>
  <w:num w:numId="7" w16cid:durableId="358511429">
    <w:abstractNumId w:val="2"/>
  </w:num>
  <w:num w:numId="8" w16cid:durableId="27166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4DBD"/>
    <w:rsid w:val="00017139"/>
    <w:rsid w:val="000310EF"/>
    <w:rsid w:val="00040D4F"/>
    <w:rsid w:val="00045445"/>
    <w:rsid w:val="00067D48"/>
    <w:rsid w:val="00084EAE"/>
    <w:rsid w:val="00091CE6"/>
    <w:rsid w:val="00094762"/>
    <w:rsid w:val="000A1BED"/>
    <w:rsid w:val="000B7810"/>
    <w:rsid w:val="000C3365"/>
    <w:rsid w:val="00106EE9"/>
    <w:rsid w:val="0012405A"/>
    <w:rsid w:val="0012493A"/>
    <w:rsid w:val="0015228C"/>
    <w:rsid w:val="00154BA3"/>
    <w:rsid w:val="00157C3F"/>
    <w:rsid w:val="00164A9D"/>
    <w:rsid w:val="00187ED5"/>
    <w:rsid w:val="001973A2"/>
    <w:rsid w:val="001C34BC"/>
    <w:rsid w:val="001C710C"/>
    <w:rsid w:val="001C75F2"/>
    <w:rsid w:val="001D2063"/>
    <w:rsid w:val="001D43E9"/>
    <w:rsid w:val="001E6266"/>
    <w:rsid w:val="00231FBE"/>
    <w:rsid w:val="00232175"/>
    <w:rsid w:val="0024740E"/>
    <w:rsid w:val="002722DD"/>
    <w:rsid w:val="00275E03"/>
    <w:rsid w:val="00295B72"/>
    <w:rsid w:val="002B6398"/>
    <w:rsid w:val="002E31CB"/>
    <w:rsid w:val="002F0EF3"/>
    <w:rsid w:val="00336858"/>
    <w:rsid w:val="00337B53"/>
    <w:rsid w:val="003453CA"/>
    <w:rsid w:val="003522D8"/>
    <w:rsid w:val="003522D9"/>
    <w:rsid w:val="003524BD"/>
    <w:rsid w:val="00396D53"/>
    <w:rsid w:val="003A0364"/>
    <w:rsid w:val="003A2999"/>
    <w:rsid w:val="003A7D26"/>
    <w:rsid w:val="003E6C64"/>
    <w:rsid w:val="0041654D"/>
    <w:rsid w:val="0043078C"/>
    <w:rsid w:val="00435A87"/>
    <w:rsid w:val="00475704"/>
    <w:rsid w:val="00481A93"/>
    <w:rsid w:val="004970F0"/>
    <w:rsid w:val="0049768E"/>
    <w:rsid w:val="004A1077"/>
    <w:rsid w:val="004A27CC"/>
    <w:rsid w:val="004A58C8"/>
    <w:rsid w:val="004B5127"/>
    <w:rsid w:val="004D3FBA"/>
    <w:rsid w:val="004F234D"/>
    <w:rsid w:val="004F4F07"/>
    <w:rsid w:val="004F69B4"/>
    <w:rsid w:val="004F6FAC"/>
    <w:rsid w:val="005053EE"/>
    <w:rsid w:val="00516100"/>
    <w:rsid w:val="00516A8F"/>
    <w:rsid w:val="00524C25"/>
    <w:rsid w:val="005261DB"/>
    <w:rsid w:val="00540261"/>
    <w:rsid w:val="00540E43"/>
    <w:rsid w:val="0054701E"/>
    <w:rsid w:val="005524EC"/>
    <w:rsid w:val="0057256B"/>
    <w:rsid w:val="00592F86"/>
    <w:rsid w:val="005B0D45"/>
    <w:rsid w:val="005B5531"/>
    <w:rsid w:val="005C3A2A"/>
    <w:rsid w:val="005D3E43"/>
    <w:rsid w:val="005E0D8C"/>
    <w:rsid w:val="005E231E"/>
    <w:rsid w:val="005E3FB1"/>
    <w:rsid w:val="005F02C7"/>
    <w:rsid w:val="005F2900"/>
    <w:rsid w:val="005F51CC"/>
    <w:rsid w:val="005F5B1D"/>
    <w:rsid w:val="0064059E"/>
    <w:rsid w:val="00645E00"/>
    <w:rsid w:val="00657009"/>
    <w:rsid w:val="00663CDF"/>
    <w:rsid w:val="006654EE"/>
    <w:rsid w:val="00681C79"/>
    <w:rsid w:val="006B1ADF"/>
    <w:rsid w:val="006E3A7A"/>
    <w:rsid w:val="006F0687"/>
    <w:rsid w:val="006F336A"/>
    <w:rsid w:val="006F77A8"/>
    <w:rsid w:val="00703465"/>
    <w:rsid w:val="0070602A"/>
    <w:rsid w:val="0071615B"/>
    <w:rsid w:val="00736774"/>
    <w:rsid w:val="007610BC"/>
    <w:rsid w:val="00762C17"/>
    <w:rsid w:val="007714AB"/>
    <w:rsid w:val="0077250D"/>
    <w:rsid w:val="007C030F"/>
    <w:rsid w:val="007C136F"/>
    <w:rsid w:val="007D1E76"/>
    <w:rsid w:val="007D2E62"/>
    <w:rsid w:val="007D4484"/>
    <w:rsid w:val="007E38A2"/>
    <w:rsid w:val="007E6CF0"/>
    <w:rsid w:val="007F17C6"/>
    <w:rsid w:val="007F699D"/>
    <w:rsid w:val="00806269"/>
    <w:rsid w:val="00825DD6"/>
    <w:rsid w:val="008549DF"/>
    <w:rsid w:val="0086420E"/>
    <w:rsid w:val="0086459F"/>
    <w:rsid w:val="00874FF9"/>
    <w:rsid w:val="00876CAB"/>
    <w:rsid w:val="008A4D2F"/>
    <w:rsid w:val="008C3BB8"/>
    <w:rsid w:val="008D0444"/>
    <w:rsid w:val="008E076C"/>
    <w:rsid w:val="0092765C"/>
    <w:rsid w:val="00937FA1"/>
    <w:rsid w:val="00944431"/>
    <w:rsid w:val="00953C45"/>
    <w:rsid w:val="00967DDA"/>
    <w:rsid w:val="009736CB"/>
    <w:rsid w:val="009A2AA2"/>
    <w:rsid w:val="009B01E2"/>
    <w:rsid w:val="009B3329"/>
    <w:rsid w:val="009C07B0"/>
    <w:rsid w:val="009C23BB"/>
    <w:rsid w:val="009D7A0E"/>
    <w:rsid w:val="009E40EE"/>
    <w:rsid w:val="00A4610E"/>
    <w:rsid w:val="00A56C82"/>
    <w:rsid w:val="00A6346D"/>
    <w:rsid w:val="00A730E0"/>
    <w:rsid w:val="00A770E9"/>
    <w:rsid w:val="00A8767D"/>
    <w:rsid w:val="00AA2768"/>
    <w:rsid w:val="00AA41E5"/>
    <w:rsid w:val="00AB722B"/>
    <w:rsid w:val="00AE1F6A"/>
    <w:rsid w:val="00AF4375"/>
    <w:rsid w:val="00B073DE"/>
    <w:rsid w:val="00B322E9"/>
    <w:rsid w:val="00B3420C"/>
    <w:rsid w:val="00B3573E"/>
    <w:rsid w:val="00B6368B"/>
    <w:rsid w:val="00B64508"/>
    <w:rsid w:val="00B64FBC"/>
    <w:rsid w:val="00B66B92"/>
    <w:rsid w:val="00B83D44"/>
    <w:rsid w:val="00BA53FE"/>
    <w:rsid w:val="00BC323B"/>
    <w:rsid w:val="00BC5F27"/>
    <w:rsid w:val="00BE02EB"/>
    <w:rsid w:val="00BF0080"/>
    <w:rsid w:val="00C0283B"/>
    <w:rsid w:val="00C054A4"/>
    <w:rsid w:val="00C2498B"/>
    <w:rsid w:val="00C24A94"/>
    <w:rsid w:val="00C4250B"/>
    <w:rsid w:val="00C4625D"/>
    <w:rsid w:val="00C4625F"/>
    <w:rsid w:val="00C54C12"/>
    <w:rsid w:val="00C64931"/>
    <w:rsid w:val="00C93C67"/>
    <w:rsid w:val="00C97E1E"/>
    <w:rsid w:val="00CB41C4"/>
    <w:rsid w:val="00CE4937"/>
    <w:rsid w:val="00CF1316"/>
    <w:rsid w:val="00CF41F1"/>
    <w:rsid w:val="00D13C44"/>
    <w:rsid w:val="00D32331"/>
    <w:rsid w:val="00D36B3A"/>
    <w:rsid w:val="00D40FC2"/>
    <w:rsid w:val="00D5018E"/>
    <w:rsid w:val="00D546B2"/>
    <w:rsid w:val="00D6744E"/>
    <w:rsid w:val="00D861DA"/>
    <w:rsid w:val="00D975B1"/>
    <w:rsid w:val="00DA4AD5"/>
    <w:rsid w:val="00DB3BAF"/>
    <w:rsid w:val="00DD018C"/>
    <w:rsid w:val="00E00323"/>
    <w:rsid w:val="00E11758"/>
    <w:rsid w:val="00E45096"/>
    <w:rsid w:val="00E568D8"/>
    <w:rsid w:val="00E64B04"/>
    <w:rsid w:val="00E74967"/>
    <w:rsid w:val="00E7559F"/>
    <w:rsid w:val="00E85520"/>
    <w:rsid w:val="00E9132F"/>
    <w:rsid w:val="00EA37F5"/>
    <w:rsid w:val="00EA7915"/>
    <w:rsid w:val="00EC146B"/>
    <w:rsid w:val="00EC4E76"/>
    <w:rsid w:val="00ED1E6B"/>
    <w:rsid w:val="00ED3998"/>
    <w:rsid w:val="00ED7AA0"/>
    <w:rsid w:val="00EF3792"/>
    <w:rsid w:val="00F00C49"/>
    <w:rsid w:val="00F067C8"/>
    <w:rsid w:val="00F15BE2"/>
    <w:rsid w:val="00F26847"/>
    <w:rsid w:val="00F3795B"/>
    <w:rsid w:val="00F43AC5"/>
    <w:rsid w:val="00F46719"/>
    <w:rsid w:val="00F54F6F"/>
    <w:rsid w:val="00F6102D"/>
    <w:rsid w:val="00F65A92"/>
    <w:rsid w:val="00F6759B"/>
    <w:rsid w:val="00F72FCE"/>
    <w:rsid w:val="00FA304F"/>
    <w:rsid w:val="00FC1AE8"/>
    <w:rsid w:val="00FF3C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45"/>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s,Cita texto,Footnote,lp1,List Paragraph1,4 Párrafo de lista,Figuras,Dot pt,No Spacing1,List Paragraph Char Char Char,Indicator Text,Numbered Para 1,DH1,Light Grid - Accent 31,TEXTO GENERAL SENTENCIAS,Lista de nivel 1,Bullet 1"/>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5F02C7"/>
    <w:pPr>
      <w:autoSpaceDE w:val="0"/>
      <w:autoSpaceDN w:val="0"/>
      <w:adjustRightInd w:val="0"/>
    </w:pPr>
    <w:rPr>
      <w:rFonts w:ascii="Arial" w:eastAsiaTheme="minorHAnsi" w:hAnsi="Arial" w:cs="Arial"/>
      <w:color w:val="000000"/>
      <w:sz w:val="24"/>
      <w:szCs w:val="24"/>
      <w:lang w:eastAsia="en-US"/>
      <w14:ligatures w14:val="standardContextual"/>
    </w:rPr>
  </w:style>
  <w:style w:type="paragraph" w:styleId="Sinespaciado">
    <w:name w:val="No Spacing"/>
    <w:uiPriority w:val="1"/>
    <w:qFormat/>
    <w:rsid w:val="005F02C7"/>
    <w:rPr>
      <w:sz w:val="22"/>
      <w:szCs w:val="22"/>
      <w:lang w:eastAsia="en-US"/>
    </w:rPr>
  </w:style>
  <w:style w:type="character" w:customStyle="1" w:styleId="PrrafodelistaCar">
    <w:name w:val="Párrafo de lista Car"/>
    <w:aliases w:val="Listas Car,Cita texto Car,Footnote Car,lp1 Car,List Paragraph1 Car,4 Párrafo de lista Car,Figuras Car,Dot pt Car,No Spacing1 Car,List Paragraph Char Char Char Car,Indicator Text Car,Numbered Para 1 Car,DH1 Car,Lista de nivel 1 Car"/>
    <w:link w:val="Prrafodelista"/>
    <w:uiPriority w:val="34"/>
    <w:qFormat/>
    <w:rsid w:val="004B51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82472">
      <w:bodyDiv w:val="1"/>
      <w:marLeft w:val="0"/>
      <w:marRight w:val="0"/>
      <w:marTop w:val="0"/>
      <w:marBottom w:val="0"/>
      <w:divBdr>
        <w:top w:val="none" w:sz="0" w:space="0" w:color="auto"/>
        <w:left w:val="none" w:sz="0" w:space="0" w:color="auto"/>
        <w:bottom w:val="none" w:sz="0" w:space="0" w:color="auto"/>
        <w:right w:val="none" w:sz="0" w:space="0" w:color="auto"/>
      </w:divBdr>
    </w:div>
    <w:div w:id="1002662220">
      <w:bodyDiv w:val="1"/>
      <w:marLeft w:val="0"/>
      <w:marRight w:val="0"/>
      <w:marTop w:val="0"/>
      <w:marBottom w:val="0"/>
      <w:divBdr>
        <w:top w:val="none" w:sz="0" w:space="0" w:color="auto"/>
        <w:left w:val="none" w:sz="0" w:space="0" w:color="auto"/>
        <w:bottom w:val="none" w:sz="0" w:space="0" w:color="auto"/>
        <w:right w:val="none" w:sz="0" w:space="0" w:color="auto"/>
      </w:divBdr>
    </w:div>
    <w:div w:id="1083919455">
      <w:bodyDiv w:val="1"/>
      <w:marLeft w:val="0"/>
      <w:marRight w:val="0"/>
      <w:marTop w:val="0"/>
      <w:marBottom w:val="0"/>
      <w:divBdr>
        <w:top w:val="none" w:sz="0" w:space="0" w:color="auto"/>
        <w:left w:val="none" w:sz="0" w:space="0" w:color="auto"/>
        <w:bottom w:val="none" w:sz="0" w:space="0" w:color="auto"/>
        <w:right w:val="none" w:sz="0" w:space="0" w:color="auto"/>
      </w:divBdr>
    </w:div>
    <w:div w:id="1134446910">
      <w:bodyDiv w:val="1"/>
      <w:marLeft w:val="0"/>
      <w:marRight w:val="0"/>
      <w:marTop w:val="0"/>
      <w:marBottom w:val="0"/>
      <w:divBdr>
        <w:top w:val="none" w:sz="0" w:space="0" w:color="auto"/>
        <w:left w:val="none" w:sz="0" w:space="0" w:color="auto"/>
        <w:bottom w:val="none" w:sz="0" w:space="0" w:color="auto"/>
        <w:right w:val="none" w:sz="0" w:space="0" w:color="auto"/>
      </w:divBdr>
    </w:div>
    <w:div w:id="1338313137">
      <w:bodyDiv w:val="1"/>
      <w:marLeft w:val="0"/>
      <w:marRight w:val="0"/>
      <w:marTop w:val="0"/>
      <w:marBottom w:val="0"/>
      <w:divBdr>
        <w:top w:val="none" w:sz="0" w:space="0" w:color="auto"/>
        <w:left w:val="none" w:sz="0" w:space="0" w:color="auto"/>
        <w:bottom w:val="none" w:sz="0" w:space="0" w:color="auto"/>
        <w:right w:val="none" w:sz="0" w:space="0" w:color="auto"/>
      </w:divBdr>
    </w:div>
    <w:div w:id="20391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3184</Words>
  <Characters>17512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Jesús Casrod</cp:lastModifiedBy>
  <cp:revision>2</cp:revision>
  <cp:lastPrinted>2024-07-24T15:45:00Z</cp:lastPrinted>
  <dcterms:created xsi:type="dcterms:W3CDTF">2025-01-30T10:55:00Z</dcterms:created>
  <dcterms:modified xsi:type="dcterms:W3CDTF">2025-01-30T10:55:00Z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