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80989" w14:textId="77777777" w:rsidR="00D638D1" w:rsidRPr="00B341C7" w:rsidRDefault="00D638D1" w:rsidP="000A63DD">
      <w:pPr>
        <w:ind w:left="9926" w:hanging="9926"/>
        <w:jc w:val="center"/>
        <w:rPr>
          <w:rFonts w:ascii="Arial" w:hAnsi="Arial" w:cs="Arial"/>
          <w:b/>
          <w:sz w:val="28"/>
          <w:szCs w:val="28"/>
        </w:rPr>
      </w:pPr>
      <w:r w:rsidRPr="00B341C7">
        <w:rPr>
          <w:rFonts w:ascii="Arial" w:hAnsi="Arial" w:cs="Arial"/>
          <w:b/>
          <w:sz w:val="28"/>
          <w:szCs w:val="28"/>
        </w:rPr>
        <w:t>NOTAS DE GESTIÓN ADMINISTRATIVA.</w:t>
      </w:r>
    </w:p>
    <w:p w14:paraId="59928D35" w14:textId="7B97AE7A" w:rsidR="00D638D1" w:rsidRPr="00B341C7" w:rsidRDefault="00D638D1">
      <w:pPr>
        <w:jc w:val="both"/>
        <w:rPr>
          <w:rFonts w:ascii="Arial" w:hAnsi="Arial" w:cs="Arial"/>
          <w:b/>
          <w:sz w:val="24"/>
          <w:szCs w:val="24"/>
        </w:rPr>
      </w:pPr>
      <w:r w:rsidRPr="00B341C7">
        <w:rPr>
          <w:rFonts w:ascii="Arial" w:hAnsi="Arial" w:cs="Arial"/>
          <w:b/>
          <w:sz w:val="24"/>
          <w:szCs w:val="24"/>
        </w:rPr>
        <w:t xml:space="preserve">1. </w:t>
      </w:r>
      <w:r w:rsidR="009A71A4">
        <w:rPr>
          <w:rFonts w:ascii="Arial" w:hAnsi="Arial" w:cs="Arial"/>
          <w:b/>
          <w:sz w:val="24"/>
          <w:szCs w:val="24"/>
        </w:rPr>
        <w:t>Autorización e Historia</w:t>
      </w:r>
      <w:r w:rsidRPr="00B341C7">
        <w:rPr>
          <w:rFonts w:ascii="Arial" w:hAnsi="Arial" w:cs="Arial"/>
          <w:b/>
          <w:sz w:val="24"/>
          <w:szCs w:val="24"/>
        </w:rPr>
        <w:t>:</w:t>
      </w:r>
    </w:p>
    <w:p w14:paraId="66400C2F" w14:textId="77777777" w:rsidR="00BB6383" w:rsidRPr="00B341C7" w:rsidRDefault="00BB6383" w:rsidP="00BB6383">
      <w:pPr>
        <w:jc w:val="both"/>
        <w:rPr>
          <w:rFonts w:ascii="Arial" w:hAnsi="Arial" w:cs="Arial"/>
          <w:sz w:val="20"/>
          <w:szCs w:val="20"/>
          <w:lang w:val="es-ES" w:eastAsia="es-ES"/>
        </w:rPr>
      </w:pPr>
      <w:r w:rsidRPr="00B341C7">
        <w:rPr>
          <w:rFonts w:ascii="Arial" w:hAnsi="Arial" w:cs="Arial"/>
          <w:sz w:val="20"/>
          <w:szCs w:val="20"/>
          <w:lang w:val="es-ES" w:eastAsia="es-ES"/>
        </w:rPr>
        <w:t xml:space="preserve">El 8 de mayo de 1992, mediante el Decreto Gubernativo número 10, se crea un organismo descentralizado con personalidad jurídica y patrimonio propio denominado “Coordinadora de Fomento al Comercio Exterior del Estado de Guanajuato, COFOCE”. </w:t>
      </w:r>
    </w:p>
    <w:p w14:paraId="4220506C" w14:textId="77777777" w:rsidR="00BB6383" w:rsidRPr="00B341C7" w:rsidRDefault="00BB6383" w:rsidP="00BB6383">
      <w:pPr>
        <w:jc w:val="both"/>
        <w:rPr>
          <w:rFonts w:ascii="Arial" w:hAnsi="Arial" w:cs="Arial"/>
          <w:sz w:val="20"/>
          <w:szCs w:val="20"/>
          <w:lang w:val="es-ES" w:eastAsia="es-ES"/>
        </w:rPr>
      </w:pPr>
      <w:r w:rsidRPr="00B341C7">
        <w:rPr>
          <w:rFonts w:ascii="Arial" w:hAnsi="Arial" w:cs="Arial"/>
          <w:sz w:val="20"/>
          <w:szCs w:val="20"/>
          <w:lang w:val="es-ES" w:eastAsia="es-ES"/>
        </w:rPr>
        <w:t xml:space="preserve">El objeto fue el establecimiento de los mecanismos de coordinación entre el Gobierno del Estado y los sectores productivos, para con ello propiciar las acciones estratégicas que impulsaran el progreso del Estado de Guanajuato, identificando sus características comparativas y mediante el desarrollo de características competitivas ante la apertura de la economía nacional. </w:t>
      </w:r>
    </w:p>
    <w:p w14:paraId="6CBA27E8" w14:textId="77777777" w:rsidR="00BB6383" w:rsidRPr="00B341C7" w:rsidRDefault="00BB6383" w:rsidP="00BB6383">
      <w:pPr>
        <w:jc w:val="both"/>
        <w:rPr>
          <w:rFonts w:ascii="Arial" w:hAnsi="Arial" w:cs="Arial"/>
          <w:sz w:val="20"/>
          <w:szCs w:val="20"/>
          <w:lang w:val="es-ES" w:eastAsia="es-ES"/>
        </w:rPr>
      </w:pPr>
      <w:r w:rsidRPr="00B341C7">
        <w:rPr>
          <w:rFonts w:ascii="Arial" w:hAnsi="Arial" w:cs="Arial"/>
          <w:sz w:val="20"/>
          <w:szCs w:val="20"/>
          <w:lang w:val="es-ES" w:eastAsia="es-ES"/>
        </w:rPr>
        <w:t xml:space="preserve">COFOCE surgió como respuesta a la demanda de los sectores productivos para participar activamente en la planeación y ejecución de los programas de desarrollo económico del Estado, y como un foro para discutir la problemática particular con los diferentes sectores de la economía guanajuatense con motivo de la profundización de la apertura comercial en el país y en su oportunidad, hacer los planteamientos necesarios ante las autoridades correspondientes. </w:t>
      </w:r>
    </w:p>
    <w:p w14:paraId="3C99E5F8" w14:textId="77777777" w:rsidR="00BB6383" w:rsidRPr="00B341C7" w:rsidRDefault="00BB6383" w:rsidP="00BB6383">
      <w:pPr>
        <w:jc w:val="both"/>
        <w:rPr>
          <w:rFonts w:ascii="Arial" w:hAnsi="Arial" w:cs="Arial"/>
          <w:sz w:val="20"/>
          <w:szCs w:val="20"/>
          <w:lang w:val="es-ES" w:eastAsia="es-ES"/>
        </w:rPr>
      </w:pPr>
      <w:r w:rsidRPr="00B341C7">
        <w:rPr>
          <w:rFonts w:ascii="Arial" w:hAnsi="Arial" w:cs="Arial"/>
          <w:sz w:val="20"/>
          <w:szCs w:val="20"/>
          <w:lang w:val="es-ES" w:eastAsia="es-ES"/>
        </w:rPr>
        <w:t>El objetivo era de igual forma, contar con una coordinación especializada, un interlocutor calificado que pudiera identificar los sectores productivos de la entidad en lo relacionado al comercio exterior y, bajo una perspectiva visionaria preparar a la Entidad para la apertura económica que se consolidaría en 1992 con la firma del Tratado de Libre Comercio de América del Norte (TLCAN), el cual entraría en vigor el 1 de enero de 1994.</w:t>
      </w:r>
    </w:p>
    <w:p w14:paraId="77182A24" w14:textId="77777777" w:rsidR="00BB6383" w:rsidRPr="00B341C7" w:rsidRDefault="00BB6383" w:rsidP="00BB6383">
      <w:pPr>
        <w:jc w:val="both"/>
        <w:rPr>
          <w:rFonts w:ascii="Arial" w:hAnsi="Arial" w:cs="Arial"/>
          <w:sz w:val="20"/>
          <w:szCs w:val="20"/>
          <w:lang w:val="es-ES" w:eastAsia="es-ES"/>
        </w:rPr>
      </w:pPr>
      <w:r w:rsidRPr="00B341C7">
        <w:rPr>
          <w:rFonts w:ascii="Arial" w:hAnsi="Arial" w:cs="Arial"/>
          <w:sz w:val="20"/>
          <w:szCs w:val="20"/>
          <w:lang w:val="es-ES" w:eastAsia="es-ES"/>
        </w:rPr>
        <w:t>Entre las principales funciones con las que fue concebido podemos mencionar las</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siguientes:</w:t>
      </w:r>
    </w:p>
    <w:p w14:paraId="7515991E" w14:textId="2127F956" w:rsidR="00BB6383" w:rsidRPr="00B341C7" w:rsidRDefault="00BB6383" w:rsidP="00A95ADF">
      <w:pPr>
        <w:numPr>
          <w:ilvl w:val="0"/>
          <w:numId w:val="4"/>
        </w:numPr>
        <w:jc w:val="both"/>
        <w:rPr>
          <w:rFonts w:ascii="Arial" w:hAnsi="Arial" w:cs="Arial"/>
          <w:sz w:val="20"/>
          <w:szCs w:val="20"/>
          <w:lang w:val="es-ES" w:eastAsia="es-ES"/>
        </w:rPr>
      </w:pPr>
      <w:r w:rsidRPr="00B341C7">
        <w:rPr>
          <w:rFonts w:ascii="Arial" w:hAnsi="Arial" w:cs="Arial"/>
          <w:sz w:val="20"/>
          <w:szCs w:val="20"/>
          <w:lang w:val="es-ES" w:eastAsia="es-ES"/>
        </w:rPr>
        <w:t>Crear un acervo de información y un banco de datos con los</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 xml:space="preserve">documentos más importantes </w:t>
      </w:r>
      <w:r w:rsidR="007C2BA9" w:rsidRPr="00B341C7">
        <w:rPr>
          <w:rFonts w:ascii="Arial" w:hAnsi="Arial" w:cs="Arial"/>
          <w:sz w:val="20"/>
          <w:szCs w:val="20"/>
          <w:lang w:val="es-ES" w:eastAsia="es-ES"/>
        </w:rPr>
        <w:t>con relación al</w:t>
      </w:r>
      <w:r w:rsidRPr="00B341C7">
        <w:rPr>
          <w:rFonts w:ascii="Arial" w:hAnsi="Arial" w:cs="Arial"/>
          <w:sz w:val="20"/>
          <w:szCs w:val="20"/>
          <w:lang w:val="es-ES" w:eastAsia="es-ES"/>
        </w:rPr>
        <w:t xml:space="preserve"> comercio exterior en</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general y del Tratado de Libre Comercio en particular.</w:t>
      </w:r>
    </w:p>
    <w:p w14:paraId="589FFF6B" w14:textId="77777777" w:rsidR="00BB6383" w:rsidRPr="00B341C7" w:rsidRDefault="00BB6383" w:rsidP="00A95ADF">
      <w:pPr>
        <w:numPr>
          <w:ilvl w:val="0"/>
          <w:numId w:val="4"/>
        </w:numPr>
        <w:jc w:val="both"/>
        <w:rPr>
          <w:rFonts w:ascii="Arial" w:hAnsi="Arial" w:cs="Arial"/>
          <w:sz w:val="20"/>
          <w:szCs w:val="20"/>
          <w:lang w:val="es-ES" w:eastAsia="es-ES"/>
        </w:rPr>
      </w:pPr>
      <w:r w:rsidRPr="00B341C7">
        <w:rPr>
          <w:rFonts w:ascii="Arial" w:hAnsi="Arial" w:cs="Arial"/>
          <w:sz w:val="20"/>
          <w:szCs w:val="20"/>
          <w:lang w:val="es-ES" w:eastAsia="es-ES"/>
        </w:rPr>
        <w:t>Analizar y difundir entre los diferentes sectores económicos los</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 xml:space="preserve">avances con las negociaciones del Tratado de Libre </w:t>
      </w:r>
      <w:r w:rsidR="001B25CD" w:rsidRPr="00B341C7">
        <w:rPr>
          <w:rFonts w:ascii="Arial" w:hAnsi="Arial" w:cs="Arial"/>
          <w:sz w:val="20"/>
          <w:szCs w:val="20"/>
          <w:lang w:val="es-ES" w:eastAsia="es-ES"/>
        </w:rPr>
        <w:t>Comercio (</w:t>
      </w:r>
      <w:r w:rsidRPr="00B341C7">
        <w:rPr>
          <w:rFonts w:ascii="Arial" w:hAnsi="Arial" w:cs="Arial"/>
          <w:sz w:val="20"/>
          <w:szCs w:val="20"/>
          <w:lang w:val="es-ES" w:eastAsia="es-ES"/>
        </w:rPr>
        <w:t>TLCAN) y sus posibles efectos e implicaciones en la economía del</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Estado una vez concluido.</w:t>
      </w:r>
    </w:p>
    <w:p w14:paraId="0D169EE4" w14:textId="77777777" w:rsidR="00BB6383" w:rsidRPr="00B341C7" w:rsidRDefault="00BB6383" w:rsidP="00A95ADF">
      <w:pPr>
        <w:numPr>
          <w:ilvl w:val="0"/>
          <w:numId w:val="4"/>
        </w:numPr>
        <w:jc w:val="both"/>
        <w:rPr>
          <w:rFonts w:ascii="Arial" w:hAnsi="Arial" w:cs="Arial"/>
          <w:sz w:val="20"/>
          <w:szCs w:val="20"/>
          <w:lang w:val="es-ES" w:eastAsia="es-ES"/>
        </w:rPr>
      </w:pPr>
      <w:r w:rsidRPr="00B341C7">
        <w:rPr>
          <w:rFonts w:ascii="Arial" w:hAnsi="Arial" w:cs="Arial"/>
          <w:sz w:val="20"/>
          <w:szCs w:val="20"/>
          <w:lang w:val="es-ES" w:eastAsia="es-ES"/>
        </w:rPr>
        <w:t>Asesorar a los diferentes sectores sobre la aplicación de leyes y</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reglamentos en materia de comercio exterior,</w:t>
      </w:r>
    </w:p>
    <w:p w14:paraId="37DA3D56" w14:textId="77777777" w:rsidR="00BB6383" w:rsidRPr="00B341C7" w:rsidRDefault="00BB6383" w:rsidP="00A95ADF">
      <w:pPr>
        <w:numPr>
          <w:ilvl w:val="0"/>
          <w:numId w:val="4"/>
        </w:numPr>
        <w:jc w:val="both"/>
        <w:rPr>
          <w:rFonts w:ascii="Arial" w:hAnsi="Arial" w:cs="Arial"/>
          <w:sz w:val="20"/>
          <w:szCs w:val="20"/>
          <w:lang w:val="es-ES" w:eastAsia="es-ES"/>
        </w:rPr>
      </w:pPr>
      <w:r w:rsidRPr="00B341C7">
        <w:rPr>
          <w:rFonts w:ascii="Arial" w:hAnsi="Arial" w:cs="Arial"/>
          <w:sz w:val="20"/>
          <w:szCs w:val="20"/>
          <w:lang w:val="es-ES" w:eastAsia="es-ES"/>
        </w:rPr>
        <w:t>Servir como medio de enlace directo entre los sectores productivos de</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Guanajuato y los Organismos federales y nacionales del sector público</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y privado en lo que se refiera a la problemática del Comercio Exterior.</w:t>
      </w:r>
    </w:p>
    <w:p w14:paraId="4A6FE209" w14:textId="77777777" w:rsidR="00BB6383" w:rsidRPr="00B341C7" w:rsidRDefault="00BB6383" w:rsidP="00A95ADF">
      <w:pPr>
        <w:numPr>
          <w:ilvl w:val="0"/>
          <w:numId w:val="4"/>
        </w:numPr>
        <w:jc w:val="both"/>
        <w:rPr>
          <w:rFonts w:ascii="Arial" w:hAnsi="Arial" w:cs="Arial"/>
          <w:sz w:val="20"/>
          <w:szCs w:val="20"/>
          <w:lang w:val="es-ES" w:eastAsia="es-ES"/>
        </w:rPr>
      </w:pPr>
      <w:r w:rsidRPr="00B341C7">
        <w:rPr>
          <w:rFonts w:ascii="Arial" w:hAnsi="Arial" w:cs="Arial"/>
          <w:sz w:val="20"/>
          <w:szCs w:val="20"/>
          <w:lang w:val="es-ES" w:eastAsia="es-ES"/>
        </w:rPr>
        <w:t>Actuar como un organismo promotor de inversiones tanto nacionales</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como extranjeras en aquellos sectores y áreas geográficas de</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interés</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para la economía del Estado.</w:t>
      </w:r>
    </w:p>
    <w:p w14:paraId="413F4C49" w14:textId="77777777" w:rsidR="00BB6383" w:rsidRPr="00B341C7" w:rsidRDefault="00BB6383" w:rsidP="00A95ADF">
      <w:pPr>
        <w:numPr>
          <w:ilvl w:val="0"/>
          <w:numId w:val="4"/>
        </w:numPr>
        <w:jc w:val="both"/>
        <w:rPr>
          <w:rFonts w:ascii="Arial" w:hAnsi="Arial" w:cs="Arial"/>
          <w:sz w:val="20"/>
          <w:szCs w:val="20"/>
          <w:lang w:val="es-ES" w:eastAsia="es-ES"/>
        </w:rPr>
      </w:pPr>
      <w:r w:rsidRPr="00B341C7">
        <w:rPr>
          <w:rFonts w:ascii="Arial" w:hAnsi="Arial" w:cs="Arial"/>
          <w:sz w:val="20"/>
          <w:szCs w:val="20"/>
          <w:lang w:val="es-ES" w:eastAsia="es-ES"/>
        </w:rPr>
        <w:lastRenderedPageBreak/>
        <w:t>Detectar en forma permanente nichos de mercado para fomentarla exportación de productos del Estado y apoyar la elaboración de</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material promocional y,</w:t>
      </w:r>
    </w:p>
    <w:p w14:paraId="345E5E44" w14:textId="77777777" w:rsidR="00BB6383" w:rsidRDefault="00BB6383" w:rsidP="00A95ADF">
      <w:pPr>
        <w:numPr>
          <w:ilvl w:val="0"/>
          <w:numId w:val="4"/>
        </w:numPr>
        <w:jc w:val="both"/>
        <w:rPr>
          <w:rFonts w:ascii="Arial" w:hAnsi="Arial" w:cs="Arial"/>
          <w:sz w:val="20"/>
          <w:szCs w:val="20"/>
          <w:lang w:val="es-ES" w:eastAsia="es-ES"/>
        </w:rPr>
      </w:pPr>
      <w:r w:rsidRPr="00B341C7">
        <w:rPr>
          <w:rFonts w:ascii="Arial" w:hAnsi="Arial" w:cs="Arial"/>
          <w:sz w:val="20"/>
          <w:szCs w:val="20"/>
          <w:lang w:val="es-ES" w:eastAsia="es-ES"/>
        </w:rPr>
        <w:t>Realizar una vigilancia permanente del comportamiento de las</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importaciones de productos que puedan causar daño a los sectores</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productivos de Guanajuato, poniendo especial énfasis en prácticas</w:t>
      </w:r>
      <w:r w:rsidR="00E4292E" w:rsidRPr="00B341C7">
        <w:rPr>
          <w:rFonts w:ascii="Arial" w:hAnsi="Arial" w:cs="Arial"/>
          <w:sz w:val="20"/>
          <w:szCs w:val="20"/>
          <w:lang w:val="es-ES" w:eastAsia="es-ES"/>
        </w:rPr>
        <w:t xml:space="preserve"> </w:t>
      </w:r>
      <w:r w:rsidRPr="00B341C7">
        <w:rPr>
          <w:rFonts w:ascii="Arial" w:hAnsi="Arial" w:cs="Arial"/>
          <w:sz w:val="20"/>
          <w:szCs w:val="20"/>
          <w:lang w:val="es-ES" w:eastAsia="es-ES"/>
        </w:rPr>
        <w:t>desleales del Comercio Exterior.</w:t>
      </w:r>
    </w:p>
    <w:p w14:paraId="1CE764BD" w14:textId="77777777" w:rsidR="009A71A4" w:rsidRPr="009A71A4" w:rsidRDefault="009A71A4" w:rsidP="009A71A4">
      <w:pPr>
        <w:pStyle w:val="Prrafodelista"/>
        <w:numPr>
          <w:ilvl w:val="0"/>
          <w:numId w:val="4"/>
        </w:numPr>
        <w:jc w:val="both"/>
        <w:rPr>
          <w:rFonts w:ascii="Arial" w:hAnsi="Arial" w:cs="Arial"/>
          <w:b/>
          <w:sz w:val="20"/>
          <w:szCs w:val="20"/>
          <w:u w:val="single"/>
        </w:rPr>
      </w:pPr>
      <w:r w:rsidRPr="009A71A4">
        <w:rPr>
          <w:rFonts w:ascii="Arial" w:hAnsi="Arial" w:cs="Arial"/>
          <w:b/>
          <w:sz w:val="20"/>
          <w:szCs w:val="20"/>
          <w:u w:val="single"/>
        </w:rPr>
        <w:t>a) Fecha de creación del ente.</w:t>
      </w:r>
    </w:p>
    <w:p w14:paraId="741075A2"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 xml:space="preserve">COFOCE es un organismo descentralizado creado en 1992 a iniciativa de un grupo de empresarios que fue respaldada por el gobierno. </w:t>
      </w:r>
    </w:p>
    <w:p w14:paraId="367DB2ED"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Desde su creación, COFOCE cumple el objetivo estratégico de identificar, desarrollar y promover la oferta exportable con competitividad global, para lo cual ha establecido tres estrategias relacionadas entre sí, que en armonía apoyan al empresario principalmente de las Medianas y Pequeñas Empresas del Estado de Guanajuato (</w:t>
      </w:r>
      <w:proofErr w:type="spellStart"/>
      <w:r w:rsidRPr="009A71A4">
        <w:rPr>
          <w:rFonts w:ascii="Arial" w:hAnsi="Arial" w:cs="Arial"/>
          <w:sz w:val="20"/>
          <w:szCs w:val="20"/>
          <w:lang w:val="es-ES" w:eastAsia="es-ES"/>
        </w:rPr>
        <w:t>MyPMES</w:t>
      </w:r>
      <w:proofErr w:type="spellEnd"/>
      <w:r w:rsidRPr="009A71A4">
        <w:rPr>
          <w:rFonts w:ascii="Arial" w:hAnsi="Arial" w:cs="Arial"/>
          <w:sz w:val="20"/>
          <w:szCs w:val="20"/>
          <w:lang w:val="es-ES" w:eastAsia="es-ES"/>
        </w:rPr>
        <w:t>).</w:t>
      </w:r>
    </w:p>
    <w:p w14:paraId="0F45F74E"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p>
    <w:p w14:paraId="0A2D3093" w14:textId="77777777" w:rsidR="009A71A4" w:rsidRPr="009A71A4" w:rsidRDefault="009A71A4" w:rsidP="009A71A4">
      <w:pPr>
        <w:pStyle w:val="Prrafodelista"/>
        <w:numPr>
          <w:ilvl w:val="0"/>
          <w:numId w:val="4"/>
        </w:numPr>
        <w:jc w:val="both"/>
        <w:rPr>
          <w:rFonts w:ascii="Arial" w:hAnsi="Arial" w:cs="Arial"/>
          <w:b/>
          <w:sz w:val="20"/>
          <w:szCs w:val="20"/>
          <w:u w:val="single"/>
        </w:rPr>
      </w:pPr>
      <w:r w:rsidRPr="009A71A4">
        <w:rPr>
          <w:rFonts w:ascii="Arial" w:hAnsi="Arial" w:cs="Arial"/>
          <w:b/>
          <w:sz w:val="20"/>
          <w:szCs w:val="20"/>
          <w:u w:val="single"/>
        </w:rPr>
        <w:t>b) Principales cambios en su estructura.</w:t>
      </w:r>
    </w:p>
    <w:p w14:paraId="02AD2497"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Esta entidad de la Administración Pública Descentralizada reforma su estructura organizacional con el objeto de ampliar los alcances de sus servicios y productos, fortaleciendo una cultura de eficiencia y calidad internacional en todas las áreas del comercio exterior que atiende, además de incorporar mejoras en sus esquemas de suficiencia presupuestal, integrando como parte de su patrimonio los ingresos propios generados por la prestación de sus servicios y el desarrollo de proyectos de internacionalización empresarial, así como del aprovechamiento de sus derechos de propiedad intelectual.</w:t>
      </w:r>
    </w:p>
    <w:p w14:paraId="47615646"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La globalización, como parte del actual escenario internacional, exige por su dinamismo un conocimiento de las consecuencias y desafíos a los que se enfrentan los estados, las empresas, las organizaciones e individuos.</w:t>
      </w:r>
    </w:p>
    <w:p w14:paraId="7C3795B8"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Ello significa una nueva orientación con miras a lograr una efectiva competencia internacional. Cada vez más el empresario negocia en mercados complejos que exigen un alto grado de profesionalización, especialmente para comprender la interacción entre las normas y legislaciones nacionales e internacionales; lo que trae como consecuencia, la gran necesidad de información clara, minimización de riesgos, certidumbre y transparencia en todo tipo de transacciones.</w:t>
      </w:r>
    </w:p>
    <w:p w14:paraId="7B779FF6"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p>
    <w:p w14:paraId="3740A4C4" w14:textId="77777777" w:rsidR="009A71A4" w:rsidRPr="009A71A4" w:rsidRDefault="009A71A4" w:rsidP="009A71A4">
      <w:pPr>
        <w:pStyle w:val="Prrafodelista"/>
        <w:numPr>
          <w:ilvl w:val="0"/>
          <w:numId w:val="4"/>
        </w:numPr>
        <w:jc w:val="both"/>
        <w:rPr>
          <w:rFonts w:ascii="Arial" w:hAnsi="Arial" w:cs="Arial"/>
          <w:b/>
          <w:sz w:val="20"/>
          <w:szCs w:val="20"/>
          <w:u w:val="single"/>
        </w:rPr>
      </w:pPr>
      <w:r w:rsidRPr="009A71A4">
        <w:rPr>
          <w:rFonts w:ascii="Arial" w:hAnsi="Arial" w:cs="Arial"/>
          <w:b/>
          <w:sz w:val="20"/>
          <w:szCs w:val="20"/>
          <w:u w:val="single"/>
        </w:rPr>
        <w:t>c) Historia</w:t>
      </w:r>
    </w:p>
    <w:p w14:paraId="45FDCB8B" w14:textId="77777777" w:rsidR="009A71A4" w:rsidRPr="009A71A4" w:rsidRDefault="009A71A4" w:rsidP="009A71A4">
      <w:pPr>
        <w:pStyle w:val="Prrafodelista"/>
        <w:numPr>
          <w:ilvl w:val="0"/>
          <w:numId w:val="4"/>
        </w:numPr>
        <w:autoSpaceDE w:val="0"/>
        <w:autoSpaceDN w:val="0"/>
        <w:adjustRightInd w:val="0"/>
        <w:spacing w:after="0" w:line="240" w:lineRule="auto"/>
        <w:jc w:val="both"/>
        <w:rPr>
          <w:rFonts w:ascii="Arial" w:hAnsi="Arial" w:cs="Arial"/>
          <w:sz w:val="20"/>
          <w:szCs w:val="20"/>
          <w:lang w:val="es-ES" w:eastAsia="es-ES"/>
        </w:rPr>
      </w:pPr>
    </w:p>
    <w:p w14:paraId="34767341"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El 8 de mayo de 1992, mediante el Decreto Gubernativo número 10, se crea el organismo.</w:t>
      </w:r>
    </w:p>
    <w:p w14:paraId="3F3063B3"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 xml:space="preserve">El 14 de julio de 2006 con el Decreto Gubernativo número 272, COFOCE reforma su estructura organizacional con el objeto de ampliar los alcances de sus servicios y productos, fortaleciendo una cultura de eficiencia y calidad internacional en todas las áreas del comercio exterior que atiende. En la misma fecha, mediante el Decreto Gubernativo número 273 y con el objeto de atender de manera directa las necesidades de los sectores económicos en las regiones del Estado, COFOCE decide trasladar sus direcciones de promoción sectorial a los municipios donde tenía </w:t>
      </w:r>
      <w:r w:rsidRPr="009A71A4">
        <w:rPr>
          <w:rFonts w:ascii="Arial" w:hAnsi="Arial" w:cs="Arial"/>
          <w:sz w:val="20"/>
          <w:szCs w:val="20"/>
          <w:lang w:val="es-ES" w:eastAsia="es-ES"/>
        </w:rPr>
        <w:lastRenderedPageBreak/>
        <w:t>instalaciones. Adicionalmente, las oficinas en el extranjero se modifican para consolidar una red de representaciones comerciales, con la intención de aumentar sus territorios de influencia y disminuir costos y riesgos de operación.</w:t>
      </w:r>
    </w:p>
    <w:p w14:paraId="3E6D90C3"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El 8 de mayo de 2009 mediante el Decreto Gubernativo número 107, se realiza una modificación a COFOCE con el objeto de ampliar los alcances de sus servicios e incorporar mejoras en sus esquemas de suficiencia presupuestal, integrando como parte de su patrimonio los ingresos propios generados por los dividendos de las empresas en las que participe y los productos financieros de los recursos económicos que perciba.</w:t>
      </w:r>
    </w:p>
    <w:p w14:paraId="0C574E4D"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En el Decreto Gubernativo número 139 del 11 de junio de 2010, COFOCE quedó reorganizado en 5 áreas nuevas: Captación de Clientes; Formación y Aceleración de Empresas; Promoción para la Exportación; Servicios de Apoyo al Comercio Exterior e Inteligencia Sectorial.</w:t>
      </w:r>
    </w:p>
    <w:p w14:paraId="0C63A210" w14:textId="12374049" w:rsidR="009A71A4" w:rsidRPr="009A71A4" w:rsidRDefault="009A71A4" w:rsidP="009A71A4">
      <w:pPr>
        <w:pStyle w:val="Prrafodelista"/>
        <w:numPr>
          <w:ilvl w:val="0"/>
          <w:numId w:val="4"/>
        </w:numPr>
        <w:jc w:val="both"/>
        <w:rPr>
          <w:rFonts w:ascii="Arial" w:hAnsi="Arial" w:cs="Arial"/>
          <w:b/>
          <w:sz w:val="20"/>
          <w:szCs w:val="20"/>
          <w:lang w:val="es-ES" w:eastAsia="es-ES"/>
        </w:rPr>
      </w:pPr>
      <w:r w:rsidRPr="009A71A4">
        <w:rPr>
          <w:rFonts w:ascii="Arial" w:hAnsi="Arial" w:cs="Arial"/>
          <w:b/>
          <w:sz w:val="20"/>
          <w:szCs w:val="20"/>
          <w:lang w:val="es-ES" w:eastAsia="es-ES"/>
        </w:rPr>
        <w:t xml:space="preserve">Ahora bien, una breve reseña institucional que ha marcado a este organismo desde su </w:t>
      </w:r>
      <w:r w:rsidR="007C2BA9" w:rsidRPr="009A71A4">
        <w:rPr>
          <w:rFonts w:ascii="Arial" w:hAnsi="Arial" w:cs="Arial"/>
          <w:b/>
          <w:sz w:val="20"/>
          <w:szCs w:val="20"/>
          <w:lang w:val="es-ES" w:eastAsia="es-ES"/>
        </w:rPr>
        <w:t>creación</w:t>
      </w:r>
      <w:r w:rsidRPr="009A71A4">
        <w:rPr>
          <w:rFonts w:ascii="Arial" w:hAnsi="Arial" w:cs="Arial"/>
          <w:b/>
          <w:sz w:val="20"/>
          <w:szCs w:val="20"/>
          <w:lang w:val="es-ES" w:eastAsia="es-ES"/>
        </w:rPr>
        <w:t xml:space="preserve"> sería la siguiente: </w:t>
      </w:r>
    </w:p>
    <w:p w14:paraId="654CFB3B"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1992 COFOCE</w:t>
      </w:r>
      <w:r w:rsidRPr="009A71A4">
        <w:rPr>
          <w:rFonts w:ascii="Arial" w:hAnsi="Arial" w:cs="Arial"/>
          <w:sz w:val="20"/>
          <w:szCs w:val="20"/>
          <w:lang w:val="es-ES" w:eastAsia="es-ES"/>
        </w:rPr>
        <w:t xml:space="preserve"> Comienza la Historia: Se inician operaciones con una oficina en León, Gto., prestando servicios principalmente de capacitación e información especializada en comercio internacional.</w:t>
      </w:r>
    </w:p>
    <w:p w14:paraId="554EE1D8"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1993 COFOCE</w:t>
      </w:r>
      <w:r w:rsidRPr="009A71A4">
        <w:rPr>
          <w:rFonts w:ascii="Arial" w:hAnsi="Arial" w:cs="Arial"/>
          <w:sz w:val="20"/>
          <w:szCs w:val="20"/>
          <w:lang w:val="es-ES" w:eastAsia="es-ES"/>
        </w:rPr>
        <w:t xml:space="preserve"> le apuesta a la promoción internacional. Se amplía la gama de servicios con un enfoque prioritario de llevar la oferta exportable de Guanajuato al mundo. </w:t>
      </w:r>
    </w:p>
    <w:p w14:paraId="4E3B0C63"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1994 COFOCE</w:t>
      </w:r>
      <w:r w:rsidRPr="009A71A4">
        <w:rPr>
          <w:rFonts w:ascii="Arial" w:hAnsi="Arial" w:cs="Arial"/>
          <w:sz w:val="20"/>
          <w:szCs w:val="20"/>
          <w:lang w:val="es-ES" w:eastAsia="es-ES"/>
        </w:rPr>
        <w:t xml:space="preserve"> se acerca a las empresas. Apertura de la oficina de Moroleón-Uriangato para promover el acercamiento con los sectores productivos del Estado y ampliar sus posibilidades de internacionalización.</w:t>
      </w:r>
    </w:p>
    <w:p w14:paraId="4A57018A"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1995 COFOCE</w:t>
      </w:r>
      <w:r w:rsidRPr="009A71A4">
        <w:rPr>
          <w:rFonts w:ascii="Arial" w:hAnsi="Arial" w:cs="Arial"/>
          <w:sz w:val="20"/>
          <w:szCs w:val="20"/>
          <w:lang w:val="es-ES" w:eastAsia="es-ES"/>
        </w:rPr>
        <w:t xml:space="preserve"> testifica el crecimiento de la oferta exportable: El padrón de empresas exportadoras crece de150 en </w:t>
      </w:r>
      <w:smartTag w:uri="urn:schemas-microsoft-com:office:smarttags" w:element="metricconverter">
        <w:smartTagPr>
          <w:attr w:name="ProductID" w:val="1992, a"/>
        </w:smartTagPr>
        <w:r w:rsidRPr="009A71A4">
          <w:rPr>
            <w:rFonts w:ascii="Arial" w:hAnsi="Arial" w:cs="Arial"/>
            <w:sz w:val="20"/>
            <w:szCs w:val="20"/>
            <w:lang w:val="es-ES" w:eastAsia="es-ES"/>
          </w:rPr>
          <w:t>1992, a</w:t>
        </w:r>
      </w:smartTag>
      <w:r w:rsidRPr="009A71A4">
        <w:rPr>
          <w:rFonts w:ascii="Arial" w:hAnsi="Arial" w:cs="Arial"/>
          <w:sz w:val="20"/>
          <w:szCs w:val="20"/>
          <w:lang w:val="es-ES" w:eastAsia="es-ES"/>
        </w:rPr>
        <w:t xml:space="preserve"> más de 400 en </w:t>
      </w:r>
      <w:smartTag w:uri="urn:schemas-microsoft-com:office:smarttags" w:element="metricconverter">
        <w:smartTagPr>
          <w:attr w:name="ProductID" w:val="1995. A"/>
        </w:smartTagPr>
        <w:r w:rsidRPr="009A71A4">
          <w:rPr>
            <w:rFonts w:ascii="Arial" w:hAnsi="Arial" w:cs="Arial"/>
            <w:sz w:val="20"/>
            <w:szCs w:val="20"/>
            <w:lang w:val="es-ES" w:eastAsia="es-ES"/>
          </w:rPr>
          <w:t xml:space="preserve">1995. Actualmente </w:t>
        </w:r>
      </w:smartTag>
      <w:r w:rsidRPr="009A71A4">
        <w:rPr>
          <w:rFonts w:ascii="Arial" w:hAnsi="Arial" w:cs="Arial"/>
          <w:sz w:val="20"/>
          <w:szCs w:val="20"/>
          <w:lang w:val="es-ES" w:eastAsia="es-ES"/>
        </w:rPr>
        <w:t>las empresas exportadoras suman más de 1,000 gracias a la alianza entre empresarios y gobierno por ampliar sus horizontes de negocios al comercio internacional.</w:t>
      </w:r>
    </w:p>
    <w:p w14:paraId="06E2E13B"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1996 COFOCE</w:t>
      </w:r>
      <w:r w:rsidRPr="009A71A4">
        <w:rPr>
          <w:rFonts w:ascii="Arial" w:hAnsi="Arial" w:cs="Arial"/>
          <w:sz w:val="20"/>
          <w:szCs w:val="20"/>
          <w:lang w:val="es-ES" w:eastAsia="es-ES"/>
        </w:rPr>
        <w:t xml:space="preserve"> en el mundo: Apertura de la primera oficina internacional en Nueva York para atender principalmente los sectores </w:t>
      </w:r>
      <w:proofErr w:type="spellStart"/>
      <w:r w:rsidRPr="009A71A4">
        <w:rPr>
          <w:rFonts w:ascii="Arial" w:hAnsi="Arial" w:cs="Arial"/>
          <w:sz w:val="20"/>
          <w:szCs w:val="20"/>
          <w:lang w:val="es-ES" w:eastAsia="es-ES"/>
        </w:rPr>
        <w:t>Agroalimentos</w:t>
      </w:r>
      <w:proofErr w:type="spellEnd"/>
      <w:r w:rsidRPr="009A71A4">
        <w:rPr>
          <w:rFonts w:ascii="Arial" w:hAnsi="Arial" w:cs="Arial"/>
          <w:sz w:val="20"/>
          <w:szCs w:val="20"/>
          <w:lang w:val="es-ES" w:eastAsia="es-ES"/>
        </w:rPr>
        <w:t>, Textil y Confección.</w:t>
      </w:r>
    </w:p>
    <w:p w14:paraId="48E73C98" w14:textId="6F6EF03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1997 COFOCE</w:t>
      </w:r>
      <w:r w:rsidRPr="009A71A4">
        <w:rPr>
          <w:rFonts w:ascii="Arial" w:hAnsi="Arial" w:cs="Arial"/>
          <w:sz w:val="20"/>
          <w:szCs w:val="20"/>
          <w:lang w:val="es-ES" w:eastAsia="es-ES"/>
        </w:rPr>
        <w:t xml:space="preserve"> abre </w:t>
      </w:r>
      <w:r w:rsidR="007C2BA9" w:rsidRPr="009A71A4">
        <w:rPr>
          <w:rFonts w:ascii="Arial" w:hAnsi="Arial" w:cs="Arial"/>
          <w:sz w:val="20"/>
          <w:szCs w:val="20"/>
          <w:lang w:val="es-ES" w:eastAsia="es-ES"/>
        </w:rPr>
        <w:t>nuevos canales</w:t>
      </w:r>
      <w:r w:rsidRPr="009A71A4">
        <w:rPr>
          <w:rFonts w:ascii="Arial" w:hAnsi="Arial" w:cs="Arial"/>
          <w:sz w:val="20"/>
          <w:szCs w:val="20"/>
          <w:lang w:val="es-ES" w:eastAsia="es-ES"/>
        </w:rPr>
        <w:t xml:space="preserve"> de comercialización: Con la apertura de la bodega en Dallas, Texas. </w:t>
      </w:r>
    </w:p>
    <w:p w14:paraId="6A0C7AD8"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1998 COFOCE</w:t>
      </w:r>
      <w:r w:rsidRPr="009A71A4">
        <w:rPr>
          <w:rFonts w:ascii="Arial" w:hAnsi="Arial" w:cs="Arial"/>
          <w:sz w:val="20"/>
          <w:szCs w:val="20"/>
          <w:lang w:val="es-ES" w:eastAsia="es-ES"/>
        </w:rPr>
        <w:t xml:space="preserve"> consolida su visión de desarrollo de empresarios y profesionistas en comercio internacional: Se establecen alianzas con universidades para fortalecer la preparación académica de los empresarios y profesionistas, que atenderán la demanda de los mercados internacionales a mediano y largo plazo.</w:t>
      </w:r>
    </w:p>
    <w:p w14:paraId="7BD19252"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1999 COFOCE</w:t>
      </w:r>
      <w:r w:rsidRPr="009A71A4">
        <w:rPr>
          <w:rFonts w:ascii="Arial" w:hAnsi="Arial" w:cs="Arial"/>
          <w:sz w:val="20"/>
          <w:szCs w:val="20"/>
          <w:lang w:val="es-ES" w:eastAsia="es-ES"/>
        </w:rPr>
        <w:t xml:space="preserve"> se compromete con sus clientes: Se inicia el proceso de certificación de todos sus servicios, bajo la norma de calidad ISO, para promover un servicio estandarizado al cliente.</w:t>
      </w:r>
    </w:p>
    <w:p w14:paraId="31E75C89"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2000 COFOCE</w:t>
      </w:r>
      <w:r w:rsidRPr="009A71A4">
        <w:rPr>
          <w:rFonts w:ascii="Arial" w:hAnsi="Arial" w:cs="Arial"/>
          <w:sz w:val="20"/>
          <w:szCs w:val="20"/>
          <w:lang w:val="es-ES" w:eastAsia="es-ES"/>
        </w:rPr>
        <w:t xml:space="preserve"> se especializa: Cambia su modelo de trabajo pasando de una división por mercados a una atención especializada por sectores económicos, los principales del estado: </w:t>
      </w:r>
      <w:proofErr w:type="spellStart"/>
      <w:r w:rsidRPr="009A71A4">
        <w:rPr>
          <w:rFonts w:ascii="Arial" w:hAnsi="Arial" w:cs="Arial"/>
          <w:sz w:val="20"/>
          <w:szCs w:val="20"/>
          <w:lang w:val="es-ES" w:eastAsia="es-ES"/>
        </w:rPr>
        <w:t>Agroalimentos</w:t>
      </w:r>
      <w:proofErr w:type="spellEnd"/>
      <w:r w:rsidRPr="009A71A4">
        <w:rPr>
          <w:rFonts w:ascii="Arial" w:hAnsi="Arial" w:cs="Arial"/>
          <w:sz w:val="20"/>
          <w:szCs w:val="20"/>
          <w:lang w:val="es-ES" w:eastAsia="es-ES"/>
        </w:rPr>
        <w:t xml:space="preserve">; Artículos de Regalo, Decoración y Muebles; Cuero-Calzado; Industrias en Desarrollo y por último Textil y Confección.  </w:t>
      </w:r>
    </w:p>
    <w:p w14:paraId="13D5BA48"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2001 COFOCE</w:t>
      </w:r>
      <w:r w:rsidRPr="009A71A4">
        <w:rPr>
          <w:rFonts w:ascii="Arial" w:hAnsi="Arial" w:cs="Arial"/>
          <w:sz w:val="20"/>
          <w:szCs w:val="20"/>
          <w:lang w:val="es-ES" w:eastAsia="es-ES"/>
        </w:rPr>
        <w:t xml:space="preserve"> promueve la creatividad e innovación: Apertura del Centro de Innovación para la Exportación (CIEX), para apoyar la diferenciación de los productos guanajuatenses con altos estándares de competitividad.</w:t>
      </w:r>
    </w:p>
    <w:p w14:paraId="09580CB7"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2002 COFOCE</w:t>
      </w:r>
      <w:r w:rsidRPr="009A71A4">
        <w:rPr>
          <w:rFonts w:ascii="Arial" w:hAnsi="Arial" w:cs="Arial"/>
          <w:sz w:val="20"/>
          <w:szCs w:val="20"/>
          <w:lang w:val="es-ES" w:eastAsia="es-ES"/>
        </w:rPr>
        <w:t xml:space="preserve"> genera inteligencia comercial e información estratégica: Se desarrolla el Sistema Estadístico en Comercio Internacional, modelo a nivel nacional que se ha convertido en generador de estadísticas de exportación e importación.</w:t>
      </w:r>
    </w:p>
    <w:p w14:paraId="11EC7092"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lastRenderedPageBreak/>
        <w:t>2003 COFOCE</w:t>
      </w:r>
      <w:r w:rsidRPr="009A71A4">
        <w:rPr>
          <w:rFonts w:ascii="Arial" w:hAnsi="Arial" w:cs="Arial"/>
          <w:sz w:val="20"/>
          <w:szCs w:val="20"/>
          <w:lang w:val="es-ES" w:eastAsia="es-ES"/>
        </w:rPr>
        <w:t xml:space="preserve"> consolida la participación ciudadana: Se crean comités sectoriales, integrados por empresarios que planean y proponen estrategias y programas en comercio internacional.</w:t>
      </w:r>
    </w:p>
    <w:p w14:paraId="36A74B56" w14:textId="0ACBDAF8"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2004 COFOCE</w:t>
      </w:r>
      <w:r w:rsidRPr="009A71A4">
        <w:rPr>
          <w:rFonts w:ascii="Arial" w:hAnsi="Arial" w:cs="Arial"/>
          <w:sz w:val="20"/>
          <w:szCs w:val="20"/>
          <w:lang w:val="es-ES" w:eastAsia="es-ES"/>
        </w:rPr>
        <w:t xml:space="preserve"> desarrolla herramientas que </w:t>
      </w:r>
      <w:r w:rsidR="007C2BA9" w:rsidRPr="009A71A4">
        <w:rPr>
          <w:rFonts w:ascii="Arial" w:hAnsi="Arial" w:cs="Arial"/>
          <w:sz w:val="20"/>
          <w:szCs w:val="20"/>
          <w:lang w:val="es-ES" w:eastAsia="es-ES"/>
        </w:rPr>
        <w:t>promueven la</w:t>
      </w:r>
      <w:r w:rsidRPr="009A71A4">
        <w:rPr>
          <w:rFonts w:ascii="Arial" w:hAnsi="Arial" w:cs="Arial"/>
          <w:sz w:val="20"/>
          <w:szCs w:val="20"/>
          <w:lang w:val="es-ES" w:eastAsia="es-ES"/>
        </w:rPr>
        <w:t xml:space="preserve"> competitividad empresarial: Se abre del Centro de Planeación Logística que ha permitido ahorros de hasta el 30% de los costos logísticos.  Se firma un convenio con el Banco Internacional de Desarrollo.</w:t>
      </w:r>
    </w:p>
    <w:p w14:paraId="4B01E1DB"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2005 COFOCE</w:t>
      </w:r>
      <w:r w:rsidRPr="009A71A4">
        <w:rPr>
          <w:rFonts w:ascii="Arial" w:hAnsi="Arial" w:cs="Arial"/>
          <w:sz w:val="20"/>
          <w:szCs w:val="20"/>
          <w:lang w:val="es-ES" w:eastAsia="es-ES"/>
        </w:rPr>
        <w:t xml:space="preserve"> desarrolla esquemas de cooperación en beneficio de las empresas: Inicia operaciones con el Programa Integral de Apoyo a la Pequeña empresa y mediana, integrado con fondos de la Unión Europea y del gobierno mexicano, para apoyar proyectos de exportación a ese mercado.</w:t>
      </w:r>
    </w:p>
    <w:p w14:paraId="22427091"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2006 COFOCE</w:t>
      </w:r>
      <w:r w:rsidRPr="009A71A4">
        <w:rPr>
          <w:rFonts w:ascii="Arial" w:hAnsi="Arial" w:cs="Arial"/>
          <w:sz w:val="20"/>
          <w:szCs w:val="20"/>
          <w:lang w:val="es-ES" w:eastAsia="es-ES"/>
        </w:rPr>
        <w:t xml:space="preserve"> se compromete con la internacionalización del Estado y de sus empresas: El modelo de trabajo evoluciona con una visión de internacionalización. El objetivo, lograr más empresas exportadoras y más exportaciones.</w:t>
      </w:r>
    </w:p>
    <w:p w14:paraId="69E534A1"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2007 COFOCE</w:t>
      </w:r>
      <w:r w:rsidRPr="009A71A4">
        <w:rPr>
          <w:rFonts w:ascii="Arial" w:hAnsi="Arial" w:cs="Arial"/>
          <w:sz w:val="20"/>
          <w:szCs w:val="20"/>
          <w:lang w:val="es-ES" w:eastAsia="es-ES"/>
        </w:rPr>
        <w:t xml:space="preserve"> se consolida su presencia internacional: Se cumplen 15 años gracias al interés empresarial de mantenerse vigente en los mercados externos y posicionar a Guanajuato como el estado internacional y logístico de México.</w:t>
      </w:r>
    </w:p>
    <w:p w14:paraId="1920E90B" w14:textId="0555AB76"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2008 COFOCE</w:t>
      </w:r>
      <w:r w:rsidRPr="009A71A4">
        <w:rPr>
          <w:rFonts w:ascii="Arial" w:hAnsi="Arial" w:cs="Arial"/>
          <w:sz w:val="20"/>
          <w:szCs w:val="20"/>
          <w:lang w:val="es-ES" w:eastAsia="es-ES"/>
        </w:rPr>
        <w:t xml:space="preserve">, sigue creciendo y su red internacional se hace </w:t>
      </w:r>
      <w:r w:rsidR="007C2BA9" w:rsidRPr="009A71A4">
        <w:rPr>
          <w:rFonts w:ascii="Arial" w:hAnsi="Arial" w:cs="Arial"/>
          <w:sz w:val="20"/>
          <w:szCs w:val="20"/>
          <w:lang w:val="es-ES" w:eastAsia="es-ES"/>
        </w:rPr>
        <w:t>más amplia y ligera</w:t>
      </w:r>
      <w:r w:rsidRPr="009A71A4">
        <w:rPr>
          <w:rFonts w:ascii="Arial" w:hAnsi="Arial" w:cs="Arial"/>
          <w:sz w:val="20"/>
          <w:szCs w:val="20"/>
          <w:lang w:val="es-ES" w:eastAsia="es-ES"/>
        </w:rPr>
        <w:t>, lo que permita dar a la exportación de Guanajuato mayor certeza en los mercados internacionales.</w:t>
      </w:r>
    </w:p>
    <w:p w14:paraId="1E991BB2"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2009 COFOCE</w:t>
      </w:r>
      <w:r w:rsidRPr="009A71A4">
        <w:rPr>
          <w:rFonts w:ascii="Arial" w:hAnsi="Arial" w:cs="Arial"/>
          <w:sz w:val="20"/>
          <w:szCs w:val="20"/>
          <w:lang w:val="es-ES" w:eastAsia="es-ES"/>
        </w:rPr>
        <w:t xml:space="preserve">, realiza convenios con </w:t>
      </w:r>
      <w:proofErr w:type="spellStart"/>
      <w:r w:rsidRPr="009A71A4">
        <w:rPr>
          <w:rFonts w:ascii="Arial" w:hAnsi="Arial" w:cs="Arial"/>
          <w:sz w:val="20"/>
          <w:szCs w:val="20"/>
          <w:lang w:val="es-ES" w:eastAsia="es-ES"/>
        </w:rPr>
        <w:t>Proméxico</w:t>
      </w:r>
      <w:proofErr w:type="spellEnd"/>
      <w:r w:rsidRPr="009A71A4">
        <w:rPr>
          <w:rFonts w:ascii="Arial" w:hAnsi="Arial" w:cs="Arial"/>
          <w:sz w:val="20"/>
          <w:szCs w:val="20"/>
          <w:lang w:val="es-ES" w:eastAsia="es-ES"/>
        </w:rPr>
        <w:t xml:space="preserve"> y otras Instituciones para atraer mayor recurso al empresario Guanajuatense, el cual es parte importante del programa de Fortalecimiento económico, uniéndose así al esfuerzo de Gobierno del Estado.</w:t>
      </w:r>
    </w:p>
    <w:p w14:paraId="72C84730"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2010 COFOCE</w:t>
      </w:r>
      <w:r w:rsidRPr="009A71A4">
        <w:rPr>
          <w:rFonts w:ascii="Arial" w:hAnsi="Arial" w:cs="Arial"/>
          <w:sz w:val="20"/>
          <w:szCs w:val="20"/>
          <w:lang w:val="es-ES" w:eastAsia="es-ES"/>
        </w:rPr>
        <w:t>, vive un cambio estructural que le permite llegar con el mismo recurso a más empresarios. Lo anterior en la búsqueda constante de la optimización de recursos y más resultados.</w:t>
      </w:r>
    </w:p>
    <w:p w14:paraId="0860003D"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2011 COFOCE</w:t>
      </w:r>
      <w:r w:rsidRPr="009A71A4">
        <w:rPr>
          <w:rFonts w:ascii="Arial" w:hAnsi="Arial" w:cs="Arial"/>
          <w:sz w:val="20"/>
          <w:szCs w:val="20"/>
          <w:lang w:val="es-ES" w:eastAsia="es-ES"/>
        </w:rPr>
        <w:t xml:space="preserve">, consolida su estrategia de cambio y lanza un nuevo portafolio de servicios enfocados a llevar a una empresa de la exportación a la internacionalización. </w:t>
      </w:r>
    </w:p>
    <w:p w14:paraId="65F5EB1E"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2012 COFOCE</w:t>
      </w:r>
      <w:r w:rsidRPr="009A71A4">
        <w:rPr>
          <w:rFonts w:ascii="Arial" w:hAnsi="Arial" w:cs="Arial"/>
          <w:sz w:val="20"/>
          <w:szCs w:val="20"/>
          <w:lang w:val="es-ES" w:eastAsia="es-ES"/>
        </w:rPr>
        <w:t xml:space="preserve"> cumple 20 años de servir a los empresarios Guanajuatenses, afianzando sus procesos y servicios logrando consolidar los cambios realizados al inicio de la administración 2006-2012.</w:t>
      </w:r>
    </w:p>
    <w:p w14:paraId="2649B844"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2013 COFOCE</w:t>
      </w:r>
      <w:r w:rsidRPr="009A71A4">
        <w:rPr>
          <w:rFonts w:ascii="Arial" w:hAnsi="Arial" w:cs="Arial"/>
          <w:sz w:val="20"/>
          <w:szCs w:val="20"/>
          <w:lang w:val="es-ES" w:eastAsia="es-ES"/>
        </w:rPr>
        <w:t xml:space="preserve"> cambia su matriz a Guanajuato Puerto Interior, para estar así ubicados en una comunidad de negocios.</w:t>
      </w:r>
    </w:p>
    <w:p w14:paraId="752EBE6C"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2014 COFOCE</w:t>
      </w:r>
      <w:r w:rsidRPr="009A71A4">
        <w:rPr>
          <w:rFonts w:ascii="Arial" w:hAnsi="Arial" w:cs="Arial"/>
          <w:sz w:val="20"/>
          <w:szCs w:val="20"/>
          <w:lang w:val="es-ES" w:eastAsia="es-ES"/>
        </w:rPr>
        <w:t xml:space="preserve"> revoluciona, fortalece sus relaciones con el Gobierno Estatal, llega a más municipios para tener un mayor acercamiento con las empresas. </w:t>
      </w:r>
    </w:p>
    <w:p w14:paraId="1D4C3E81"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 xml:space="preserve">2016 COFOCE </w:t>
      </w:r>
      <w:r w:rsidRPr="009A71A4">
        <w:rPr>
          <w:rFonts w:ascii="Arial" w:hAnsi="Arial" w:cs="Arial"/>
          <w:sz w:val="20"/>
          <w:szCs w:val="20"/>
          <w:lang w:val="es-ES" w:eastAsia="es-ES"/>
        </w:rPr>
        <w:t xml:space="preserve">Se publica nuevo reglamento interior en el periódico oficial de Gobierno del Estado de Guanajuato, mediante el Decreto Gubernativo 174 de fecha 15 </w:t>
      </w:r>
      <w:proofErr w:type="gramStart"/>
      <w:r w:rsidRPr="009A71A4">
        <w:rPr>
          <w:rFonts w:ascii="Arial" w:hAnsi="Arial" w:cs="Arial"/>
          <w:sz w:val="20"/>
          <w:szCs w:val="20"/>
          <w:lang w:val="es-ES" w:eastAsia="es-ES"/>
        </w:rPr>
        <w:t>Noviembre</w:t>
      </w:r>
      <w:proofErr w:type="gramEnd"/>
      <w:r w:rsidRPr="009A71A4">
        <w:rPr>
          <w:rFonts w:ascii="Arial" w:hAnsi="Arial" w:cs="Arial"/>
          <w:sz w:val="20"/>
          <w:szCs w:val="20"/>
          <w:lang w:val="es-ES" w:eastAsia="es-ES"/>
        </w:rPr>
        <w:t xml:space="preserve"> 2016. Se modifica estructura y atribuciones de las diferentes áreas administrativas.</w:t>
      </w:r>
    </w:p>
    <w:p w14:paraId="1106ABB7"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 xml:space="preserve">2020 COFOCE </w:t>
      </w:r>
      <w:r w:rsidRPr="009A71A4">
        <w:rPr>
          <w:rFonts w:ascii="Arial" w:hAnsi="Arial" w:cs="Arial"/>
          <w:sz w:val="20"/>
          <w:szCs w:val="20"/>
          <w:lang w:val="es-ES" w:eastAsia="es-ES"/>
        </w:rPr>
        <w:t>comienza con la implementación del modelo comercial de aldeas digitales, el cual permite insertar en el comercio electrónico a micro y medianos productores del estado de Guanajuato.</w:t>
      </w:r>
    </w:p>
    <w:p w14:paraId="47F63E95"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2021 COFOCE D</w:t>
      </w:r>
      <w:r w:rsidRPr="009A71A4">
        <w:rPr>
          <w:rFonts w:ascii="Arial" w:hAnsi="Arial" w:cs="Arial"/>
          <w:sz w:val="20"/>
          <w:szCs w:val="20"/>
          <w:lang w:val="es-ES" w:eastAsia="es-ES"/>
        </w:rPr>
        <w:t>esarrolla e implementa el nuevo CRM SMART es un sistema de metas, actividades y registros trasversales para mejor generación de indicadores de resultados.</w:t>
      </w:r>
    </w:p>
    <w:p w14:paraId="4CCBAF52"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b/>
          <w:sz w:val="20"/>
          <w:szCs w:val="20"/>
          <w:lang w:val="es-ES" w:eastAsia="es-ES"/>
        </w:rPr>
        <w:t>2022 COFOCE</w:t>
      </w:r>
      <w:r w:rsidRPr="009A71A4">
        <w:rPr>
          <w:rFonts w:ascii="Arial" w:hAnsi="Arial" w:cs="Arial"/>
          <w:sz w:val="20"/>
          <w:szCs w:val="20"/>
          <w:lang w:val="es-ES" w:eastAsia="es-ES"/>
        </w:rPr>
        <w:t xml:space="preserve"> Se publica el nuevo reglamento interior en periódico oficial del Gobierno del Estado de Guanajuato, mediante el Decreto Gubernativo 127 del 9 de noviembre de 2022. COFOCE se encuentra en un proceso de cambio constante de mejora continua para mantenerse a la vanguardia en materia de comercio exterior que ayuden al desarrollo de los sectores productivos mediante el impulso y fortalecimiento de la </w:t>
      </w:r>
      <w:r w:rsidRPr="009A71A4">
        <w:rPr>
          <w:rFonts w:ascii="Arial" w:hAnsi="Arial" w:cs="Arial"/>
          <w:sz w:val="20"/>
          <w:szCs w:val="20"/>
          <w:lang w:val="es-ES" w:eastAsia="es-ES"/>
        </w:rPr>
        <w:lastRenderedPageBreak/>
        <w:t>competitividad de las empresas del estado para que puedan adaptarse a los mercados internacionales que cada vez se presentan más globales y dinámicos.</w:t>
      </w:r>
    </w:p>
    <w:p w14:paraId="3D11CAC9"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A la entrada en vigor en Julio 2021 del tratado entre los Estados Unidos Mexicanos, Estados Unidos de América y Canadá, T-MEC, representa para Guanajuato una gran oportunidad para impulsar el comercio internacional y aprovechar las ventajas competitivas que tiene el estado.</w:t>
      </w:r>
    </w:p>
    <w:p w14:paraId="6E9D4D5E" w14:textId="77777777" w:rsidR="009A71A4" w:rsidRPr="009A71A4" w:rsidRDefault="009A71A4" w:rsidP="009A71A4">
      <w:pPr>
        <w:pStyle w:val="Prrafodelista"/>
        <w:numPr>
          <w:ilvl w:val="0"/>
          <w:numId w:val="4"/>
        </w:numPr>
        <w:jc w:val="both"/>
        <w:rPr>
          <w:rFonts w:ascii="Arial" w:hAnsi="Arial" w:cs="Arial"/>
          <w:sz w:val="20"/>
          <w:szCs w:val="20"/>
          <w:lang w:val="es-ES" w:eastAsia="es-ES"/>
        </w:rPr>
      </w:pPr>
      <w:r w:rsidRPr="009A71A4">
        <w:rPr>
          <w:rFonts w:ascii="Arial" w:hAnsi="Arial" w:cs="Arial"/>
          <w:sz w:val="20"/>
          <w:szCs w:val="20"/>
          <w:lang w:val="es-ES" w:eastAsia="es-ES"/>
        </w:rPr>
        <w:t>En el que se perfilan nuevas funciones y facultades para atender las necesidades del mercado, mediante la actualización y simplificación de la cartera de los servicios hacia las empresas del Estado para cubrir las nuevas tendencias en materia de Comercio Internacional, Digital y competitividad.</w:t>
      </w:r>
    </w:p>
    <w:p w14:paraId="23533710" w14:textId="16C84A40" w:rsidR="00D638D1" w:rsidRPr="00B341C7" w:rsidRDefault="00D638D1" w:rsidP="0009624E">
      <w:pPr>
        <w:ind w:left="1418" w:hanging="1418"/>
        <w:jc w:val="both"/>
        <w:rPr>
          <w:rFonts w:ascii="Arial" w:hAnsi="Arial" w:cs="Arial"/>
          <w:b/>
          <w:sz w:val="24"/>
          <w:szCs w:val="24"/>
        </w:rPr>
      </w:pPr>
      <w:r w:rsidRPr="00B341C7">
        <w:rPr>
          <w:rFonts w:ascii="Arial" w:hAnsi="Arial" w:cs="Arial"/>
          <w:b/>
          <w:sz w:val="24"/>
          <w:szCs w:val="24"/>
        </w:rPr>
        <w:t xml:space="preserve">2. </w:t>
      </w:r>
      <w:r w:rsidR="009A71A4">
        <w:rPr>
          <w:rFonts w:ascii="Arial" w:hAnsi="Arial" w:cs="Arial"/>
          <w:b/>
          <w:sz w:val="24"/>
          <w:szCs w:val="24"/>
        </w:rPr>
        <w:t>P</w:t>
      </w:r>
      <w:r w:rsidRPr="00B341C7">
        <w:rPr>
          <w:rFonts w:ascii="Arial" w:hAnsi="Arial" w:cs="Arial"/>
          <w:b/>
          <w:sz w:val="24"/>
          <w:szCs w:val="24"/>
        </w:rPr>
        <w:t>anorama Económico y Financiero:</w:t>
      </w:r>
    </w:p>
    <w:p w14:paraId="4A742AEB" w14:textId="7096337F" w:rsidR="00C52C91" w:rsidRPr="009C55F0" w:rsidRDefault="00A65140">
      <w:pPr>
        <w:jc w:val="both"/>
        <w:rPr>
          <w:rFonts w:ascii="Arial" w:hAnsi="Arial" w:cs="Arial"/>
          <w:b/>
          <w:sz w:val="20"/>
          <w:szCs w:val="20"/>
          <w:lang w:val="es-ES" w:eastAsia="es-ES"/>
        </w:rPr>
      </w:pPr>
      <w:r w:rsidRPr="00B341C7">
        <w:rPr>
          <w:rFonts w:ascii="Arial" w:hAnsi="Arial" w:cs="Arial"/>
          <w:sz w:val="20"/>
          <w:szCs w:val="20"/>
          <w:lang w:val="es-ES" w:eastAsia="es-ES"/>
        </w:rPr>
        <w:t xml:space="preserve">El panorama para este </w:t>
      </w:r>
      <w:r w:rsidR="00924696" w:rsidRPr="00B341C7">
        <w:rPr>
          <w:rFonts w:ascii="Arial" w:hAnsi="Arial" w:cs="Arial"/>
          <w:b/>
          <w:sz w:val="20"/>
          <w:szCs w:val="20"/>
          <w:lang w:val="es-ES" w:eastAsia="es-ES"/>
        </w:rPr>
        <w:t xml:space="preserve">Periodo </w:t>
      </w:r>
      <w:r w:rsidR="00C52C91" w:rsidRPr="00B341C7">
        <w:rPr>
          <w:rFonts w:ascii="Arial" w:hAnsi="Arial" w:cs="Arial"/>
          <w:b/>
          <w:sz w:val="20"/>
          <w:szCs w:val="20"/>
          <w:lang w:val="es-ES" w:eastAsia="es-ES"/>
        </w:rPr>
        <w:t xml:space="preserve">Enero – </w:t>
      </w:r>
      <w:proofErr w:type="gramStart"/>
      <w:r w:rsidR="00D25D00">
        <w:rPr>
          <w:rFonts w:ascii="Arial" w:hAnsi="Arial" w:cs="Arial"/>
          <w:b/>
          <w:sz w:val="20"/>
          <w:szCs w:val="20"/>
          <w:lang w:val="es-ES" w:eastAsia="es-ES"/>
        </w:rPr>
        <w:t>Junio</w:t>
      </w:r>
      <w:proofErr w:type="gramEnd"/>
      <w:r w:rsidR="001C4240">
        <w:rPr>
          <w:rFonts w:ascii="Arial" w:hAnsi="Arial" w:cs="Arial"/>
          <w:b/>
          <w:sz w:val="20"/>
          <w:szCs w:val="20"/>
          <w:lang w:val="es-ES" w:eastAsia="es-ES"/>
        </w:rPr>
        <w:t xml:space="preserve"> 202</w:t>
      </w:r>
      <w:r w:rsidR="000255A0">
        <w:rPr>
          <w:rFonts w:ascii="Arial" w:hAnsi="Arial" w:cs="Arial"/>
          <w:b/>
          <w:sz w:val="20"/>
          <w:szCs w:val="20"/>
          <w:lang w:val="es-ES" w:eastAsia="es-ES"/>
        </w:rPr>
        <w:t>6</w:t>
      </w:r>
      <w:r w:rsidRPr="00B341C7">
        <w:rPr>
          <w:rFonts w:ascii="Arial" w:hAnsi="Arial" w:cs="Arial"/>
          <w:sz w:val="20"/>
          <w:szCs w:val="20"/>
          <w:lang w:val="es-ES" w:eastAsia="es-ES"/>
        </w:rPr>
        <w:t xml:space="preserve"> se concibe </w:t>
      </w:r>
      <w:r w:rsidR="00C52C91" w:rsidRPr="00B341C7">
        <w:rPr>
          <w:rFonts w:ascii="Arial" w:hAnsi="Arial" w:cs="Arial"/>
          <w:sz w:val="20"/>
          <w:szCs w:val="20"/>
          <w:lang w:val="es-ES" w:eastAsia="es-ES"/>
        </w:rPr>
        <w:t xml:space="preserve">con </w:t>
      </w:r>
      <w:r w:rsidRPr="00B341C7">
        <w:rPr>
          <w:rFonts w:ascii="Arial" w:hAnsi="Arial" w:cs="Arial"/>
          <w:sz w:val="20"/>
          <w:szCs w:val="20"/>
          <w:lang w:val="es-ES" w:eastAsia="es-ES"/>
        </w:rPr>
        <w:t>finanzas sanas</w:t>
      </w:r>
      <w:r w:rsidR="00C52C91" w:rsidRPr="00B341C7">
        <w:rPr>
          <w:rFonts w:ascii="Arial" w:hAnsi="Arial" w:cs="Arial"/>
          <w:sz w:val="20"/>
          <w:szCs w:val="20"/>
          <w:lang w:val="es-ES" w:eastAsia="es-ES"/>
        </w:rPr>
        <w:t xml:space="preserve"> </w:t>
      </w:r>
      <w:r w:rsidR="001C4240" w:rsidRPr="00B341C7">
        <w:rPr>
          <w:rFonts w:ascii="Arial" w:hAnsi="Arial" w:cs="Arial"/>
          <w:sz w:val="20"/>
          <w:szCs w:val="20"/>
          <w:lang w:val="es-ES" w:eastAsia="es-ES"/>
        </w:rPr>
        <w:t>fortalecidas ante</w:t>
      </w:r>
      <w:r w:rsidR="00C52C91" w:rsidRPr="00B341C7">
        <w:rPr>
          <w:rFonts w:ascii="Arial" w:hAnsi="Arial" w:cs="Arial"/>
          <w:sz w:val="20"/>
          <w:szCs w:val="20"/>
          <w:lang w:val="es-ES" w:eastAsia="es-ES"/>
        </w:rPr>
        <w:t xml:space="preserve"> la tesitura y alineación a un marco legal</w:t>
      </w:r>
      <w:r w:rsidR="00BA233A" w:rsidRPr="00B341C7">
        <w:rPr>
          <w:rFonts w:ascii="Arial" w:hAnsi="Arial" w:cs="Arial"/>
          <w:sz w:val="20"/>
          <w:szCs w:val="20"/>
          <w:lang w:val="es-ES" w:eastAsia="es-ES"/>
        </w:rPr>
        <w:t>,</w:t>
      </w:r>
      <w:r w:rsidR="00C52C91" w:rsidRPr="00B341C7">
        <w:rPr>
          <w:rFonts w:ascii="Arial" w:hAnsi="Arial" w:cs="Arial"/>
          <w:sz w:val="20"/>
          <w:szCs w:val="20"/>
          <w:lang w:val="es-ES" w:eastAsia="es-ES"/>
        </w:rPr>
        <w:t xml:space="preserve"> que permite el control y correcto ejercicio del presupuesto asignado a este organismo.</w:t>
      </w:r>
    </w:p>
    <w:p w14:paraId="659F457F" w14:textId="77777777" w:rsidR="00781258" w:rsidRPr="00B341C7" w:rsidRDefault="00C52C91">
      <w:pPr>
        <w:jc w:val="both"/>
        <w:rPr>
          <w:rFonts w:ascii="Arial" w:hAnsi="Arial" w:cs="Arial"/>
          <w:sz w:val="20"/>
          <w:szCs w:val="20"/>
          <w:lang w:val="es-ES" w:eastAsia="es-ES"/>
        </w:rPr>
      </w:pPr>
      <w:r w:rsidRPr="00B341C7">
        <w:rPr>
          <w:rFonts w:ascii="Arial" w:hAnsi="Arial" w:cs="Arial"/>
          <w:sz w:val="20"/>
          <w:szCs w:val="20"/>
          <w:lang w:val="es-ES" w:eastAsia="es-ES"/>
        </w:rPr>
        <w:t>Por otra parte</w:t>
      </w:r>
      <w:r w:rsidR="001C4240" w:rsidRPr="00B341C7">
        <w:rPr>
          <w:rFonts w:ascii="Arial" w:hAnsi="Arial" w:cs="Arial"/>
          <w:sz w:val="20"/>
          <w:szCs w:val="20"/>
          <w:lang w:val="es-ES" w:eastAsia="es-ES"/>
        </w:rPr>
        <w:t>, la</w:t>
      </w:r>
      <w:r w:rsidRPr="00B341C7">
        <w:rPr>
          <w:rFonts w:ascii="Arial" w:hAnsi="Arial" w:cs="Arial"/>
          <w:sz w:val="20"/>
          <w:szCs w:val="20"/>
          <w:lang w:val="es-ES" w:eastAsia="es-ES"/>
        </w:rPr>
        <w:t xml:space="preserve"> planeación estratégica y el desarrollo de programas de </w:t>
      </w:r>
      <w:r w:rsidR="00781258" w:rsidRPr="00B341C7">
        <w:rPr>
          <w:rFonts w:ascii="Arial" w:hAnsi="Arial" w:cs="Arial"/>
          <w:sz w:val="20"/>
          <w:szCs w:val="20"/>
          <w:lang w:val="es-ES" w:eastAsia="es-ES"/>
        </w:rPr>
        <w:t>trabajo que soportan y respal</w:t>
      </w:r>
      <w:r w:rsidRPr="00B341C7">
        <w:rPr>
          <w:rFonts w:ascii="Arial" w:hAnsi="Arial" w:cs="Arial"/>
          <w:sz w:val="20"/>
          <w:szCs w:val="20"/>
          <w:lang w:val="es-ES" w:eastAsia="es-ES"/>
        </w:rPr>
        <w:t>dan el ejercicio de las funciones de cada un</w:t>
      </w:r>
      <w:r w:rsidR="00BA233A" w:rsidRPr="00B341C7">
        <w:rPr>
          <w:rFonts w:ascii="Arial" w:hAnsi="Arial" w:cs="Arial"/>
          <w:sz w:val="20"/>
          <w:szCs w:val="20"/>
          <w:lang w:val="es-ES" w:eastAsia="es-ES"/>
        </w:rPr>
        <w:t>a</w:t>
      </w:r>
      <w:r w:rsidRPr="00B341C7">
        <w:rPr>
          <w:rFonts w:ascii="Arial" w:hAnsi="Arial" w:cs="Arial"/>
          <w:sz w:val="20"/>
          <w:szCs w:val="20"/>
          <w:lang w:val="es-ES" w:eastAsia="es-ES"/>
        </w:rPr>
        <w:t xml:space="preserve"> de las unidades responsables </w:t>
      </w:r>
      <w:r w:rsidR="001C4240" w:rsidRPr="00B341C7">
        <w:rPr>
          <w:rFonts w:ascii="Arial" w:hAnsi="Arial" w:cs="Arial"/>
          <w:sz w:val="20"/>
          <w:szCs w:val="20"/>
          <w:lang w:val="es-ES" w:eastAsia="es-ES"/>
        </w:rPr>
        <w:t>con programas</w:t>
      </w:r>
      <w:r w:rsidRPr="00B341C7">
        <w:rPr>
          <w:rFonts w:ascii="Arial" w:hAnsi="Arial" w:cs="Arial"/>
          <w:sz w:val="20"/>
          <w:szCs w:val="20"/>
          <w:lang w:val="es-ES" w:eastAsia="es-ES"/>
        </w:rPr>
        <w:t xml:space="preserve"> y/o proyectos de inversi</w:t>
      </w:r>
      <w:r w:rsidR="00BA233A" w:rsidRPr="00B341C7">
        <w:rPr>
          <w:rFonts w:ascii="Arial" w:hAnsi="Arial" w:cs="Arial"/>
          <w:sz w:val="20"/>
          <w:szCs w:val="20"/>
          <w:lang w:val="es-ES" w:eastAsia="es-ES"/>
        </w:rPr>
        <w:t>ón</w:t>
      </w:r>
      <w:r w:rsidR="00A65140" w:rsidRPr="00B341C7">
        <w:rPr>
          <w:rFonts w:ascii="Arial" w:hAnsi="Arial" w:cs="Arial"/>
          <w:sz w:val="20"/>
          <w:szCs w:val="20"/>
          <w:lang w:val="es-ES" w:eastAsia="es-ES"/>
        </w:rPr>
        <w:t xml:space="preserve">, </w:t>
      </w:r>
      <w:r w:rsidR="00BA233A" w:rsidRPr="00B341C7">
        <w:rPr>
          <w:rFonts w:ascii="Arial" w:hAnsi="Arial" w:cs="Arial"/>
          <w:sz w:val="20"/>
          <w:szCs w:val="20"/>
          <w:lang w:val="es-ES" w:eastAsia="es-ES"/>
        </w:rPr>
        <w:t>respalda el logro de metas y objetivos institucionales.</w:t>
      </w:r>
    </w:p>
    <w:p w14:paraId="362E768D" w14:textId="541D8D1B" w:rsidR="009A71A4" w:rsidRDefault="00781258" w:rsidP="00163BA2">
      <w:pPr>
        <w:jc w:val="both"/>
        <w:rPr>
          <w:rFonts w:ascii="Arial" w:hAnsi="Arial" w:cs="Arial"/>
          <w:sz w:val="20"/>
          <w:szCs w:val="20"/>
          <w:lang w:val="es-ES" w:eastAsia="es-ES"/>
        </w:rPr>
      </w:pPr>
      <w:r w:rsidRPr="00B341C7">
        <w:rPr>
          <w:rFonts w:ascii="Arial" w:hAnsi="Arial" w:cs="Arial"/>
          <w:sz w:val="20"/>
          <w:szCs w:val="20"/>
          <w:lang w:val="es-ES" w:eastAsia="es-ES"/>
        </w:rPr>
        <w:t xml:space="preserve">Finalmente, nuestros </w:t>
      </w:r>
      <w:r w:rsidR="00A65140" w:rsidRPr="00B341C7">
        <w:rPr>
          <w:rFonts w:ascii="Arial" w:hAnsi="Arial" w:cs="Arial"/>
          <w:sz w:val="20"/>
          <w:szCs w:val="20"/>
          <w:lang w:val="es-ES" w:eastAsia="es-ES"/>
        </w:rPr>
        <w:t>Estados Financ</w:t>
      </w:r>
      <w:r w:rsidR="001343CB" w:rsidRPr="00B341C7">
        <w:rPr>
          <w:rFonts w:ascii="Arial" w:hAnsi="Arial" w:cs="Arial"/>
          <w:sz w:val="20"/>
          <w:szCs w:val="20"/>
          <w:lang w:val="es-ES" w:eastAsia="es-ES"/>
        </w:rPr>
        <w:t>ieros</w:t>
      </w:r>
      <w:r w:rsidRPr="00B341C7">
        <w:rPr>
          <w:rFonts w:ascii="Arial" w:hAnsi="Arial" w:cs="Arial"/>
          <w:sz w:val="20"/>
          <w:szCs w:val="20"/>
          <w:lang w:val="es-ES" w:eastAsia="es-ES"/>
        </w:rPr>
        <w:t xml:space="preserve"> y demás información presupuestal emitidos por el organismo con cifras de cierre al </w:t>
      </w:r>
      <w:r w:rsidR="00566E28" w:rsidRPr="00EA7DD7">
        <w:rPr>
          <w:rFonts w:ascii="Arial" w:hAnsi="Arial" w:cs="Arial"/>
          <w:b/>
          <w:bCs/>
          <w:sz w:val="20"/>
          <w:szCs w:val="20"/>
          <w:lang w:val="es-ES" w:eastAsia="es-ES"/>
        </w:rPr>
        <w:t>3</w:t>
      </w:r>
      <w:r w:rsidR="00D25D00">
        <w:rPr>
          <w:rFonts w:ascii="Arial" w:hAnsi="Arial" w:cs="Arial"/>
          <w:b/>
          <w:bCs/>
          <w:sz w:val="20"/>
          <w:szCs w:val="20"/>
          <w:lang w:val="es-ES" w:eastAsia="es-ES"/>
        </w:rPr>
        <w:t>0</w:t>
      </w:r>
      <w:r w:rsidRPr="00EA7DD7">
        <w:rPr>
          <w:rFonts w:ascii="Arial" w:hAnsi="Arial" w:cs="Arial"/>
          <w:b/>
          <w:bCs/>
          <w:sz w:val="20"/>
          <w:szCs w:val="20"/>
          <w:lang w:val="es-ES" w:eastAsia="es-ES"/>
        </w:rPr>
        <w:t xml:space="preserve"> de </w:t>
      </w:r>
      <w:proofErr w:type="gramStart"/>
      <w:r w:rsidR="00D25D00">
        <w:rPr>
          <w:rFonts w:ascii="Arial" w:hAnsi="Arial" w:cs="Arial"/>
          <w:b/>
          <w:bCs/>
          <w:sz w:val="20"/>
          <w:szCs w:val="20"/>
          <w:lang w:val="es-ES" w:eastAsia="es-ES"/>
        </w:rPr>
        <w:t>Junio</w:t>
      </w:r>
      <w:proofErr w:type="gramEnd"/>
      <w:r w:rsidRPr="00B341C7">
        <w:rPr>
          <w:rFonts w:ascii="Arial" w:hAnsi="Arial" w:cs="Arial"/>
          <w:sz w:val="20"/>
          <w:szCs w:val="20"/>
          <w:lang w:val="es-ES" w:eastAsia="es-ES"/>
        </w:rPr>
        <w:t xml:space="preserve">, mantienen congruencia en la </w:t>
      </w:r>
      <w:r w:rsidR="001C4240" w:rsidRPr="00B341C7">
        <w:rPr>
          <w:rFonts w:ascii="Arial" w:hAnsi="Arial" w:cs="Arial"/>
          <w:sz w:val="20"/>
          <w:szCs w:val="20"/>
          <w:lang w:val="es-ES" w:eastAsia="es-ES"/>
        </w:rPr>
        <w:t>determinación de</w:t>
      </w:r>
      <w:r w:rsidRPr="00B341C7">
        <w:rPr>
          <w:rFonts w:ascii="Arial" w:hAnsi="Arial" w:cs="Arial"/>
          <w:sz w:val="20"/>
          <w:szCs w:val="20"/>
          <w:lang w:val="es-ES" w:eastAsia="es-ES"/>
        </w:rPr>
        <w:t xml:space="preserve"> cifras, registros fieles y confiables que guardan congruencia y permiten el análisis </w:t>
      </w:r>
      <w:r w:rsidR="00BA233A" w:rsidRPr="00B341C7">
        <w:rPr>
          <w:rFonts w:ascii="Arial" w:hAnsi="Arial" w:cs="Arial"/>
          <w:sz w:val="20"/>
          <w:szCs w:val="20"/>
          <w:lang w:val="es-ES" w:eastAsia="es-ES"/>
        </w:rPr>
        <w:t xml:space="preserve">de la información </w:t>
      </w:r>
      <w:r w:rsidRPr="00B341C7">
        <w:rPr>
          <w:rFonts w:ascii="Arial" w:hAnsi="Arial" w:cs="Arial"/>
          <w:sz w:val="20"/>
          <w:szCs w:val="20"/>
          <w:lang w:val="es-ES" w:eastAsia="es-ES"/>
        </w:rPr>
        <w:t>al detalle necesario</w:t>
      </w:r>
      <w:r w:rsidR="001343CB" w:rsidRPr="00B341C7">
        <w:rPr>
          <w:rFonts w:ascii="Arial" w:hAnsi="Arial" w:cs="Arial"/>
          <w:sz w:val="20"/>
          <w:szCs w:val="20"/>
          <w:lang w:val="es-ES" w:eastAsia="es-ES"/>
        </w:rPr>
        <w:t>.</w:t>
      </w:r>
    </w:p>
    <w:p w14:paraId="3B5B183E" w14:textId="2F86D910" w:rsidR="00D638D1" w:rsidRPr="00B341C7" w:rsidRDefault="009A71A4">
      <w:pPr>
        <w:jc w:val="both"/>
        <w:rPr>
          <w:rFonts w:ascii="Arial" w:hAnsi="Arial" w:cs="Arial"/>
          <w:b/>
          <w:sz w:val="24"/>
          <w:szCs w:val="24"/>
        </w:rPr>
      </w:pPr>
      <w:r w:rsidRPr="009A71A4">
        <w:rPr>
          <w:rFonts w:ascii="Arial" w:hAnsi="Arial" w:cs="Arial"/>
          <w:b/>
          <w:sz w:val="24"/>
          <w:szCs w:val="24"/>
        </w:rPr>
        <w:t>3</w:t>
      </w:r>
      <w:r w:rsidR="00D638D1" w:rsidRPr="00B341C7">
        <w:rPr>
          <w:rFonts w:ascii="Arial" w:hAnsi="Arial" w:cs="Arial"/>
          <w:b/>
          <w:sz w:val="24"/>
          <w:szCs w:val="24"/>
        </w:rPr>
        <w:t>. Organización y Objeto Social:</w:t>
      </w:r>
    </w:p>
    <w:p w14:paraId="30BDE8A7"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a) Objeto social.</w:t>
      </w:r>
    </w:p>
    <w:p w14:paraId="00931840" w14:textId="77777777" w:rsidR="00D638D1" w:rsidRPr="00B341C7" w:rsidRDefault="00D638D1" w:rsidP="00171BDF">
      <w:pPr>
        <w:jc w:val="both"/>
        <w:rPr>
          <w:rFonts w:ascii="Arial" w:hAnsi="Arial" w:cs="Arial"/>
          <w:sz w:val="20"/>
          <w:szCs w:val="20"/>
          <w:lang w:val="es-ES" w:eastAsia="es-ES"/>
        </w:rPr>
      </w:pPr>
      <w:r w:rsidRPr="00B341C7">
        <w:rPr>
          <w:rFonts w:ascii="Arial" w:hAnsi="Arial" w:cs="Arial"/>
          <w:sz w:val="20"/>
          <w:szCs w:val="20"/>
          <w:lang w:val="es-ES" w:eastAsia="es-ES"/>
        </w:rPr>
        <w:t>COFOCE tendrá por objeto:</w:t>
      </w:r>
    </w:p>
    <w:p w14:paraId="261610F7" w14:textId="77777777" w:rsidR="00D638D1" w:rsidRPr="00B341C7" w:rsidRDefault="00D638D1" w:rsidP="00171BDF">
      <w:pPr>
        <w:jc w:val="both"/>
        <w:rPr>
          <w:rFonts w:ascii="Arial" w:hAnsi="Arial" w:cs="Arial"/>
          <w:sz w:val="20"/>
          <w:szCs w:val="20"/>
          <w:lang w:val="es-ES" w:eastAsia="es-ES"/>
        </w:rPr>
      </w:pPr>
      <w:r w:rsidRPr="00B341C7">
        <w:rPr>
          <w:rFonts w:ascii="Arial" w:hAnsi="Arial" w:cs="Arial"/>
          <w:sz w:val="20"/>
          <w:szCs w:val="20"/>
          <w:lang w:val="es-ES" w:eastAsia="es-ES"/>
        </w:rPr>
        <w:t>I.- Fomentar y promover las exportaciones de productos y servicios guanajuatenses;</w:t>
      </w:r>
    </w:p>
    <w:p w14:paraId="379592AC" w14:textId="77777777" w:rsidR="00D638D1" w:rsidRPr="00B341C7" w:rsidRDefault="00D638D1" w:rsidP="00171BDF">
      <w:pPr>
        <w:jc w:val="both"/>
        <w:rPr>
          <w:rFonts w:ascii="Arial" w:hAnsi="Arial" w:cs="Arial"/>
          <w:sz w:val="20"/>
          <w:szCs w:val="20"/>
          <w:lang w:val="es-ES" w:eastAsia="es-ES"/>
        </w:rPr>
      </w:pPr>
      <w:r w:rsidRPr="00B341C7">
        <w:rPr>
          <w:rFonts w:ascii="Arial" w:hAnsi="Arial" w:cs="Arial"/>
          <w:sz w:val="20"/>
          <w:szCs w:val="20"/>
          <w:lang w:val="es-ES" w:eastAsia="es-ES"/>
        </w:rPr>
        <w:t>II.- Desarrollar la oferta exportable;</w:t>
      </w:r>
    </w:p>
    <w:p w14:paraId="0028A5A5" w14:textId="77777777" w:rsidR="00D638D1" w:rsidRPr="00B341C7" w:rsidRDefault="00D638D1" w:rsidP="00171BDF">
      <w:pPr>
        <w:jc w:val="both"/>
        <w:rPr>
          <w:rFonts w:ascii="Arial" w:hAnsi="Arial" w:cs="Arial"/>
          <w:sz w:val="20"/>
          <w:szCs w:val="20"/>
          <w:lang w:val="es-ES" w:eastAsia="es-ES"/>
        </w:rPr>
      </w:pPr>
      <w:r w:rsidRPr="00B341C7">
        <w:rPr>
          <w:rFonts w:ascii="Arial" w:hAnsi="Arial" w:cs="Arial"/>
          <w:sz w:val="20"/>
          <w:szCs w:val="20"/>
          <w:lang w:val="es-ES" w:eastAsia="es-ES"/>
        </w:rPr>
        <w:t xml:space="preserve">III.- Apoyar la creación de una cultura de comercio exterior; y </w:t>
      </w:r>
    </w:p>
    <w:p w14:paraId="32675BF2" w14:textId="77777777" w:rsidR="00D638D1" w:rsidRDefault="00D638D1" w:rsidP="00171BDF">
      <w:pPr>
        <w:jc w:val="both"/>
        <w:rPr>
          <w:rFonts w:ascii="Arial" w:hAnsi="Arial" w:cs="Arial"/>
          <w:sz w:val="20"/>
          <w:szCs w:val="20"/>
          <w:lang w:val="es-ES" w:eastAsia="es-ES"/>
        </w:rPr>
      </w:pPr>
      <w:r w:rsidRPr="00B341C7">
        <w:rPr>
          <w:rFonts w:ascii="Arial" w:hAnsi="Arial" w:cs="Arial"/>
          <w:sz w:val="20"/>
          <w:szCs w:val="20"/>
          <w:lang w:val="es-ES" w:eastAsia="es-ES"/>
        </w:rPr>
        <w:t>IV.- Colaborar en la atracción de inversión extranjera directa.</w:t>
      </w:r>
    </w:p>
    <w:p w14:paraId="63751AB8" w14:textId="77777777" w:rsidR="009A71A4" w:rsidRPr="00B341C7" w:rsidRDefault="009A71A4" w:rsidP="00171BDF">
      <w:pPr>
        <w:jc w:val="both"/>
        <w:rPr>
          <w:rFonts w:ascii="Arial" w:hAnsi="Arial" w:cs="Arial"/>
          <w:sz w:val="20"/>
          <w:szCs w:val="20"/>
          <w:lang w:val="es-ES" w:eastAsia="es-ES"/>
        </w:rPr>
      </w:pPr>
    </w:p>
    <w:p w14:paraId="423F24D0"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b) Principal actividad.</w:t>
      </w:r>
    </w:p>
    <w:p w14:paraId="0B7415E2"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lastRenderedPageBreak/>
        <w:t>COFOCE tendrá las siguientes facultades:</w:t>
      </w:r>
    </w:p>
    <w:p w14:paraId="7F783C2A"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I.- Actuar como organismo representante del Gobierno del Estado en materia de comercio exterior y colaborar en la atracción de inversión extranjera directa, en coordinación con otras dependencias gubernamentales;</w:t>
      </w:r>
    </w:p>
    <w:p w14:paraId="42A918E2"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II.- Apoyar y asesorar al Gobierno del Estado en materia de comercio exterior e inversión extranjera, para la elaboración de programas que respondan a las necesidades de los diferentes sectores económicos de la Entidad;</w:t>
      </w:r>
    </w:p>
    <w:p w14:paraId="6C2C793B"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III.- Establecer relaciones de colaboración con instituciones y organismos públicos y privados, asociaciones y cámaras industriales nacionales y extranjeras, con el fin de promover negocios y establecer programas de cooperación internacional y de asistencia técnica;</w:t>
      </w:r>
    </w:p>
    <w:p w14:paraId="0133B231"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IV.- Servir como gestor y medio de enlace entre los sectores económicos del Estado y las instituciones nacionales e internacionales, públicas y privadas relacionadas con el comercio exterior y la inversión extranjera, con el fin de negociar apoyos o proponer acciones que beneficien a las empresas del Estado, en coordinación con otras dependencias gubernamentales;</w:t>
      </w:r>
    </w:p>
    <w:p w14:paraId="3747A8B0"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V.- Colaborar en la atracción de inversiones productivas directas del extranjero para lograr el desarrollo sustentable en aquellos sectores y áreas geográficas de interés para la economía del Estado, en coordinación con otras dependencias gubernamentales;</w:t>
      </w:r>
    </w:p>
    <w:p w14:paraId="531F4C31"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VI.- Servir de foro para discutir la problemática de comercio exterior de los diferentes sectores económicos del Estado, proponiendo alternativas de solución;</w:t>
      </w:r>
    </w:p>
    <w:p w14:paraId="72BADA73"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VII.- Detectar oportunidades en mercados internacionales para fomentar las exportaciones de</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productos y servicios guanajuatenses y colaborar directamente en los proyectos de exportación</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de las empresas del Estado, cuando así lo acuerde con éstas;</w:t>
      </w:r>
    </w:p>
    <w:p w14:paraId="055B6824"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VIII.- Prestar la asesoría y los servicios especializados en comercio exterior que permitan a las</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empresas del Estado contar con los apoyos necesarios para participar en los mercados</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internacionales;</w:t>
      </w:r>
    </w:p>
    <w:p w14:paraId="1EB6D205"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IX.- Comercializar productos y derechos de propiedad intelectual, así como recibir las comisiones</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que originen las ventas de los productos y servicios de aquellas empresas que así lo acuerden</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con COFOCE;</w:t>
      </w:r>
    </w:p>
    <w:p w14:paraId="66A3D258"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X.- Participar en la conformación y operación de asociaciones y sociedades afines a su objeto;</w:t>
      </w:r>
    </w:p>
    <w:p w14:paraId="35C97394"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XI.- Fomentar la cultura de comercio exterior, proporcionando la información y capacitación que</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responda a las necesidades de la sociedad exportadora e instituciones públicas y privadas,</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así como organizando diplomados, seminarios, conferencias, congresos y todo tipo de eventos</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que propicien un mayor conocimiento de la realidad de los mercados internacionales y los</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potenciales negocios para las empresas de Guanajuato;</w:t>
      </w:r>
    </w:p>
    <w:p w14:paraId="0C63C70A"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lastRenderedPageBreak/>
        <w:t>XII.- Participar en la promoción de los proyectos de desarrollo económico del Estado en el que</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participen dependencias e instituciones de los sectores públicos y privados, con el fin de</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apoyar los programas de comercio exterior y contribuir con la Secretaría de Desarrollo</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Económico Sustentable en la atracción de inversión extranjera directa;</w:t>
      </w:r>
    </w:p>
    <w:p w14:paraId="6AD78F0A"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XIII.- Promover y apoyar a organismos e instituciones en la organización de ferias, exposiciones,</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congresos y convenciones que difundan el comercio exterior y atraigan la inversión extranjera</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directa al Estado, en coordinación con otras dependencias gubernamentales;</w:t>
      </w:r>
    </w:p>
    <w:p w14:paraId="6A976C9D" w14:textId="77777777" w:rsidR="00BA233A"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XIV.- Establecer los programas de apoyo y asistencia técnica que permitan a las empresas del</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Estado adecuar su oferta a las necesidades y tendencias de los mercados internacionales; y</w:t>
      </w:r>
    </w:p>
    <w:p w14:paraId="4E2EB826" w14:textId="77777777" w:rsidR="00D638D1" w:rsidRPr="00B341C7" w:rsidRDefault="00BA233A" w:rsidP="00171BDF">
      <w:pPr>
        <w:jc w:val="both"/>
        <w:rPr>
          <w:rFonts w:ascii="Arial" w:hAnsi="Arial" w:cs="Arial"/>
          <w:sz w:val="20"/>
          <w:szCs w:val="20"/>
          <w:lang w:val="es-ES" w:eastAsia="es-ES"/>
        </w:rPr>
      </w:pPr>
      <w:r w:rsidRPr="00B341C7">
        <w:rPr>
          <w:rFonts w:ascii="Arial" w:hAnsi="Arial" w:cs="Arial"/>
          <w:sz w:val="20"/>
          <w:szCs w:val="20"/>
          <w:lang w:val="es-ES" w:eastAsia="es-ES"/>
        </w:rPr>
        <w:t>XV.- Las demás que sean necesarias para la consecución de su objeto, observando las disposiciones</w:t>
      </w:r>
      <w:r w:rsidR="00E83D9E" w:rsidRPr="00B341C7">
        <w:rPr>
          <w:rFonts w:ascii="Arial" w:hAnsi="Arial" w:cs="Arial"/>
          <w:sz w:val="20"/>
          <w:szCs w:val="20"/>
          <w:lang w:val="es-ES" w:eastAsia="es-ES"/>
        </w:rPr>
        <w:t xml:space="preserve"> </w:t>
      </w:r>
      <w:r w:rsidRPr="00B341C7">
        <w:rPr>
          <w:rFonts w:ascii="Arial" w:hAnsi="Arial" w:cs="Arial"/>
          <w:sz w:val="20"/>
          <w:szCs w:val="20"/>
          <w:lang w:val="es-ES" w:eastAsia="es-ES"/>
        </w:rPr>
        <w:t>legales y reglamentarias aplicables.</w:t>
      </w:r>
    </w:p>
    <w:p w14:paraId="715B5FF8"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c) Ejercicio fiscal.</w:t>
      </w:r>
    </w:p>
    <w:p w14:paraId="597DA8F3" w14:textId="473361E2" w:rsidR="00D638D1" w:rsidRPr="00B341C7" w:rsidRDefault="00E83D9E">
      <w:pPr>
        <w:jc w:val="both"/>
        <w:rPr>
          <w:rFonts w:ascii="Arial" w:hAnsi="Arial" w:cs="Arial"/>
          <w:sz w:val="20"/>
          <w:szCs w:val="20"/>
        </w:rPr>
      </w:pPr>
      <w:r w:rsidRPr="00B341C7">
        <w:rPr>
          <w:rFonts w:ascii="Arial" w:hAnsi="Arial" w:cs="Arial"/>
          <w:sz w:val="20"/>
          <w:szCs w:val="20"/>
        </w:rPr>
        <w:t xml:space="preserve">El presente ejercicio fiscal que ampara el comienzo de estas notas de Gestión se determina por el periodo </w:t>
      </w:r>
      <w:r w:rsidR="00D638D1" w:rsidRPr="00B341C7">
        <w:rPr>
          <w:rFonts w:ascii="Arial" w:hAnsi="Arial" w:cs="Arial"/>
          <w:sz w:val="20"/>
          <w:szCs w:val="20"/>
        </w:rPr>
        <w:t>Enero a</w:t>
      </w:r>
      <w:r w:rsidR="000255A0">
        <w:rPr>
          <w:rFonts w:ascii="Arial" w:hAnsi="Arial" w:cs="Arial"/>
          <w:sz w:val="20"/>
          <w:szCs w:val="20"/>
        </w:rPr>
        <w:t xml:space="preserve"> </w:t>
      </w:r>
      <w:proofErr w:type="gramStart"/>
      <w:r w:rsidR="00D25D00">
        <w:rPr>
          <w:rFonts w:ascii="Arial" w:hAnsi="Arial" w:cs="Arial"/>
          <w:sz w:val="20"/>
          <w:szCs w:val="20"/>
        </w:rPr>
        <w:t>Junio</w:t>
      </w:r>
      <w:proofErr w:type="gramEnd"/>
      <w:r w:rsidR="00DC1108">
        <w:rPr>
          <w:rFonts w:ascii="Arial" w:hAnsi="Arial" w:cs="Arial"/>
          <w:sz w:val="20"/>
          <w:szCs w:val="20"/>
        </w:rPr>
        <w:t xml:space="preserve"> del 202</w:t>
      </w:r>
      <w:r w:rsidR="000255A0">
        <w:rPr>
          <w:rFonts w:ascii="Arial" w:hAnsi="Arial" w:cs="Arial"/>
          <w:sz w:val="20"/>
          <w:szCs w:val="20"/>
        </w:rPr>
        <w:t>6</w:t>
      </w:r>
      <w:r w:rsidR="00D739A7">
        <w:rPr>
          <w:rFonts w:ascii="Arial" w:hAnsi="Arial" w:cs="Arial"/>
          <w:sz w:val="20"/>
          <w:szCs w:val="20"/>
        </w:rPr>
        <w:t>.</w:t>
      </w:r>
    </w:p>
    <w:p w14:paraId="44C755DB"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d) Régimen jurídico.</w:t>
      </w:r>
    </w:p>
    <w:p w14:paraId="2E359BC2" w14:textId="77777777" w:rsidR="00D638D1" w:rsidRPr="00B341C7" w:rsidRDefault="00D638D1" w:rsidP="00EC5E2B">
      <w:pPr>
        <w:jc w:val="both"/>
        <w:rPr>
          <w:rFonts w:ascii="Arial" w:hAnsi="Arial" w:cs="Arial"/>
          <w:sz w:val="20"/>
          <w:szCs w:val="20"/>
          <w:lang w:val="es-ES" w:eastAsia="es-ES"/>
        </w:rPr>
      </w:pPr>
      <w:r w:rsidRPr="00B341C7">
        <w:rPr>
          <w:rFonts w:ascii="Arial" w:hAnsi="Arial" w:cs="Arial"/>
          <w:sz w:val="20"/>
          <w:szCs w:val="20"/>
          <w:lang w:val="es-ES" w:eastAsia="es-ES"/>
        </w:rPr>
        <w:t>La Coordinadora de Fomento al Comercio Exterior del Estado de Guanajuato es un organismo público descentralizado de la Administración Pública Estatal, con personalidad jurídica y patrimonio propios, identificado mediante las siglas COFOCE.</w:t>
      </w:r>
    </w:p>
    <w:p w14:paraId="59A53C37" w14:textId="77777777" w:rsidR="00D638D1" w:rsidRPr="00B341C7" w:rsidRDefault="00D638D1">
      <w:pPr>
        <w:jc w:val="both"/>
        <w:rPr>
          <w:rFonts w:ascii="Arial" w:hAnsi="Arial" w:cs="Arial"/>
          <w:sz w:val="20"/>
          <w:szCs w:val="20"/>
          <w:lang w:val="es-ES" w:eastAsia="es-ES"/>
        </w:rPr>
      </w:pPr>
      <w:r w:rsidRPr="00B341C7">
        <w:rPr>
          <w:rFonts w:ascii="Arial" w:hAnsi="Arial" w:cs="Arial"/>
          <w:sz w:val="20"/>
          <w:szCs w:val="20"/>
          <w:lang w:val="es-ES" w:eastAsia="es-ES"/>
        </w:rPr>
        <w:t>El régimen fiscal en el cual la Coordinadora de Fomento al Comercio Exterior del Estado de Guanajuato está registrada ante el Padrón de contribuyentes es en el título III de la Ley del ISR, el cual</w:t>
      </w:r>
      <w:r w:rsidR="004515F5" w:rsidRPr="00B341C7">
        <w:rPr>
          <w:rFonts w:ascii="Arial" w:hAnsi="Arial" w:cs="Arial"/>
          <w:sz w:val="20"/>
          <w:szCs w:val="20"/>
          <w:lang w:val="es-ES" w:eastAsia="es-ES"/>
        </w:rPr>
        <w:t>,</w:t>
      </w:r>
      <w:r w:rsidRPr="00B341C7">
        <w:rPr>
          <w:rFonts w:ascii="Arial" w:hAnsi="Arial" w:cs="Arial"/>
          <w:sz w:val="20"/>
          <w:szCs w:val="20"/>
          <w:lang w:val="es-ES" w:eastAsia="es-ES"/>
        </w:rPr>
        <w:t xml:space="preserve"> comprende a las personas Morales No contribuyentes, ya que su objeto fiscal no persigue la obtención de utilidades</w:t>
      </w:r>
      <w:r w:rsidR="004515F5" w:rsidRPr="00B341C7">
        <w:rPr>
          <w:rFonts w:ascii="Arial" w:hAnsi="Arial" w:cs="Arial"/>
          <w:sz w:val="20"/>
          <w:szCs w:val="20"/>
          <w:lang w:val="es-ES" w:eastAsia="es-ES"/>
        </w:rPr>
        <w:t xml:space="preserve"> “lucro”</w:t>
      </w:r>
      <w:r w:rsidRPr="00B341C7">
        <w:rPr>
          <w:rFonts w:ascii="Arial" w:hAnsi="Arial" w:cs="Arial"/>
          <w:sz w:val="20"/>
          <w:szCs w:val="20"/>
          <w:lang w:val="es-ES" w:eastAsia="es-ES"/>
        </w:rPr>
        <w:t>.</w:t>
      </w:r>
    </w:p>
    <w:p w14:paraId="3303E28C" w14:textId="77777777" w:rsidR="00D638D1" w:rsidRPr="00B341C7" w:rsidRDefault="006F50FD">
      <w:pPr>
        <w:jc w:val="both"/>
        <w:rPr>
          <w:rFonts w:ascii="Arial" w:hAnsi="Arial" w:cs="Arial"/>
          <w:sz w:val="20"/>
          <w:szCs w:val="20"/>
          <w:lang w:val="es-ES" w:eastAsia="es-ES"/>
        </w:rPr>
      </w:pPr>
      <w:r w:rsidRPr="00B341C7">
        <w:rPr>
          <w:rFonts w:ascii="Arial" w:hAnsi="Arial" w:cs="Arial"/>
          <w:sz w:val="20"/>
          <w:szCs w:val="20"/>
          <w:lang w:val="es-ES" w:eastAsia="es-ES"/>
        </w:rPr>
        <w:t>COFOCE</w:t>
      </w:r>
      <w:r w:rsidR="00D638D1" w:rsidRPr="00B341C7">
        <w:rPr>
          <w:rFonts w:ascii="Arial" w:hAnsi="Arial" w:cs="Arial"/>
          <w:sz w:val="20"/>
          <w:szCs w:val="20"/>
          <w:lang w:val="es-ES" w:eastAsia="es-ES"/>
        </w:rPr>
        <w:t xml:space="preserve"> en un inicio se dio de alta en este régimen derivado de que las facultades y atribuciones de esta Coordinadora de conformidad con el decreto de creación primigenio y su objeto eran precisamente distintas de cualquier actividad empresarial de las que se mencionan en el Código Fiscal de la Federación.</w:t>
      </w:r>
    </w:p>
    <w:p w14:paraId="3716E329" w14:textId="77777777" w:rsidR="00EC5E2B" w:rsidRPr="00B341C7" w:rsidRDefault="00EC5E2B" w:rsidP="00EC5E2B">
      <w:pPr>
        <w:jc w:val="both"/>
        <w:rPr>
          <w:rFonts w:ascii="Arial" w:hAnsi="Arial" w:cs="Arial"/>
          <w:b/>
          <w:sz w:val="20"/>
          <w:szCs w:val="20"/>
          <w:lang w:val="es-ES" w:eastAsia="es-ES"/>
        </w:rPr>
      </w:pPr>
      <w:r w:rsidRPr="00B341C7">
        <w:rPr>
          <w:rFonts w:ascii="Arial" w:hAnsi="Arial" w:cs="Arial"/>
          <w:b/>
          <w:sz w:val="20"/>
          <w:szCs w:val="20"/>
          <w:lang w:val="es-ES" w:eastAsia="es-ES"/>
        </w:rPr>
        <w:t>BASE LEGAL</w:t>
      </w:r>
    </w:p>
    <w:p w14:paraId="04156E9F" w14:textId="77777777" w:rsidR="00EC5E2B" w:rsidRPr="00B341C7" w:rsidRDefault="00EC5E2B" w:rsidP="00EC5E2B">
      <w:pPr>
        <w:jc w:val="both"/>
        <w:rPr>
          <w:rFonts w:ascii="Arial" w:hAnsi="Arial" w:cs="Arial"/>
          <w:sz w:val="20"/>
          <w:szCs w:val="20"/>
          <w:lang w:val="es-ES" w:eastAsia="es-ES"/>
        </w:rPr>
      </w:pPr>
      <w:r w:rsidRPr="00B341C7">
        <w:rPr>
          <w:rFonts w:ascii="Arial" w:hAnsi="Arial" w:cs="Arial"/>
          <w:sz w:val="20"/>
          <w:szCs w:val="20"/>
          <w:lang w:val="es-ES" w:eastAsia="es-ES"/>
        </w:rPr>
        <w:t>Constitución Política para el Estado de Guanajuato,</w:t>
      </w:r>
    </w:p>
    <w:p w14:paraId="45416B41" w14:textId="77777777" w:rsidR="00EC5E2B" w:rsidRPr="00B341C7" w:rsidRDefault="00EC5E2B" w:rsidP="00EC5E2B">
      <w:pPr>
        <w:jc w:val="both"/>
        <w:rPr>
          <w:rFonts w:ascii="Arial" w:hAnsi="Arial" w:cs="Arial"/>
          <w:sz w:val="20"/>
          <w:szCs w:val="20"/>
          <w:lang w:val="es-ES" w:eastAsia="es-ES"/>
        </w:rPr>
      </w:pPr>
      <w:r w:rsidRPr="00B341C7">
        <w:rPr>
          <w:rFonts w:ascii="Arial" w:hAnsi="Arial" w:cs="Arial"/>
          <w:sz w:val="20"/>
          <w:szCs w:val="20"/>
          <w:lang w:val="es-ES" w:eastAsia="es-ES"/>
        </w:rPr>
        <w:t>Ley Orgánica para el Poder Ejecutivo del Estado de Guanajuato,</w:t>
      </w:r>
    </w:p>
    <w:p w14:paraId="79BC7DDE" w14:textId="77777777" w:rsidR="00EC5E2B" w:rsidRPr="00B341C7" w:rsidRDefault="00EC5E2B" w:rsidP="00EC5E2B">
      <w:pPr>
        <w:jc w:val="both"/>
        <w:rPr>
          <w:rFonts w:ascii="Arial" w:hAnsi="Arial" w:cs="Arial"/>
          <w:sz w:val="20"/>
          <w:szCs w:val="20"/>
          <w:lang w:val="es-ES" w:eastAsia="es-ES"/>
        </w:rPr>
      </w:pPr>
      <w:r w:rsidRPr="00B341C7">
        <w:rPr>
          <w:rFonts w:ascii="Arial" w:hAnsi="Arial" w:cs="Arial"/>
          <w:sz w:val="20"/>
          <w:szCs w:val="20"/>
          <w:lang w:val="es-ES" w:eastAsia="es-ES"/>
        </w:rPr>
        <w:t>Periódico Oficial de Gobierno del Estado de Guanajuato,</w:t>
      </w:r>
    </w:p>
    <w:p w14:paraId="4F35A502" w14:textId="77777777" w:rsidR="00EC5E2B" w:rsidRPr="00B341C7" w:rsidRDefault="00EC5E2B" w:rsidP="00EC5E2B">
      <w:pPr>
        <w:jc w:val="both"/>
        <w:rPr>
          <w:rFonts w:ascii="Arial" w:hAnsi="Arial" w:cs="Arial"/>
          <w:sz w:val="20"/>
          <w:szCs w:val="20"/>
          <w:lang w:val="es-ES" w:eastAsia="es-ES"/>
        </w:rPr>
      </w:pPr>
      <w:r w:rsidRPr="00B341C7">
        <w:rPr>
          <w:rFonts w:ascii="Arial" w:hAnsi="Arial" w:cs="Arial"/>
          <w:sz w:val="20"/>
          <w:szCs w:val="20"/>
          <w:lang w:val="es-ES" w:eastAsia="es-ES"/>
        </w:rPr>
        <w:lastRenderedPageBreak/>
        <w:t>Ley para el Desarrollo y Competitividad Económica del Estado de Guanajuato y sus municipios,</w:t>
      </w:r>
    </w:p>
    <w:p w14:paraId="58082534" w14:textId="77777777" w:rsidR="00EC5E2B" w:rsidRPr="00B341C7" w:rsidRDefault="00EC5E2B" w:rsidP="00EC5E2B">
      <w:pPr>
        <w:jc w:val="both"/>
        <w:rPr>
          <w:rFonts w:ascii="Arial" w:hAnsi="Arial" w:cs="Arial"/>
          <w:sz w:val="20"/>
          <w:szCs w:val="20"/>
          <w:lang w:val="es-ES" w:eastAsia="es-ES"/>
        </w:rPr>
      </w:pPr>
      <w:r w:rsidRPr="00B341C7">
        <w:rPr>
          <w:rFonts w:ascii="Arial" w:hAnsi="Arial" w:cs="Arial"/>
          <w:sz w:val="20"/>
          <w:szCs w:val="20"/>
          <w:lang w:val="es-ES" w:eastAsia="es-ES"/>
        </w:rPr>
        <w:t>Reglamento Interior de COFOCE.</w:t>
      </w:r>
    </w:p>
    <w:p w14:paraId="4B880FCF" w14:textId="77777777" w:rsidR="00EC5E2B" w:rsidRPr="00B341C7" w:rsidRDefault="00EC5E2B" w:rsidP="00EC5E2B">
      <w:pPr>
        <w:jc w:val="both"/>
        <w:rPr>
          <w:rFonts w:ascii="Arial" w:hAnsi="Arial" w:cs="Arial"/>
          <w:sz w:val="20"/>
          <w:szCs w:val="20"/>
          <w:lang w:val="es-ES" w:eastAsia="es-ES"/>
        </w:rPr>
      </w:pPr>
      <w:r w:rsidRPr="00B341C7">
        <w:rPr>
          <w:rFonts w:ascii="Arial" w:hAnsi="Arial" w:cs="Arial"/>
          <w:sz w:val="20"/>
          <w:szCs w:val="20"/>
          <w:lang w:val="es-ES" w:eastAsia="es-ES"/>
        </w:rPr>
        <w:t>Decretos de COFOCE:</w:t>
      </w:r>
    </w:p>
    <w:p w14:paraId="573F856C" w14:textId="77777777" w:rsidR="009A71A4" w:rsidRDefault="009A71A4">
      <w:pPr>
        <w:jc w:val="both"/>
        <w:rPr>
          <w:rFonts w:ascii="Arial" w:hAnsi="Arial" w:cs="Arial"/>
          <w:b/>
          <w:sz w:val="20"/>
          <w:szCs w:val="20"/>
          <w:u w:val="single"/>
        </w:rPr>
      </w:pPr>
    </w:p>
    <w:p w14:paraId="035E8551" w14:textId="77777777" w:rsidR="00530DD1" w:rsidRDefault="00530DD1">
      <w:pPr>
        <w:jc w:val="both"/>
        <w:rPr>
          <w:rFonts w:ascii="Arial" w:hAnsi="Arial" w:cs="Arial"/>
          <w:b/>
          <w:sz w:val="20"/>
          <w:szCs w:val="20"/>
          <w:u w:val="single"/>
        </w:rPr>
      </w:pPr>
    </w:p>
    <w:p w14:paraId="4A9A4383" w14:textId="77777777" w:rsidR="00530DD1" w:rsidRDefault="00530DD1">
      <w:pPr>
        <w:jc w:val="both"/>
        <w:rPr>
          <w:rFonts w:ascii="Arial" w:hAnsi="Arial" w:cs="Arial"/>
          <w:b/>
          <w:sz w:val="20"/>
          <w:szCs w:val="20"/>
          <w:u w:val="single"/>
        </w:rPr>
      </w:pPr>
    </w:p>
    <w:p w14:paraId="3E0EDD1F" w14:textId="77777777" w:rsidR="00530DD1" w:rsidRDefault="00530DD1">
      <w:pPr>
        <w:jc w:val="both"/>
        <w:rPr>
          <w:rFonts w:ascii="Arial" w:hAnsi="Arial" w:cs="Arial"/>
          <w:b/>
          <w:sz w:val="20"/>
          <w:szCs w:val="20"/>
          <w:u w:val="single"/>
        </w:rPr>
      </w:pPr>
    </w:p>
    <w:p w14:paraId="1EE98151" w14:textId="77777777" w:rsidR="00530DD1" w:rsidRDefault="00530DD1">
      <w:pPr>
        <w:jc w:val="both"/>
        <w:rPr>
          <w:rFonts w:ascii="Arial" w:hAnsi="Arial" w:cs="Arial"/>
          <w:b/>
          <w:sz w:val="20"/>
          <w:szCs w:val="20"/>
          <w:u w:val="single"/>
        </w:rPr>
      </w:pPr>
    </w:p>
    <w:p w14:paraId="103B20AA" w14:textId="77777777" w:rsidR="00530DD1" w:rsidRDefault="00530DD1">
      <w:pPr>
        <w:jc w:val="both"/>
        <w:rPr>
          <w:rFonts w:ascii="Arial" w:hAnsi="Arial" w:cs="Arial"/>
          <w:b/>
          <w:sz w:val="20"/>
          <w:szCs w:val="20"/>
          <w:u w:val="single"/>
        </w:rPr>
      </w:pPr>
    </w:p>
    <w:p w14:paraId="68CDBB89" w14:textId="77777777" w:rsidR="00530DD1" w:rsidRDefault="00530DD1">
      <w:pPr>
        <w:jc w:val="both"/>
        <w:rPr>
          <w:rFonts w:ascii="Arial" w:hAnsi="Arial" w:cs="Arial"/>
          <w:b/>
          <w:sz w:val="20"/>
          <w:szCs w:val="20"/>
          <w:u w:val="single"/>
        </w:rPr>
      </w:pPr>
    </w:p>
    <w:p w14:paraId="1DAB720D" w14:textId="77777777" w:rsidR="00530DD1" w:rsidRDefault="00530DD1">
      <w:pPr>
        <w:jc w:val="both"/>
        <w:rPr>
          <w:rFonts w:ascii="Arial" w:hAnsi="Arial" w:cs="Arial"/>
          <w:b/>
          <w:sz w:val="20"/>
          <w:szCs w:val="20"/>
          <w:u w:val="single"/>
        </w:rPr>
      </w:pPr>
    </w:p>
    <w:p w14:paraId="0B6C2833" w14:textId="77777777" w:rsidR="00530DD1" w:rsidRDefault="00530DD1">
      <w:pPr>
        <w:jc w:val="both"/>
        <w:rPr>
          <w:rFonts w:ascii="Arial" w:hAnsi="Arial" w:cs="Arial"/>
          <w:b/>
          <w:sz w:val="20"/>
          <w:szCs w:val="20"/>
          <w:u w:val="single"/>
        </w:rPr>
      </w:pPr>
    </w:p>
    <w:p w14:paraId="205613A4" w14:textId="77777777" w:rsidR="00530DD1" w:rsidRDefault="00530DD1">
      <w:pPr>
        <w:jc w:val="both"/>
        <w:rPr>
          <w:rFonts w:ascii="Arial" w:hAnsi="Arial" w:cs="Arial"/>
          <w:b/>
          <w:sz w:val="20"/>
          <w:szCs w:val="20"/>
          <w:u w:val="single"/>
        </w:rPr>
      </w:pPr>
    </w:p>
    <w:p w14:paraId="1EAE0A84" w14:textId="77777777" w:rsidR="00530DD1" w:rsidRDefault="00530DD1">
      <w:pPr>
        <w:jc w:val="both"/>
        <w:rPr>
          <w:rFonts w:ascii="Arial" w:hAnsi="Arial" w:cs="Arial"/>
          <w:b/>
          <w:sz w:val="20"/>
          <w:szCs w:val="20"/>
          <w:u w:val="single"/>
        </w:rPr>
      </w:pPr>
    </w:p>
    <w:p w14:paraId="5524F4C0" w14:textId="77777777" w:rsidR="00530DD1" w:rsidRDefault="00530DD1">
      <w:pPr>
        <w:jc w:val="both"/>
        <w:rPr>
          <w:rFonts w:ascii="Arial" w:hAnsi="Arial" w:cs="Arial"/>
          <w:b/>
          <w:sz w:val="20"/>
          <w:szCs w:val="20"/>
          <w:u w:val="single"/>
        </w:rPr>
      </w:pPr>
    </w:p>
    <w:p w14:paraId="541DD3DF" w14:textId="77777777" w:rsidR="00530DD1" w:rsidRDefault="00530DD1">
      <w:pPr>
        <w:jc w:val="both"/>
        <w:rPr>
          <w:rFonts w:ascii="Arial" w:hAnsi="Arial" w:cs="Arial"/>
          <w:b/>
          <w:sz w:val="20"/>
          <w:szCs w:val="20"/>
          <w:u w:val="single"/>
        </w:rPr>
      </w:pPr>
    </w:p>
    <w:p w14:paraId="599E7554" w14:textId="77777777" w:rsidR="00530DD1" w:rsidRDefault="00530DD1">
      <w:pPr>
        <w:jc w:val="both"/>
        <w:rPr>
          <w:rFonts w:ascii="Arial" w:hAnsi="Arial" w:cs="Arial"/>
          <w:b/>
          <w:sz w:val="20"/>
          <w:szCs w:val="20"/>
          <w:u w:val="single"/>
        </w:rPr>
      </w:pPr>
    </w:p>
    <w:p w14:paraId="5EA08348" w14:textId="77777777" w:rsidR="00530DD1" w:rsidRDefault="00530DD1">
      <w:pPr>
        <w:jc w:val="both"/>
        <w:rPr>
          <w:rFonts w:ascii="Arial" w:hAnsi="Arial" w:cs="Arial"/>
          <w:b/>
          <w:sz w:val="20"/>
          <w:szCs w:val="20"/>
          <w:u w:val="single"/>
        </w:rPr>
      </w:pPr>
    </w:p>
    <w:p w14:paraId="005147F3" w14:textId="77777777" w:rsidR="00530DD1" w:rsidRDefault="00530DD1">
      <w:pPr>
        <w:jc w:val="both"/>
        <w:rPr>
          <w:rFonts w:ascii="Arial" w:hAnsi="Arial" w:cs="Arial"/>
          <w:b/>
          <w:sz w:val="20"/>
          <w:szCs w:val="20"/>
          <w:u w:val="single"/>
        </w:rPr>
      </w:pPr>
    </w:p>
    <w:p w14:paraId="72532255" w14:textId="3AEE6949" w:rsidR="00D638D1" w:rsidRDefault="00D638D1">
      <w:pPr>
        <w:jc w:val="both"/>
        <w:rPr>
          <w:rFonts w:ascii="Arial" w:hAnsi="Arial" w:cs="Arial"/>
          <w:b/>
          <w:sz w:val="20"/>
          <w:szCs w:val="20"/>
          <w:u w:val="single"/>
        </w:rPr>
      </w:pPr>
      <w:r w:rsidRPr="00B341C7">
        <w:rPr>
          <w:rFonts w:ascii="Arial" w:hAnsi="Arial" w:cs="Arial"/>
          <w:b/>
          <w:sz w:val="20"/>
          <w:szCs w:val="20"/>
          <w:u w:val="single"/>
        </w:rPr>
        <w:lastRenderedPageBreak/>
        <w:t>e) Consideraciones fiscales del ente:</w:t>
      </w:r>
    </w:p>
    <w:p w14:paraId="431CFD50" w14:textId="78EEBABA" w:rsidR="003F51BB" w:rsidRDefault="00005EC8" w:rsidP="003F51BB">
      <w:pPr>
        <w:jc w:val="center"/>
        <w:rPr>
          <w:rFonts w:ascii="Arial" w:hAnsi="Arial" w:cs="Arial"/>
          <w:b/>
          <w:sz w:val="20"/>
          <w:szCs w:val="20"/>
          <w:u w:val="single"/>
        </w:rPr>
      </w:pPr>
      <w:r w:rsidRPr="00005EC8">
        <w:rPr>
          <w:rFonts w:ascii="Arial" w:hAnsi="Arial" w:cs="Arial"/>
          <w:b/>
          <w:noProof/>
          <w:sz w:val="20"/>
          <w:szCs w:val="20"/>
          <w:u w:val="single"/>
        </w:rPr>
        <w:drawing>
          <wp:inline distT="0" distB="0" distL="0" distR="0" wp14:anchorId="797E5EAA" wp14:editId="11184AB9">
            <wp:extent cx="4271160" cy="5229225"/>
            <wp:effectExtent l="0" t="0" r="0" b="0"/>
            <wp:docPr id="525902565" name="Imagen 1"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02565" name="Imagen 1" descr="Interfaz de usuario gráfica, Texto&#10;&#10;El contenido generado por IA puede ser incorrecto."/>
                    <pic:cNvPicPr/>
                  </pic:nvPicPr>
                  <pic:blipFill>
                    <a:blip r:embed="rId8"/>
                    <a:stretch>
                      <a:fillRect/>
                    </a:stretch>
                  </pic:blipFill>
                  <pic:spPr>
                    <a:xfrm>
                      <a:off x="0" y="0"/>
                      <a:ext cx="4299055" cy="5263377"/>
                    </a:xfrm>
                    <a:prstGeom prst="rect">
                      <a:avLst/>
                    </a:prstGeom>
                  </pic:spPr>
                </pic:pic>
              </a:graphicData>
            </a:graphic>
          </wp:inline>
        </w:drawing>
      </w:r>
    </w:p>
    <w:p w14:paraId="4A2EB99B" w14:textId="3C09AAC1" w:rsidR="001F01A9" w:rsidRDefault="00005EC8" w:rsidP="003400DD">
      <w:pPr>
        <w:jc w:val="center"/>
        <w:rPr>
          <w:rFonts w:ascii="Arial" w:hAnsi="Arial" w:cs="Arial"/>
          <w:b/>
          <w:sz w:val="20"/>
          <w:szCs w:val="20"/>
          <w:u w:val="single"/>
        </w:rPr>
      </w:pPr>
      <w:r w:rsidRPr="00005EC8">
        <w:rPr>
          <w:rFonts w:ascii="Arial" w:hAnsi="Arial" w:cs="Arial"/>
          <w:b/>
          <w:noProof/>
          <w:sz w:val="20"/>
          <w:szCs w:val="20"/>
          <w:u w:val="single"/>
        </w:rPr>
        <w:lastRenderedPageBreak/>
        <w:drawing>
          <wp:inline distT="0" distB="0" distL="0" distR="0" wp14:anchorId="59E87B96" wp14:editId="39702F7E">
            <wp:extent cx="5205730" cy="6332220"/>
            <wp:effectExtent l="0" t="0" r="0" b="0"/>
            <wp:docPr id="147159348"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9348" name="Imagen 1" descr="Interfaz de usuario gráfica, Texto, Aplicación, Correo electrónico&#10;&#10;El contenido generado por IA puede ser incorrecto."/>
                    <pic:cNvPicPr/>
                  </pic:nvPicPr>
                  <pic:blipFill>
                    <a:blip r:embed="rId9"/>
                    <a:stretch>
                      <a:fillRect/>
                    </a:stretch>
                  </pic:blipFill>
                  <pic:spPr>
                    <a:xfrm>
                      <a:off x="0" y="0"/>
                      <a:ext cx="5205730" cy="6332220"/>
                    </a:xfrm>
                    <a:prstGeom prst="rect">
                      <a:avLst/>
                    </a:prstGeom>
                  </pic:spPr>
                </pic:pic>
              </a:graphicData>
            </a:graphic>
          </wp:inline>
        </w:drawing>
      </w:r>
    </w:p>
    <w:p w14:paraId="7D935D73"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lastRenderedPageBreak/>
        <w:t>f) Estructura organizacional básica.</w:t>
      </w:r>
    </w:p>
    <w:p w14:paraId="1975056F" w14:textId="77777777" w:rsidR="00D638D1" w:rsidRPr="00B341C7" w:rsidRDefault="00D638D1" w:rsidP="009E6E2E">
      <w:pPr>
        <w:jc w:val="both"/>
        <w:rPr>
          <w:rFonts w:ascii="Arial" w:hAnsi="Arial" w:cs="Arial"/>
          <w:sz w:val="20"/>
          <w:szCs w:val="20"/>
          <w:lang w:val="es-ES" w:eastAsia="es-ES"/>
        </w:rPr>
      </w:pPr>
      <w:r w:rsidRPr="00B341C7">
        <w:rPr>
          <w:rFonts w:ascii="Arial" w:hAnsi="Arial" w:cs="Arial"/>
          <w:sz w:val="20"/>
          <w:szCs w:val="20"/>
          <w:lang w:val="es-ES" w:eastAsia="es-ES"/>
        </w:rPr>
        <w:t>Para el cumplimiento de su objeto, operación y despacho de los asuntos que le competen, COFOCE contará con la siguiente estructura administrativa:</w:t>
      </w:r>
    </w:p>
    <w:p w14:paraId="395E2228" w14:textId="77777777" w:rsidR="00BC57F6" w:rsidRPr="00B341C7" w:rsidRDefault="00BC57F6" w:rsidP="00BC57F6">
      <w:pPr>
        <w:pStyle w:val="CM48"/>
        <w:spacing w:line="240" w:lineRule="atLeast"/>
        <w:ind w:firstLine="567"/>
        <w:jc w:val="both"/>
        <w:rPr>
          <w:rFonts w:ascii="Arial" w:hAnsi="Arial" w:cs="Arial"/>
          <w:color w:val="000000"/>
          <w:sz w:val="20"/>
          <w:szCs w:val="20"/>
        </w:rPr>
      </w:pPr>
      <w:r w:rsidRPr="00B341C7">
        <w:rPr>
          <w:rFonts w:ascii="Arial" w:hAnsi="Arial" w:cs="Arial"/>
          <w:color w:val="000000"/>
          <w:sz w:val="20"/>
          <w:szCs w:val="20"/>
        </w:rPr>
        <w:t xml:space="preserve">COFOCE contará con la siguiente estructura administrativa: </w:t>
      </w:r>
    </w:p>
    <w:p w14:paraId="6B512029" w14:textId="77777777" w:rsidR="00BC57F6" w:rsidRPr="00B341C7" w:rsidRDefault="00BC57F6" w:rsidP="00A95ADF">
      <w:pPr>
        <w:pStyle w:val="CM48"/>
        <w:numPr>
          <w:ilvl w:val="0"/>
          <w:numId w:val="5"/>
        </w:numPr>
        <w:spacing w:line="240" w:lineRule="atLeast"/>
        <w:ind w:hanging="11"/>
        <w:jc w:val="both"/>
        <w:rPr>
          <w:rFonts w:ascii="Arial" w:hAnsi="Arial" w:cs="Arial"/>
          <w:b/>
          <w:color w:val="000000"/>
          <w:sz w:val="20"/>
          <w:szCs w:val="20"/>
        </w:rPr>
      </w:pPr>
      <w:r w:rsidRPr="00B341C7">
        <w:rPr>
          <w:rFonts w:ascii="Arial" w:hAnsi="Arial" w:cs="Arial"/>
          <w:b/>
          <w:color w:val="000000"/>
          <w:sz w:val="20"/>
          <w:szCs w:val="20"/>
        </w:rPr>
        <w:t xml:space="preserve">Despacho del </w:t>
      </w:r>
      <w:proofErr w:type="gramStart"/>
      <w:r w:rsidRPr="00B341C7">
        <w:rPr>
          <w:rFonts w:ascii="Arial" w:hAnsi="Arial" w:cs="Arial"/>
          <w:b/>
          <w:color w:val="000000"/>
          <w:sz w:val="20"/>
          <w:szCs w:val="20"/>
        </w:rPr>
        <w:t>Director General</w:t>
      </w:r>
      <w:proofErr w:type="gramEnd"/>
      <w:r w:rsidRPr="00B341C7">
        <w:rPr>
          <w:rFonts w:ascii="Arial" w:hAnsi="Arial" w:cs="Arial"/>
          <w:b/>
          <w:color w:val="000000"/>
          <w:sz w:val="20"/>
          <w:szCs w:val="20"/>
        </w:rPr>
        <w:t xml:space="preserve">: </w:t>
      </w:r>
    </w:p>
    <w:p w14:paraId="224BB79D" w14:textId="77777777" w:rsidR="00BC57F6" w:rsidRDefault="00BC57F6" w:rsidP="00A95ADF">
      <w:pPr>
        <w:pStyle w:val="CM48"/>
        <w:numPr>
          <w:ilvl w:val="0"/>
          <w:numId w:val="6"/>
        </w:numPr>
        <w:spacing w:line="240" w:lineRule="atLeast"/>
        <w:ind w:firstLine="273"/>
        <w:jc w:val="both"/>
        <w:rPr>
          <w:rFonts w:ascii="Arial" w:hAnsi="Arial" w:cs="Arial"/>
          <w:color w:val="000000"/>
          <w:sz w:val="20"/>
          <w:szCs w:val="20"/>
        </w:rPr>
      </w:pPr>
      <w:r w:rsidRPr="00B341C7">
        <w:rPr>
          <w:rFonts w:ascii="Arial" w:hAnsi="Arial" w:cs="Arial"/>
          <w:color w:val="000000"/>
          <w:sz w:val="20"/>
          <w:szCs w:val="20"/>
        </w:rPr>
        <w:t>Secretaría Particular;</w:t>
      </w:r>
      <w:r w:rsidR="00FD3FBE">
        <w:rPr>
          <w:rFonts w:ascii="Arial" w:hAnsi="Arial" w:cs="Arial"/>
          <w:color w:val="000000"/>
          <w:sz w:val="20"/>
          <w:szCs w:val="20"/>
        </w:rPr>
        <w:t xml:space="preserve"> Privado</w:t>
      </w:r>
    </w:p>
    <w:p w14:paraId="4DCFB91B" w14:textId="77777777" w:rsidR="00FD3FBE" w:rsidRPr="00F65E4B" w:rsidRDefault="00874346" w:rsidP="00FD3FBE">
      <w:pPr>
        <w:pStyle w:val="CM48"/>
        <w:numPr>
          <w:ilvl w:val="0"/>
          <w:numId w:val="6"/>
        </w:numPr>
        <w:spacing w:line="240" w:lineRule="atLeast"/>
        <w:ind w:firstLine="273"/>
        <w:jc w:val="both"/>
        <w:rPr>
          <w:rFonts w:ascii="Arial" w:hAnsi="Arial" w:cs="Arial"/>
          <w:color w:val="000000"/>
          <w:sz w:val="20"/>
          <w:szCs w:val="20"/>
        </w:rPr>
      </w:pPr>
      <w:r>
        <w:rPr>
          <w:rFonts w:ascii="Arial" w:hAnsi="Arial" w:cs="Arial"/>
          <w:color w:val="000000"/>
          <w:sz w:val="20"/>
          <w:szCs w:val="20"/>
        </w:rPr>
        <w:t xml:space="preserve">Dirección de Comunicación Estratégica, y </w:t>
      </w:r>
    </w:p>
    <w:p w14:paraId="34FD2E0E" w14:textId="77777777" w:rsidR="00BC57F6" w:rsidRPr="00B341C7" w:rsidRDefault="00874346" w:rsidP="00A95ADF">
      <w:pPr>
        <w:pStyle w:val="CM48"/>
        <w:numPr>
          <w:ilvl w:val="0"/>
          <w:numId w:val="6"/>
        </w:numPr>
        <w:spacing w:line="240" w:lineRule="atLeast"/>
        <w:ind w:firstLine="273"/>
        <w:jc w:val="both"/>
        <w:rPr>
          <w:rFonts w:ascii="Arial" w:hAnsi="Arial" w:cs="Arial"/>
          <w:color w:val="000000"/>
          <w:sz w:val="20"/>
          <w:szCs w:val="20"/>
        </w:rPr>
      </w:pPr>
      <w:r>
        <w:rPr>
          <w:rFonts w:ascii="Arial" w:hAnsi="Arial" w:cs="Arial"/>
          <w:color w:val="000000"/>
          <w:sz w:val="20"/>
          <w:szCs w:val="20"/>
        </w:rPr>
        <w:t>Dirección Financiera y de Administracion</w:t>
      </w:r>
      <w:r w:rsidR="00BC57F6" w:rsidRPr="00B341C7">
        <w:rPr>
          <w:rFonts w:ascii="Arial" w:hAnsi="Arial" w:cs="Arial"/>
          <w:color w:val="000000"/>
          <w:sz w:val="20"/>
          <w:szCs w:val="20"/>
        </w:rPr>
        <w:t>.</w:t>
      </w:r>
    </w:p>
    <w:p w14:paraId="6FDCA27B" w14:textId="77777777" w:rsidR="00BC57F6" w:rsidRPr="00F65E4B" w:rsidRDefault="00BC57F6" w:rsidP="00A95ADF">
      <w:pPr>
        <w:pStyle w:val="Default"/>
        <w:widowControl w:val="0"/>
        <w:numPr>
          <w:ilvl w:val="0"/>
          <w:numId w:val="5"/>
        </w:numPr>
        <w:ind w:hanging="11"/>
        <w:rPr>
          <w:rFonts w:ascii="Arial" w:hAnsi="Arial" w:cs="Arial"/>
          <w:b/>
          <w:sz w:val="20"/>
          <w:szCs w:val="20"/>
        </w:rPr>
      </w:pPr>
      <w:r w:rsidRPr="00B341C7">
        <w:rPr>
          <w:rFonts w:ascii="Arial" w:hAnsi="Arial" w:cs="Arial"/>
          <w:b/>
          <w:color w:val="auto"/>
          <w:sz w:val="20"/>
          <w:szCs w:val="20"/>
        </w:rPr>
        <w:t xml:space="preserve">Dirección General </w:t>
      </w:r>
      <w:r w:rsidR="00874346">
        <w:rPr>
          <w:rFonts w:ascii="Arial" w:hAnsi="Arial" w:cs="Arial"/>
          <w:b/>
          <w:color w:val="auto"/>
          <w:sz w:val="20"/>
          <w:szCs w:val="20"/>
        </w:rPr>
        <w:t>de Desarrollo para la exportación y Certificaciones Internacionales;</w:t>
      </w:r>
    </w:p>
    <w:p w14:paraId="7E5228E3" w14:textId="77777777" w:rsidR="00F65E4B" w:rsidRPr="00B341C7" w:rsidRDefault="00F65E4B" w:rsidP="00F65E4B">
      <w:pPr>
        <w:pStyle w:val="Default"/>
        <w:widowControl w:val="0"/>
        <w:rPr>
          <w:rFonts w:ascii="Arial" w:hAnsi="Arial" w:cs="Arial"/>
          <w:b/>
          <w:sz w:val="20"/>
          <w:szCs w:val="20"/>
        </w:rPr>
      </w:pPr>
    </w:p>
    <w:p w14:paraId="30F7955C" w14:textId="77777777" w:rsidR="00BC57F6" w:rsidRPr="00874346" w:rsidRDefault="00874346" w:rsidP="003816A1">
      <w:pPr>
        <w:pStyle w:val="Default"/>
        <w:widowControl w:val="0"/>
        <w:numPr>
          <w:ilvl w:val="0"/>
          <w:numId w:val="5"/>
        </w:numPr>
        <w:ind w:hanging="11"/>
        <w:rPr>
          <w:rFonts w:ascii="Arial" w:hAnsi="Arial" w:cs="Arial"/>
          <w:b/>
          <w:color w:val="auto"/>
          <w:sz w:val="20"/>
          <w:szCs w:val="20"/>
        </w:rPr>
      </w:pPr>
      <w:r w:rsidRPr="00874346">
        <w:rPr>
          <w:rFonts w:ascii="Arial" w:hAnsi="Arial" w:cs="Arial"/>
          <w:b/>
          <w:color w:val="auto"/>
          <w:sz w:val="20"/>
          <w:szCs w:val="20"/>
        </w:rPr>
        <w:t>Dirección General de Competitividad Internacional, y</w:t>
      </w:r>
      <w:r w:rsidR="00BC57F6" w:rsidRPr="00874346">
        <w:rPr>
          <w:rFonts w:ascii="Arial" w:hAnsi="Arial" w:cs="Arial"/>
          <w:b/>
          <w:color w:val="auto"/>
          <w:sz w:val="20"/>
          <w:szCs w:val="20"/>
        </w:rPr>
        <w:t xml:space="preserve"> </w:t>
      </w:r>
    </w:p>
    <w:p w14:paraId="2529BEDE" w14:textId="77777777" w:rsidR="00874346" w:rsidRDefault="00874346" w:rsidP="00874346">
      <w:pPr>
        <w:pStyle w:val="Default"/>
        <w:widowControl w:val="0"/>
        <w:rPr>
          <w:rFonts w:ascii="Arial" w:hAnsi="Arial" w:cs="Arial"/>
          <w:sz w:val="20"/>
          <w:szCs w:val="20"/>
        </w:rPr>
      </w:pPr>
    </w:p>
    <w:p w14:paraId="4D8C1953" w14:textId="77777777" w:rsidR="00BC57F6" w:rsidRPr="00B341C7" w:rsidRDefault="00BC57F6" w:rsidP="00A95ADF">
      <w:pPr>
        <w:pStyle w:val="Default"/>
        <w:widowControl w:val="0"/>
        <w:numPr>
          <w:ilvl w:val="0"/>
          <w:numId w:val="5"/>
        </w:numPr>
        <w:ind w:hanging="11"/>
        <w:rPr>
          <w:rFonts w:ascii="Arial" w:hAnsi="Arial" w:cs="Arial"/>
          <w:b/>
          <w:color w:val="auto"/>
          <w:sz w:val="20"/>
          <w:szCs w:val="20"/>
        </w:rPr>
      </w:pPr>
      <w:r w:rsidRPr="00B341C7">
        <w:rPr>
          <w:rFonts w:ascii="Arial" w:hAnsi="Arial" w:cs="Arial"/>
          <w:b/>
          <w:color w:val="auto"/>
          <w:sz w:val="20"/>
          <w:szCs w:val="20"/>
        </w:rPr>
        <w:t xml:space="preserve"> </w:t>
      </w:r>
      <w:r w:rsidR="00874346">
        <w:rPr>
          <w:rFonts w:ascii="Arial" w:hAnsi="Arial" w:cs="Arial"/>
          <w:b/>
          <w:color w:val="auto"/>
          <w:sz w:val="20"/>
          <w:szCs w:val="20"/>
        </w:rPr>
        <w:t>Órgano Interno de Control.</w:t>
      </w:r>
    </w:p>
    <w:p w14:paraId="12B4545B" w14:textId="77777777" w:rsidR="00BC57F6" w:rsidRDefault="00BC57F6" w:rsidP="00BC57F6">
      <w:pPr>
        <w:jc w:val="both"/>
        <w:rPr>
          <w:rFonts w:ascii="Arial" w:hAnsi="Arial" w:cs="Arial"/>
          <w:sz w:val="20"/>
          <w:szCs w:val="20"/>
        </w:rPr>
      </w:pPr>
    </w:p>
    <w:p w14:paraId="2B14DA50" w14:textId="77777777" w:rsidR="00F65E4B" w:rsidRDefault="00F65E4B" w:rsidP="00BC57F6">
      <w:pPr>
        <w:jc w:val="both"/>
        <w:rPr>
          <w:rFonts w:ascii="Arial" w:hAnsi="Arial" w:cs="Arial"/>
          <w:sz w:val="20"/>
          <w:szCs w:val="20"/>
        </w:rPr>
      </w:pPr>
    </w:p>
    <w:p w14:paraId="5A07EBD4" w14:textId="77777777" w:rsidR="00F65E4B" w:rsidRDefault="00F65E4B" w:rsidP="00BC57F6">
      <w:pPr>
        <w:jc w:val="both"/>
        <w:rPr>
          <w:rFonts w:ascii="Arial" w:hAnsi="Arial" w:cs="Arial"/>
          <w:sz w:val="20"/>
          <w:szCs w:val="20"/>
        </w:rPr>
      </w:pPr>
    </w:p>
    <w:p w14:paraId="7CEF09C4" w14:textId="77777777" w:rsidR="00F65E4B" w:rsidRDefault="00F65E4B" w:rsidP="00BC57F6">
      <w:pPr>
        <w:jc w:val="both"/>
        <w:rPr>
          <w:rFonts w:ascii="Arial" w:hAnsi="Arial" w:cs="Arial"/>
          <w:sz w:val="20"/>
          <w:szCs w:val="20"/>
        </w:rPr>
      </w:pPr>
    </w:p>
    <w:p w14:paraId="795697AA" w14:textId="77777777" w:rsidR="00F65E4B" w:rsidRDefault="00F65E4B" w:rsidP="00BC57F6">
      <w:pPr>
        <w:jc w:val="both"/>
        <w:rPr>
          <w:rFonts w:ascii="Arial" w:hAnsi="Arial" w:cs="Arial"/>
          <w:sz w:val="20"/>
          <w:szCs w:val="20"/>
        </w:rPr>
      </w:pPr>
    </w:p>
    <w:p w14:paraId="0A055184" w14:textId="77777777" w:rsidR="00F65E4B" w:rsidRDefault="00F65E4B" w:rsidP="00BC57F6">
      <w:pPr>
        <w:jc w:val="both"/>
        <w:rPr>
          <w:rFonts w:ascii="Arial" w:hAnsi="Arial" w:cs="Arial"/>
          <w:sz w:val="20"/>
          <w:szCs w:val="20"/>
        </w:rPr>
      </w:pPr>
    </w:p>
    <w:p w14:paraId="0914F911" w14:textId="77777777" w:rsidR="00F65E4B" w:rsidRDefault="00F65E4B" w:rsidP="00BC57F6">
      <w:pPr>
        <w:jc w:val="both"/>
        <w:rPr>
          <w:rFonts w:ascii="Arial" w:hAnsi="Arial" w:cs="Arial"/>
          <w:sz w:val="20"/>
          <w:szCs w:val="20"/>
        </w:rPr>
      </w:pPr>
    </w:p>
    <w:p w14:paraId="04A3B8ED" w14:textId="77777777" w:rsidR="00F65E4B" w:rsidRDefault="00F65E4B" w:rsidP="00BC57F6">
      <w:pPr>
        <w:jc w:val="both"/>
        <w:rPr>
          <w:rFonts w:ascii="Arial" w:hAnsi="Arial" w:cs="Arial"/>
          <w:sz w:val="20"/>
          <w:szCs w:val="20"/>
        </w:rPr>
      </w:pPr>
    </w:p>
    <w:p w14:paraId="17FA14F9" w14:textId="77777777" w:rsidR="00F65E4B" w:rsidRDefault="00F65E4B" w:rsidP="00BC57F6">
      <w:pPr>
        <w:jc w:val="both"/>
        <w:rPr>
          <w:rFonts w:ascii="Arial" w:hAnsi="Arial" w:cs="Arial"/>
          <w:sz w:val="20"/>
          <w:szCs w:val="20"/>
        </w:rPr>
      </w:pPr>
    </w:p>
    <w:p w14:paraId="700342C3" w14:textId="6B65522E" w:rsidR="007F02FC" w:rsidRDefault="00A64602" w:rsidP="003F5A2A">
      <w:pPr>
        <w:jc w:val="center"/>
        <w:rPr>
          <w:rFonts w:ascii="Arial" w:hAnsi="Arial" w:cs="Arial"/>
          <w:b/>
          <w:sz w:val="20"/>
          <w:szCs w:val="20"/>
          <w:lang w:val="es-ES" w:eastAsia="es-ES"/>
        </w:rPr>
      </w:pPr>
      <w:r w:rsidRPr="00A64602">
        <w:rPr>
          <w:rFonts w:ascii="Arial" w:hAnsi="Arial" w:cs="Arial"/>
          <w:b/>
          <w:noProof/>
          <w:sz w:val="20"/>
          <w:szCs w:val="20"/>
          <w:lang w:val="es-ES" w:eastAsia="es-ES"/>
        </w:rPr>
        <w:lastRenderedPageBreak/>
        <w:drawing>
          <wp:inline distT="0" distB="0" distL="0" distR="0" wp14:anchorId="290EAA0B" wp14:editId="20C14D54">
            <wp:extent cx="8618220" cy="4757420"/>
            <wp:effectExtent l="0" t="0" r="0" b="5080"/>
            <wp:docPr id="21017871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87164" name=""/>
                    <pic:cNvPicPr/>
                  </pic:nvPicPr>
                  <pic:blipFill>
                    <a:blip r:embed="rId10"/>
                    <a:stretch>
                      <a:fillRect/>
                    </a:stretch>
                  </pic:blipFill>
                  <pic:spPr>
                    <a:xfrm>
                      <a:off x="0" y="0"/>
                      <a:ext cx="8618220" cy="4757420"/>
                    </a:xfrm>
                    <a:prstGeom prst="rect">
                      <a:avLst/>
                    </a:prstGeom>
                  </pic:spPr>
                </pic:pic>
              </a:graphicData>
            </a:graphic>
          </wp:inline>
        </w:drawing>
      </w:r>
    </w:p>
    <w:p w14:paraId="4825166B" w14:textId="77777777" w:rsidR="007F02FC" w:rsidRDefault="007F02FC" w:rsidP="003F5A2A">
      <w:pPr>
        <w:jc w:val="center"/>
        <w:rPr>
          <w:rFonts w:ascii="Arial" w:hAnsi="Arial" w:cs="Arial"/>
          <w:b/>
          <w:sz w:val="20"/>
          <w:szCs w:val="20"/>
          <w:lang w:val="es-ES" w:eastAsia="es-ES"/>
        </w:rPr>
      </w:pPr>
    </w:p>
    <w:p w14:paraId="51D9F025" w14:textId="77777777" w:rsidR="000660D0" w:rsidRDefault="000660D0" w:rsidP="003F5A2A">
      <w:pPr>
        <w:jc w:val="center"/>
        <w:rPr>
          <w:rFonts w:ascii="Arial" w:hAnsi="Arial" w:cs="Arial"/>
          <w:b/>
          <w:sz w:val="20"/>
          <w:szCs w:val="20"/>
          <w:lang w:val="es-ES" w:eastAsia="es-ES"/>
        </w:rPr>
      </w:pPr>
    </w:p>
    <w:p w14:paraId="73CB4B4B" w14:textId="46A2AA4D" w:rsidR="004C29D7" w:rsidRDefault="00343D0A" w:rsidP="003F5A2A">
      <w:pPr>
        <w:jc w:val="center"/>
        <w:rPr>
          <w:rFonts w:ascii="Arial" w:hAnsi="Arial" w:cs="Arial"/>
          <w:b/>
          <w:sz w:val="20"/>
          <w:szCs w:val="20"/>
          <w:lang w:val="es-ES" w:eastAsia="es-ES"/>
        </w:rPr>
      </w:pPr>
      <w:r w:rsidRPr="00343D0A">
        <w:rPr>
          <w:rFonts w:ascii="Arial" w:hAnsi="Arial" w:cs="Arial"/>
          <w:b/>
          <w:noProof/>
          <w:sz w:val="20"/>
          <w:szCs w:val="20"/>
          <w:lang w:val="es-ES" w:eastAsia="es-ES"/>
        </w:rPr>
        <w:lastRenderedPageBreak/>
        <w:drawing>
          <wp:inline distT="0" distB="0" distL="0" distR="0" wp14:anchorId="696C3180" wp14:editId="2D638BC0">
            <wp:extent cx="8618220" cy="4832985"/>
            <wp:effectExtent l="0" t="0" r="0" b="5715"/>
            <wp:docPr id="757760767"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60767" name="Imagen 1" descr="Diagrama&#10;&#10;El contenido generado por IA puede ser incorrecto."/>
                    <pic:cNvPicPr/>
                  </pic:nvPicPr>
                  <pic:blipFill>
                    <a:blip r:embed="rId11"/>
                    <a:stretch>
                      <a:fillRect/>
                    </a:stretch>
                  </pic:blipFill>
                  <pic:spPr>
                    <a:xfrm>
                      <a:off x="0" y="0"/>
                      <a:ext cx="8618220" cy="4832985"/>
                    </a:xfrm>
                    <a:prstGeom prst="rect">
                      <a:avLst/>
                    </a:prstGeom>
                  </pic:spPr>
                </pic:pic>
              </a:graphicData>
            </a:graphic>
          </wp:inline>
        </w:drawing>
      </w:r>
    </w:p>
    <w:p w14:paraId="59147C39" w14:textId="77777777" w:rsidR="004C29D7" w:rsidRDefault="004C29D7" w:rsidP="003F5A2A">
      <w:pPr>
        <w:jc w:val="center"/>
        <w:rPr>
          <w:rFonts w:ascii="Arial" w:hAnsi="Arial" w:cs="Arial"/>
          <w:b/>
          <w:sz w:val="20"/>
          <w:szCs w:val="20"/>
          <w:lang w:val="es-ES" w:eastAsia="es-ES"/>
        </w:rPr>
      </w:pPr>
    </w:p>
    <w:p w14:paraId="01EE79D7" w14:textId="77777777" w:rsidR="004C29D7" w:rsidRDefault="004C29D7" w:rsidP="003F5A2A">
      <w:pPr>
        <w:jc w:val="center"/>
        <w:rPr>
          <w:rFonts w:ascii="Arial" w:hAnsi="Arial" w:cs="Arial"/>
          <w:b/>
          <w:sz w:val="20"/>
          <w:szCs w:val="20"/>
          <w:lang w:val="es-ES" w:eastAsia="es-ES"/>
        </w:rPr>
      </w:pPr>
    </w:p>
    <w:p w14:paraId="34C4EC7F" w14:textId="1D2E34E4" w:rsidR="004C29D7" w:rsidRDefault="00343D0A" w:rsidP="003F5A2A">
      <w:pPr>
        <w:jc w:val="center"/>
        <w:rPr>
          <w:rFonts w:ascii="Arial" w:hAnsi="Arial" w:cs="Arial"/>
          <w:b/>
          <w:sz w:val="20"/>
          <w:szCs w:val="20"/>
          <w:lang w:val="es-ES" w:eastAsia="es-ES"/>
        </w:rPr>
      </w:pPr>
      <w:r w:rsidRPr="00343D0A">
        <w:rPr>
          <w:rFonts w:ascii="Arial" w:hAnsi="Arial" w:cs="Arial"/>
          <w:b/>
          <w:noProof/>
          <w:sz w:val="20"/>
          <w:szCs w:val="20"/>
          <w:lang w:val="es-ES" w:eastAsia="es-ES"/>
        </w:rPr>
        <w:lastRenderedPageBreak/>
        <w:drawing>
          <wp:inline distT="0" distB="0" distL="0" distR="0" wp14:anchorId="10AFD21E" wp14:editId="27828232">
            <wp:extent cx="8618220" cy="4815840"/>
            <wp:effectExtent l="0" t="0" r="0" b="3810"/>
            <wp:docPr id="1729511505"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11505" name="Imagen 1" descr="Diagrama&#10;&#10;El contenido generado por IA puede ser incorrecto."/>
                    <pic:cNvPicPr/>
                  </pic:nvPicPr>
                  <pic:blipFill>
                    <a:blip r:embed="rId12"/>
                    <a:stretch>
                      <a:fillRect/>
                    </a:stretch>
                  </pic:blipFill>
                  <pic:spPr>
                    <a:xfrm>
                      <a:off x="0" y="0"/>
                      <a:ext cx="8618220" cy="4815840"/>
                    </a:xfrm>
                    <a:prstGeom prst="rect">
                      <a:avLst/>
                    </a:prstGeom>
                  </pic:spPr>
                </pic:pic>
              </a:graphicData>
            </a:graphic>
          </wp:inline>
        </w:drawing>
      </w:r>
    </w:p>
    <w:p w14:paraId="01B1913F" w14:textId="77777777" w:rsidR="004C29D7" w:rsidRPr="007F02FC" w:rsidRDefault="004C29D7" w:rsidP="003F5A2A">
      <w:pPr>
        <w:jc w:val="center"/>
        <w:rPr>
          <w:rFonts w:ascii="Arial" w:hAnsi="Arial" w:cs="Arial"/>
          <w:b/>
          <w:noProof/>
          <w:sz w:val="20"/>
          <w:szCs w:val="20"/>
          <w:lang w:val="es-ES" w:eastAsia="es-ES"/>
        </w:rPr>
      </w:pPr>
    </w:p>
    <w:p w14:paraId="141DBE7C" w14:textId="77777777" w:rsidR="007F02FC" w:rsidRDefault="007F02FC" w:rsidP="003F5A2A">
      <w:pPr>
        <w:jc w:val="center"/>
        <w:rPr>
          <w:rFonts w:ascii="Arial" w:hAnsi="Arial" w:cs="Arial"/>
          <w:b/>
          <w:sz w:val="20"/>
          <w:szCs w:val="20"/>
          <w:lang w:val="es-ES" w:eastAsia="es-ES"/>
        </w:rPr>
      </w:pPr>
    </w:p>
    <w:p w14:paraId="54214F0C" w14:textId="59E7EA2D" w:rsidR="007F02FC" w:rsidRDefault="00343D0A" w:rsidP="003F5A2A">
      <w:pPr>
        <w:jc w:val="center"/>
        <w:rPr>
          <w:rFonts w:ascii="Arial" w:hAnsi="Arial" w:cs="Arial"/>
          <w:b/>
          <w:sz w:val="20"/>
          <w:szCs w:val="20"/>
          <w:lang w:val="es-ES" w:eastAsia="es-ES"/>
        </w:rPr>
      </w:pPr>
      <w:r w:rsidRPr="00343D0A">
        <w:rPr>
          <w:rFonts w:ascii="Arial" w:hAnsi="Arial" w:cs="Arial"/>
          <w:b/>
          <w:noProof/>
          <w:sz w:val="20"/>
          <w:szCs w:val="20"/>
          <w:lang w:val="es-ES" w:eastAsia="es-ES"/>
        </w:rPr>
        <w:lastRenderedPageBreak/>
        <w:drawing>
          <wp:inline distT="0" distB="0" distL="0" distR="0" wp14:anchorId="310FAB46" wp14:editId="1D0B3A27">
            <wp:extent cx="8618220" cy="4825365"/>
            <wp:effectExtent l="0" t="0" r="0" b="0"/>
            <wp:docPr id="1040730879"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30879" name="Imagen 1" descr="Diagrama&#10;&#10;El contenido generado por IA puede ser incorrecto."/>
                    <pic:cNvPicPr/>
                  </pic:nvPicPr>
                  <pic:blipFill>
                    <a:blip r:embed="rId13"/>
                    <a:stretch>
                      <a:fillRect/>
                    </a:stretch>
                  </pic:blipFill>
                  <pic:spPr>
                    <a:xfrm>
                      <a:off x="0" y="0"/>
                      <a:ext cx="8618220" cy="4825365"/>
                    </a:xfrm>
                    <a:prstGeom prst="rect">
                      <a:avLst/>
                    </a:prstGeom>
                  </pic:spPr>
                </pic:pic>
              </a:graphicData>
            </a:graphic>
          </wp:inline>
        </w:drawing>
      </w:r>
    </w:p>
    <w:p w14:paraId="1CE27274" w14:textId="5EF4FF1E" w:rsidR="007F02FC" w:rsidRDefault="007F02FC" w:rsidP="003F5A2A">
      <w:pPr>
        <w:jc w:val="center"/>
        <w:rPr>
          <w:rFonts w:ascii="Arial" w:hAnsi="Arial" w:cs="Arial"/>
          <w:b/>
          <w:sz w:val="20"/>
          <w:szCs w:val="20"/>
          <w:lang w:val="es-ES" w:eastAsia="es-ES"/>
        </w:rPr>
      </w:pPr>
    </w:p>
    <w:p w14:paraId="364D7F9E" w14:textId="77777777" w:rsidR="007F02FC" w:rsidRDefault="007F02FC" w:rsidP="003F5A2A">
      <w:pPr>
        <w:jc w:val="center"/>
        <w:rPr>
          <w:rFonts w:ascii="Arial" w:hAnsi="Arial" w:cs="Arial"/>
          <w:b/>
          <w:sz w:val="20"/>
          <w:szCs w:val="20"/>
          <w:lang w:val="es-ES" w:eastAsia="es-ES"/>
        </w:rPr>
      </w:pPr>
    </w:p>
    <w:p w14:paraId="5625A212" w14:textId="585DF928" w:rsidR="007F02FC" w:rsidRDefault="00343D0A" w:rsidP="003F5A2A">
      <w:pPr>
        <w:jc w:val="center"/>
        <w:rPr>
          <w:rFonts w:ascii="Arial" w:hAnsi="Arial" w:cs="Arial"/>
          <w:b/>
          <w:sz w:val="20"/>
          <w:szCs w:val="20"/>
          <w:lang w:val="es-ES" w:eastAsia="es-ES"/>
        </w:rPr>
      </w:pPr>
      <w:r w:rsidRPr="00343D0A">
        <w:rPr>
          <w:rFonts w:ascii="Arial" w:hAnsi="Arial" w:cs="Arial"/>
          <w:b/>
          <w:noProof/>
          <w:sz w:val="20"/>
          <w:szCs w:val="20"/>
          <w:lang w:val="es-ES" w:eastAsia="es-ES"/>
        </w:rPr>
        <w:lastRenderedPageBreak/>
        <w:drawing>
          <wp:inline distT="0" distB="0" distL="0" distR="0" wp14:anchorId="282C5610" wp14:editId="42C8B850">
            <wp:extent cx="8618220" cy="4793615"/>
            <wp:effectExtent l="0" t="0" r="0" b="6985"/>
            <wp:docPr id="1136007170"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07170" name="Imagen 1" descr="Diagrama&#10;&#10;El contenido generado por IA puede ser incorrecto."/>
                    <pic:cNvPicPr/>
                  </pic:nvPicPr>
                  <pic:blipFill>
                    <a:blip r:embed="rId14"/>
                    <a:stretch>
                      <a:fillRect/>
                    </a:stretch>
                  </pic:blipFill>
                  <pic:spPr>
                    <a:xfrm>
                      <a:off x="0" y="0"/>
                      <a:ext cx="8618220" cy="4793615"/>
                    </a:xfrm>
                    <a:prstGeom prst="rect">
                      <a:avLst/>
                    </a:prstGeom>
                  </pic:spPr>
                </pic:pic>
              </a:graphicData>
            </a:graphic>
          </wp:inline>
        </w:drawing>
      </w:r>
    </w:p>
    <w:p w14:paraId="7CC765ED" w14:textId="77777777" w:rsidR="007F02FC" w:rsidRDefault="007F02FC" w:rsidP="003F5A2A">
      <w:pPr>
        <w:jc w:val="center"/>
        <w:rPr>
          <w:rFonts w:ascii="Arial" w:hAnsi="Arial" w:cs="Arial"/>
          <w:b/>
          <w:sz w:val="20"/>
          <w:szCs w:val="20"/>
          <w:lang w:val="es-ES" w:eastAsia="es-ES"/>
        </w:rPr>
      </w:pPr>
    </w:p>
    <w:p w14:paraId="089E29B1" w14:textId="77777777" w:rsidR="007F02FC" w:rsidRDefault="007F02FC" w:rsidP="003F5A2A">
      <w:pPr>
        <w:jc w:val="center"/>
        <w:rPr>
          <w:rFonts w:ascii="Arial" w:hAnsi="Arial" w:cs="Arial"/>
          <w:b/>
          <w:sz w:val="20"/>
          <w:szCs w:val="20"/>
          <w:lang w:val="es-ES" w:eastAsia="es-ES"/>
        </w:rPr>
      </w:pPr>
    </w:p>
    <w:p w14:paraId="36B210B1" w14:textId="707686D3" w:rsidR="007F02FC" w:rsidRDefault="00343D0A" w:rsidP="003F5A2A">
      <w:pPr>
        <w:jc w:val="center"/>
        <w:rPr>
          <w:rFonts w:ascii="Arial" w:hAnsi="Arial" w:cs="Arial"/>
          <w:b/>
          <w:sz w:val="20"/>
          <w:szCs w:val="20"/>
          <w:lang w:val="es-ES" w:eastAsia="es-ES"/>
        </w:rPr>
      </w:pPr>
      <w:r w:rsidRPr="00343D0A">
        <w:rPr>
          <w:rFonts w:ascii="Arial" w:hAnsi="Arial" w:cs="Arial"/>
          <w:b/>
          <w:noProof/>
          <w:sz w:val="20"/>
          <w:szCs w:val="20"/>
          <w:lang w:val="es-ES" w:eastAsia="es-ES"/>
        </w:rPr>
        <w:lastRenderedPageBreak/>
        <w:drawing>
          <wp:inline distT="0" distB="0" distL="0" distR="0" wp14:anchorId="0E1F3661" wp14:editId="6775F817">
            <wp:extent cx="8618220" cy="4845050"/>
            <wp:effectExtent l="0" t="0" r="0" b="0"/>
            <wp:docPr id="1082522753"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22753" name="Imagen 1" descr="Diagrama&#10;&#10;El contenido generado por IA puede ser incorrecto."/>
                    <pic:cNvPicPr/>
                  </pic:nvPicPr>
                  <pic:blipFill>
                    <a:blip r:embed="rId15"/>
                    <a:stretch>
                      <a:fillRect/>
                    </a:stretch>
                  </pic:blipFill>
                  <pic:spPr>
                    <a:xfrm>
                      <a:off x="0" y="0"/>
                      <a:ext cx="8618220" cy="4845050"/>
                    </a:xfrm>
                    <a:prstGeom prst="rect">
                      <a:avLst/>
                    </a:prstGeom>
                  </pic:spPr>
                </pic:pic>
              </a:graphicData>
            </a:graphic>
          </wp:inline>
        </w:drawing>
      </w:r>
    </w:p>
    <w:p w14:paraId="68372247" w14:textId="77777777" w:rsidR="007F02FC" w:rsidRDefault="007F02FC" w:rsidP="003F5A2A">
      <w:pPr>
        <w:jc w:val="center"/>
        <w:rPr>
          <w:rFonts w:ascii="Arial" w:hAnsi="Arial" w:cs="Arial"/>
          <w:b/>
          <w:sz w:val="20"/>
          <w:szCs w:val="20"/>
          <w:lang w:val="es-ES" w:eastAsia="es-ES"/>
        </w:rPr>
      </w:pPr>
    </w:p>
    <w:p w14:paraId="262ADEAD" w14:textId="77777777" w:rsidR="007F02FC" w:rsidRDefault="007F02FC" w:rsidP="003F5A2A">
      <w:pPr>
        <w:jc w:val="center"/>
        <w:rPr>
          <w:rFonts w:ascii="Arial" w:hAnsi="Arial" w:cs="Arial"/>
          <w:b/>
          <w:sz w:val="20"/>
          <w:szCs w:val="20"/>
          <w:lang w:val="es-ES" w:eastAsia="es-ES"/>
        </w:rPr>
      </w:pPr>
    </w:p>
    <w:p w14:paraId="55AD675E" w14:textId="097C9FFD" w:rsidR="007F02FC" w:rsidRDefault="00343D0A" w:rsidP="003F5A2A">
      <w:pPr>
        <w:jc w:val="center"/>
        <w:rPr>
          <w:rFonts w:ascii="Arial" w:hAnsi="Arial" w:cs="Arial"/>
          <w:b/>
          <w:sz w:val="20"/>
          <w:szCs w:val="20"/>
          <w:lang w:val="es-ES" w:eastAsia="es-ES"/>
        </w:rPr>
      </w:pPr>
      <w:r w:rsidRPr="00343D0A">
        <w:rPr>
          <w:rFonts w:ascii="Arial" w:hAnsi="Arial" w:cs="Arial"/>
          <w:b/>
          <w:noProof/>
          <w:sz w:val="20"/>
          <w:szCs w:val="20"/>
          <w:lang w:val="es-ES" w:eastAsia="es-ES"/>
        </w:rPr>
        <w:lastRenderedPageBreak/>
        <w:drawing>
          <wp:inline distT="0" distB="0" distL="0" distR="0" wp14:anchorId="0D125753" wp14:editId="2B94CEF8">
            <wp:extent cx="8618220" cy="4872355"/>
            <wp:effectExtent l="0" t="0" r="0" b="4445"/>
            <wp:docPr id="2122871014"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71014" name="Imagen 1" descr="Diagrama&#10;&#10;El contenido generado por IA puede ser incorrecto."/>
                    <pic:cNvPicPr/>
                  </pic:nvPicPr>
                  <pic:blipFill>
                    <a:blip r:embed="rId16"/>
                    <a:stretch>
                      <a:fillRect/>
                    </a:stretch>
                  </pic:blipFill>
                  <pic:spPr>
                    <a:xfrm>
                      <a:off x="0" y="0"/>
                      <a:ext cx="8618220" cy="4872355"/>
                    </a:xfrm>
                    <a:prstGeom prst="rect">
                      <a:avLst/>
                    </a:prstGeom>
                  </pic:spPr>
                </pic:pic>
              </a:graphicData>
            </a:graphic>
          </wp:inline>
        </w:drawing>
      </w:r>
    </w:p>
    <w:p w14:paraId="786356CA" w14:textId="77777777" w:rsidR="007F02FC" w:rsidRDefault="007F02FC" w:rsidP="003F5A2A">
      <w:pPr>
        <w:jc w:val="center"/>
        <w:rPr>
          <w:rFonts w:ascii="Arial" w:hAnsi="Arial" w:cs="Arial"/>
          <w:b/>
          <w:sz w:val="20"/>
          <w:szCs w:val="20"/>
          <w:lang w:val="es-ES" w:eastAsia="es-ES"/>
        </w:rPr>
      </w:pPr>
    </w:p>
    <w:p w14:paraId="160574D4" w14:textId="77777777" w:rsidR="007F02FC" w:rsidRDefault="007F02FC" w:rsidP="003F5A2A">
      <w:pPr>
        <w:jc w:val="center"/>
        <w:rPr>
          <w:rFonts w:ascii="Arial" w:hAnsi="Arial" w:cs="Arial"/>
          <w:b/>
          <w:sz w:val="20"/>
          <w:szCs w:val="20"/>
          <w:lang w:val="es-ES" w:eastAsia="es-ES"/>
        </w:rPr>
      </w:pPr>
    </w:p>
    <w:p w14:paraId="72C16334" w14:textId="779EA780"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lastRenderedPageBreak/>
        <w:t>g) Fideicomisos, mandatos y análogos de los cuales es fideicomitente o fiduciario.</w:t>
      </w:r>
    </w:p>
    <w:p w14:paraId="0007B702" w14:textId="77777777" w:rsidR="00485639" w:rsidRDefault="00D638D1">
      <w:pPr>
        <w:jc w:val="both"/>
        <w:rPr>
          <w:rFonts w:ascii="Arial" w:hAnsi="Arial" w:cs="Arial"/>
          <w:sz w:val="20"/>
          <w:szCs w:val="20"/>
        </w:rPr>
      </w:pPr>
      <w:r w:rsidRPr="00B341C7">
        <w:rPr>
          <w:rFonts w:ascii="Arial" w:hAnsi="Arial" w:cs="Arial"/>
          <w:sz w:val="20"/>
          <w:szCs w:val="20"/>
        </w:rPr>
        <w:t xml:space="preserve">COFOCE actualmente no cuenta con Fideicomisos, mandatos y análogos de los </w:t>
      </w:r>
      <w:r w:rsidR="00485639" w:rsidRPr="00B341C7">
        <w:rPr>
          <w:rFonts w:ascii="Arial" w:hAnsi="Arial" w:cs="Arial"/>
          <w:sz w:val="20"/>
          <w:szCs w:val="20"/>
        </w:rPr>
        <w:t>cuales sea</w:t>
      </w:r>
      <w:r w:rsidRPr="00B341C7">
        <w:rPr>
          <w:rFonts w:ascii="Arial" w:hAnsi="Arial" w:cs="Arial"/>
          <w:sz w:val="20"/>
          <w:szCs w:val="20"/>
        </w:rPr>
        <w:t xml:space="preserve"> fideicomitente o fiduciario.</w:t>
      </w:r>
    </w:p>
    <w:p w14:paraId="4304779B" w14:textId="28B3A905" w:rsidR="00D638D1" w:rsidRPr="00B341C7" w:rsidRDefault="00005EC8">
      <w:pPr>
        <w:jc w:val="both"/>
        <w:rPr>
          <w:rFonts w:ascii="Arial" w:hAnsi="Arial" w:cs="Arial"/>
          <w:b/>
          <w:sz w:val="24"/>
          <w:szCs w:val="24"/>
        </w:rPr>
      </w:pPr>
      <w:r>
        <w:rPr>
          <w:rFonts w:ascii="Arial" w:hAnsi="Arial" w:cs="Arial"/>
          <w:b/>
          <w:sz w:val="24"/>
          <w:szCs w:val="24"/>
        </w:rPr>
        <w:t>4</w:t>
      </w:r>
      <w:r w:rsidR="00D638D1" w:rsidRPr="00B341C7">
        <w:rPr>
          <w:rFonts w:ascii="Arial" w:hAnsi="Arial" w:cs="Arial"/>
          <w:b/>
          <w:sz w:val="24"/>
          <w:szCs w:val="24"/>
        </w:rPr>
        <w:t>. Bases de Preparación de los Estados Financieros:</w:t>
      </w:r>
    </w:p>
    <w:p w14:paraId="1D6D51C6"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a) Si se ha observado la normatividad emitida por el CONAC y las disposiciones legales aplicables.</w:t>
      </w:r>
    </w:p>
    <w:p w14:paraId="05E6DF97" w14:textId="77777777" w:rsidR="00D638D1" w:rsidRPr="00B341C7" w:rsidRDefault="00D638D1">
      <w:pPr>
        <w:jc w:val="both"/>
        <w:rPr>
          <w:rFonts w:ascii="Arial" w:hAnsi="Arial" w:cs="Arial"/>
          <w:sz w:val="20"/>
          <w:szCs w:val="20"/>
        </w:rPr>
      </w:pPr>
      <w:r w:rsidRPr="00B341C7">
        <w:rPr>
          <w:rFonts w:ascii="Arial" w:hAnsi="Arial" w:cs="Arial"/>
          <w:sz w:val="20"/>
          <w:szCs w:val="20"/>
        </w:rPr>
        <w:t>Las Bases de Preparación de los Estados Financieros observan la normatividad emitida por el CONAC y las disposiciones legales aplicables.</w:t>
      </w:r>
    </w:p>
    <w:p w14:paraId="051C6259" w14:textId="77777777" w:rsidR="008F1356" w:rsidRPr="00B341C7" w:rsidRDefault="008F1356">
      <w:pPr>
        <w:jc w:val="both"/>
        <w:rPr>
          <w:rFonts w:ascii="Arial" w:hAnsi="Arial" w:cs="Arial"/>
          <w:sz w:val="20"/>
          <w:szCs w:val="20"/>
        </w:rPr>
      </w:pPr>
      <w:r w:rsidRPr="00B341C7">
        <w:rPr>
          <w:rFonts w:ascii="Arial" w:hAnsi="Arial" w:cs="Arial"/>
          <w:sz w:val="20"/>
          <w:szCs w:val="20"/>
        </w:rPr>
        <w:t xml:space="preserve">Aunado a lo anterior para este ejercicio se está llevando la entrega de la información financiera mediante el sistema </w:t>
      </w:r>
      <w:r w:rsidR="004515F5" w:rsidRPr="00B341C7">
        <w:rPr>
          <w:rFonts w:ascii="Arial" w:hAnsi="Arial" w:cs="Arial"/>
          <w:sz w:val="20"/>
          <w:szCs w:val="20"/>
        </w:rPr>
        <w:t>denominado SAP R/3, el cual, d</w:t>
      </w:r>
      <w:r w:rsidRPr="00B341C7">
        <w:rPr>
          <w:rFonts w:ascii="Arial" w:hAnsi="Arial" w:cs="Arial"/>
          <w:sz w:val="20"/>
          <w:szCs w:val="20"/>
        </w:rPr>
        <w:t>icho sistema opera la SFIA y cumple con los criterios emitidos por la CONAC.</w:t>
      </w:r>
    </w:p>
    <w:p w14:paraId="2CF5B68B" w14:textId="77777777" w:rsidR="00485639" w:rsidRDefault="00D638D1">
      <w:pPr>
        <w:jc w:val="both"/>
        <w:rPr>
          <w:rFonts w:ascii="Arial" w:hAnsi="Arial" w:cs="Arial"/>
          <w:b/>
          <w:sz w:val="20"/>
          <w:szCs w:val="20"/>
          <w:u w:val="single"/>
        </w:rPr>
      </w:pPr>
      <w:r w:rsidRPr="00B341C7">
        <w:rPr>
          <w:rFonts w:ascii="Arial" w:hAnsi="Arial" w:cs="Arial"/>
          <w:b/>
          <w:sz w:val="20"/>
          <w:szCs w:val="20"/>
          <w:u w:val="single"/>
        </w:rPr>
        <w:t xml:space="preserve">b) La normatividad aplicada para el reconocimiento, valuación y revelación de los diferentes rubros de la información financiera, así como las bases de medición utilizadas para la elaboración de los estados financieros; </w:t>
      </w:r>
    </w:p>
    <w:p w14:paraId="6968AD8A" w14:textId="77777777" w:rsidR="00D638D1" w:rsidRPr="00485639" w:rsidRDefault="00D638D1">
      <w:pPr>
        <w:jc w:val="both"/>
        <w:rPr>
          <w:rFonts w:ascii="Arial" w:hAnsi="Arial" w:cs="Arial"/>
          <w:sz w:val="20"/>
          <w:szCs w:val="20"/>
        </w:rPr>
      </w:pPr>
      <w:r w:rsidRPr="00485639">
        <w:rPr>
          <w:rFonts w:ascii="Arial" w:hAnsi="Arial" w:cs="Arial"/>
          <w:sz w:val="20"/>
          <w:szCs w:val="20"/>
        </w:rPr>
        <w:t xml:space="preserve">por ejemplo: costo histórico, valor de realización, valor razonable, valor de recuperación o cualquier otro método empleado y los criterios de aplicación de </w:t>
      </w:r>
      <w:r w:rsidR="000660D0" w:rsidRPr="00485639">
        <w:rPr>
          <w:rFonts w:ascii="Arial" w:hAnsi="Arial" w:cs="Arial"/>
          <w:sz w:val="20"/>
          <w:szCs w:val="20"/>
        </w:rPr>
        <w:t>estos</w:t>
      </w:r>
      <w:r w:rsidRPr="00485639">
        <w:rPr>
          <w:rFonts w:ascii="Arial" w:hAnsi="Arial" w:cs="Arial"/>
          <w:sz w:val="20"/>
          <w:szCs w:val="20"/>
        </w:rPr>
        <w:t>.</w:t>
      </w:r>
    </w:p>
    <w:p w14:paraId="6FD66610"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c) Postulados básicos.</w:t>
      </w:r>
    </w:p>
    <w:p w14:paraId="0F167957" w14:textId="77777777" w:rsidR="00D638D1" w:rsidRDefault="00D638D1">
      <w:pPr>
        <w:jc w:val="both"/>
        <w:rPr>
          <w:rFonts w:ascii="Arial" w:hAnsi="Arial" w:cs="Arial"/>
          <w:sz w:val="20"/>
          <w:szCs w:val="20"/>
        </w:rPr>
      </w:pPr>
      <w:r w:rsidRPr="00B341C7">
        <w:rPr>
          <w:rFonts w:ascii="Arial" w:hAnsi="Arial" w:cs="Arial"/>
          <w:sz w:val="20"/>
          <w:szCs w:val="20"/>
        </w:rPr>
        <w:t>Las Bases de Preparación de los Estados Financieros aplican los Postulados Básicos de Registro Contable, el devengo del ingreso, entre otros, aún se encuentra en fase de desarrollo de los diferentes rubr</w:t>
      </w:r>
      <w:r w:rsidR="00BD5781" w:rsidRPr="00B341C7">
        <w:rPr>
          <w:rFonts w:ascii="Arial" w:hAnsi="Arial" w:cs="Arial"/>
          <w:sz w:val="20"/>
          <w:szCs w:val="20"/>
        </w:rPr>
        <w:t>os de la información financiera.</w:t>
      </w:r>
    </w:p>
    <w:p w14:paraId="6C39A617" w14:textId="3531BCE1" w:rsidR="00D30988" w:rsidRPr="00D30988" w:rsidRDefault="00D30988" w:rsidP="00D30988">
      <w:pPr>
        <w:jc w:val="both"/>
        <w:rPr>
          <w:rFonts w:ascii="Arial" w:hAnsi="Arial" w:cs="Arial"/>
          <w:sz w:val="20"/>
          <w:szCs w:val="20"/>
        </w:rPr>
      </w:pPr>
      <w:r w:rsidRPr="00D30988">
        <w:rPr>
          <w:rFonts w:ascii="Arial" w:hAnsi="Arial" w:cs="Arial"/>
          <w:sz w:val="20"/>
          <w:szCs w:val="20"/>
        </w:rPr>
        <w:t> </w:t>
      </w:r>
    </w:p>
    <w:p w14:paraId="7AA5B5FD"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d) Normatividad supletoria.</w:t>
      </w:r>
    </w:p>
    <w:p w14:paraId="4243B202" w14:textId="77777777" w:rsidR="00D638D1" w:rsidRPr="00B341C7" w:rsidRDefault="00D638D1">
      <w:pPr>
        <w:jc w:val="both"/>
        <w:rPr>
          <w:rFonts w:ascii="Arial" w:hAnsi="Arial" w:cs="Arial"/>
          <w:sz w:val="20"/>
          <w:szCs w:val="20"/>
        </w:rPr>
      </w:pPr>
      <w:r w:rsidRPr="00B341C7">
        <w:rPr>
          <w:rFonts w:ascii="Arial" w:hAnsi="Arial" w:cs="Arial"/>
          <w:sz w:val="20"/>
          <w:szCs w:val="20"/>
        </w:rPr>
        <w:t>COFOCE no aplica normatividad supletoria en sus operaciones.</w:t>
      </w:r>
    </w:p>
    <w:p w14:paraId="3A10BD62"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e) Para las entidades que por primera vez estén implementando la base devengado de acuerdo a la Ley de Contabilidad, deberán:</w:t>
      </w:r>
    </w:p>
    <w:p w14:paraId="2F3E3D75" w14:textId="77777777" w:rsidR="00D638D1" w:rsidRPr="00B341C7" w:rsidRDefault="00D638D1">
      <w:pPr>
        <w:jc w:val="both"/>
        <w:rPr>
          <w:rFonts w:ascii="Arial" w:hAnsi="Arial" w:cs="Arial"/>
          <w:b/>
          <w:sz w:val="20"/>
          <w:szCs w:val="20"/>
        </w:rPr>
      </w:pPr>
      <w:r w:rsidRPr="00B341C7">
        <w:rPr>
          <w:rFonts w:ascii="Cambria Math" w:hAnsi="Cambria Math" w:cs="Cambria Math"/>
          <w:b/>
          <w:sz w:val="20"/>
          <w:szCs w:val="20"/>
        </w:rPr>
        <w:t>‐</w:t>
      </w:r>
      <w:r w:rsidRPr="00B341C7">
        <w:rPr>
          <w:rFonts w:ascii="Arial" w:hAnsi="Arial" w:cs="Arial"/>
          <w:b/>
          <w:sz w:val="20"/>
          <w:szCs w:val="20"/>
        </w:rPr>
        <w:t>Revelar las nuevas políticas de reconocimiento:</w:t>
      </w:r>
    </w:p>
    <w:p w14:paraId="01C877B7"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02A56287" w14:textId="77777777" w:rsidR="00D638D1" w:rsidRPr="00B341C7" w:rsidRDefault="00D638D1">
      <w:pPr>
        <w:jc w:val="both"/>
        <w:rPr>
          <w:rFonts w:ascii="Arial" w:hAnsi="Arial" w:cs="Arial"/>
          <w:b/>
          <w:sz w:val="20"/>
          <w:szCs w:val="20"/>
        </w:rPr>
      </w:pPr>
      <w:r w:rsidRPr="00B341C7">
        <w:rPr>
          <w:rFonts w:ascii="Cambria Math" w:hAnsi="Cambria Math" w:cs="Cambria Math"/>
          <w:b/>
          <w:sz w:val="20"/>
          <w:szCs w:val="20"/>
        </w:rPr>
        <w:t>‐</w:t>
      </w:r>
      <w:r w:rsidRPr="00B341C7">
        <w:rPr>
          <w:rFonts w:ascii="Arial" w:hAnsi="Arial" w:cs="Arial"/>
          <w:b/>
          <w:sz w:val="20"/>
          <w:szCs w:val="20"/>
        </w:rPr>
        <w:t>Plan de implementación:</w:t>
      </w:r>
    </w:p>
    <w:p w14:paraId="1DC18D9E" w14:textId="77777777" w:rsidR="00D638D1" w:rsidRPr="00B341C7" w:rsidRDefault="00D638D1">
      <w:pPr>
        <w:jc w:val="both"/>
        <w:rPr>
          <w:rFonts w:ascii="Arial" w:hAnsi="Arial" w:cs="Arial"/>
          <w:sz w:val="20"/>
          <w:szCs w:val="20"/>
        </w:rPr>
      </w:pPr>
      <w:r w:rsidRPr="00B341C7">
        <w:rPr>
          <w:rFonts w:ascii="Arial" w:hAnsi="Arial" w:cs="Arial"/>
          <w:sz w:val="20"/>
          <w:szCs w:val="20"/>
        </w:rPr>
        <w:lastRenderedPageBreak/>
        <w:t>Este apartado no aplica para COFOCE.</w:t>
      </w:r>
    </w:p>
    <w:p w14:paraId="2562B632" w14:textId="77777777" w:rsidR="00485639" w:rsidRDefault="00D638D1">
      <w:pPr>
        <w:jc w:val="both"/>
        <w:rPr>
          <w:rFonts w:ascii="Arial" w:hAnsi="Arial" w:cs="Arial"/>
          <w:b/>
          <w:sz w:val="20"/>
          <w:szCs w:val="20"/>
        </w:rPr>
      </w:pPr>
      <w:r w:rsidRPr="00B341C7">
        <w:rPr>
          <w:rFonts w:ascii="Cambria Math" w:hAnsi="Cambria Math" w:cs="Cambria Math"/>
          <w:b/>
          <w:sz w:val="20"/>
          <w:szCs w:val="20"/>
        </w:rPr>
        <w:t>‐</w:t>
      </w:r>
      <w:r w:rsidRPr="00B341C7">
        <w:rPr>
          <w:rFonts w:ascii="Arial" w:hAnsi="Arial" w:cs="Arial"/>
          <w:b/>
          <w:sz w:val="20"/>
          <w:szCs w:val="20"/>
        </w:rPr>
        <w:t>Revelar los cambios en las políticas, la clasificación y medición de las mismas, así como su impacto en la información financiera:</w:t>
      </w:r>
      <w:r w:rsidR="00485639">
        <w:rPr>
          <w:rFonts w:ascii="Arial" w:hAnsi="Arial" w:cs="Arial"/>
          <w:b/>
          <w:sz w:val="20"/>
          <w:szCs w:val="20"/>
        </w:rPr>
        <w:t xml:space="preserve"> </w:t>
      </w:r>
    </w:p>
    <w:p w14:paraId="56F45928" w14:textId="77777777" w:rsidR="00485639" w:rsidRDefault="00D638D1">
      <w:pPr>
        <w:jc w:val="both"/>
        <w:rPr>
          <w:rFonts w:ascii="Arial" w:hAnsi="Arial" w:cs="Arial"/>
          <w:sz w:val="20"/>
          <w:szCs w:val="20"/>
        </w:rPr>
      </w:pPr>
      <w:r w:rsidRPr="00B341C7">
        <w:rPr>
          <w:rFonts w:ascii="Arial" w:hAnsi="Arial" w:cs="Arial"/>
          <w:sz w:val="20"/>
          <w:szCs w:val="20"/>
        </w:rPr>
        <w:t>Este</w:t>
      </w:r>
      <w:r w:rsidR="00485639">
        <w:rPr>
          <w:rFonts w:ascii="Arial" w:hAnsi="Arial" w:cs="Arial"/>
          <w:sz w:val="20"/>
          <w:szCs w:val="20"/>
        </w:rPr>
        <w:t xml:space="preserve"> </w:t>
      </w:r>
      <w:r w:rsidRPr="00B341C7">
        <w:rPr>
          <w:rFonts w:ascii="Arial" w:hAnsi="Arial" w:cs="Arial"/>
          <w:sz w:val="20"/>
          <w:szCs w:val="20"/>
        </w:rPr>
        <w:t>apartado no aplica para COFOCE.</w:t>
      </w:r>
    </w:p>
    <w:p w14:paraId="770D27D3" w14:textId="67DE4C7E" w:rsidR="00D638D1" w:rsidRPr="00B341C7" w:rsidRDefault="00A702CC">
      <w:pPr>
        <w:jc w:val="both"/>
        <w:rPr>
          <w:rFonts w:ascii="Arial" w:hAnsi="Arial" w:cs="Arial"/>
          <w:b/>
          <w:sz w:val="24"/>
          <w:szCs w:val="24"/>
        </w:rPr>
      </w:pPr>
      <w:r>
        <w:rPr>
          <w:rFonts w:ascii="Arial" w:hAnsi="Arial" w:cs="Arial"/>
          <w:b/>
          <w:sz w:val="24"/>
          <w:szCs w:val="24"/>
        </w:rPr>
        <w:t>5</w:t>
      </w:r>
      <w:r w:rsidR="00D638D1" w:rsidRPr="00B341C7">
        <w:rPr>
          <w:rFonts w:ascii="Arial" w:hAnsi="Arial" w:cs="Arial"/>
          <w:b/>
          <w:sz w:val="24"/>
          <w:szCs w:val="24"/>
        </w:rPr>
        <w:t>. Políticas de Contabilidad Significativas:</w:t>
      </w:r>
    </w:p>
    <w:p w14:paraId="4EBDB0C1"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a) Actualización:</w:t>
      </w:r>
    </w:p>
    <w:p w14:paraId="5E32B38E"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5A1F2773"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b) Informar sobre la realización de operaciones en el extranjero y de sus efectos en la información financiera gubernamental:</w:t>
      </w:r>
    </w:p>
    <w:p w14:paraId="783950F3" w14:textId="77777777" w:rsidR="00D638D1" w:rsidRPr="00B341C7" w:rsidRDefault="00D638D1">
      <w:pPr>
        <w:jc w:val="both"/>
        <w:rPr>
          <w:rFonts w:ascii="Arial" w:hAnsi="Arial" w:cs="Arial"/>
          <w:sz w:val="20"/>
          <w:szCs w:val="20"/>
        </w:rPr>
      </w:pPr>
      <w:r w:rsidRPr="00B341C7">
        <w:rPr>
          <w:rFonts w:ascii="Arial" w:hAnsi="Arial" w:cs="Arial"/>
          <w:sz w:val="20"/>
          <w:szCs w:val="20"/>
        </w:rPr>
        <w:t>En virtud de que COFOC</w:t>
      </w:r>
      <w:r w:rsidR="00BD39DA" w:rsidRPr="00B341C7">
        <w:rPr>
          <w:rFonts w:ascii="Arial" w:hAnsi="Arial" w:cs="Arial"/>
          <w:sz w:val="20"/>
          <w:szCs w:val="20"/>
        </w:rPr>
        <w:t>E actualmente cuenta con amplia cartera de proveedores e</w:t>
      </w:r>
      <w:r w:rsidRPr="00B341C7">
        <w:rPr>
          <w:rFonts w:ascii="Arial" w:hAnsi="Arial" w:cs="Arial"/>
          <w:sz w:val="20"/>
          <w:szCs w:val="20"/>
        </w:rPr>
        <w:t>n el extranjero mensualmente se realizan transferencias en diferentes divisas.</w:t>
      </w:r>
    </w:p>
    <w:p w14:paraId="49E362E1" w14:textId="77777777" w:rsidR="00D638D1" w:rsidRPr="00B341C7" w:rsidRDefault="00D638D1">
      <w:pPr>
        <w:autoSpaceDE w:val="0"/>
        <w:autoSpaceDN w:val="0"/>
        <w:adjustRightInd w:val="0"/>
        <w:spacing w:after="0" w:line="240" w:lineRule="auto"/>
        <w:jc w:val="both"/>
        <w:rPr>
          <w:rFonts w:ascii="Arial" w:hAnsi="Arial" w:cs="Arial"/>
          <w:sz w:val="20"/>
          <w:szCs w:val="20"/>
          <w:lang w:val="es-ES" w:eastAsia="es-ES"/>
        </w:rPr>
      </w:pPr>
      <w:r w:rsidRPr="00B341C7">
        <w:rPr>
          <w:rFonts w:ascii="Arial" w:hAnsi="Arial" w:cs="Arial"/>
          <w:sz w:val="20"/>
          <w:szCs w:val="20"/>
          <w:lang w:val="es-ES" w:eastAsia="es-ES"/>
        </w:rPr>
        <w:t>Lo anterior debido a que COFOCE ha establecido líneas estratégicas entre las que se destacan: la cooperación nacional e internacional con organismos públicos y privados que permitan acercar al empresario guanajuatense las mejores prácticas del comercio internacional; la vinculación de recursos económicos que apoyen los programas de internacionalización de las empresas del estado y el direccionamiento de los productos de COFOCE a sectores estratégicos que permitan apoyar su reconversión o acrecentar sus posibilidades de desarrollo.</w:t>
      </w:r>
    </w:p>
    <w:p w14:paraId="33551B18" w14:textId="77777777" w:rsidR="00D638D1" w:rsidRPr="00B341C7" w:rsidRDefault="00D638D1" w:rsidP="00BD5781">
      <w:pPr>
        <w:jc w:val="both"/>
        <w:rPr>
          <w:rFonts w:ascii="Arial" w:hAnsi="Arial" w:cs="Arial"/>
          <w:sz w:val="20"/>
          <w:szCs w:val="20"/>
        </w:rPr>
      </w:pPr>
    </w:p>
    <w:p w14:paraId="62FD3AE3"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c) Método de valuación de la inversión en acciones de Compañías subsidiarias no consolidadas y asociadas:</w:t>
      </w:r>
    </w:p>
    <w:p w14:paraId="27C90822"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6649C8E1"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d) Sistema y método de valuación de inventarios y costo de lo vendido:</w:t>
      </w:r>
    </w:p>
    <w:p w14:paraId="37AC5959"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69EC7D9A"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e) Beneficios a empleados:</w:t>
      </w:r>
    </w:p>
    <w:p w14:paraId="309B67B8" w14:textId="77777777" w:rsidR="00D638D1" w:rsidRPr="00B341C7" w:rsidRDefault="00BD39DA">
      <w:pPr>
        <w:jc w:val="both"/>
        <w:rPr>
          <w:rFonts w:ascii="Arial" w:hAnsi="Arial" w:cs="Arial"/>
          <w:sz w:val="20"/>
          <w:szCs w:val="20"/>
        </w:rPr>
      </w:pPr>
      <w:r w:rsidRPr="00B341C7">
        <w:rPr>
          <w:rFonts w:ascii="Arial" w:hAnsi="Arial" w:cs="Arial"/>
          <w:sz w:val="20"/>
          <w:szCs w:val="20"/>
        </w:rPr>
        <w:t xml:space="preserve">Los benéficos otorgados a los empleados están acorde a lo establecido </w:t>
      </w:r>
      <w:r w:rsidR="00BD5781" w:rsidRPr="00B341C7">
        <w:rPr>
          <w:rFonts w:ascii="Arial" w:hAnsi="Arial" w:cs="Arial"/>
          <w:sz w:val="20"/>
          <w:szCs w:val="20"/>
        </w:rPr>
        <w:t xml:space="preserve">en la normatividad y regulaciones aplicables mediante los instrumentos jurídicos y legales emitidos </w:t>
      </w:r>
      <w:r w:rsidRPr="00B341C7">
        <w:rPr>
          <w:rFonts w:ascii="Arial" w:hAnsi="Arial" w:cs="Arial"/>
          <w:sz w:val="20"/>
          <w:szCs w:val="20"/>
        </w:rPr>
        <w:t>por la S</w:t>
      </w:r>
      <w:r w:rsidR="00BD5781" w:rsidRPr="00B341C7">
        <w:rPr>
          <w:rFonts w:ascii="Arial" w:hAnsi="Arial" w:cs="Arial"/>
          <w:sz w:val="20"/>
          <w:szCs w:val="20"/>
        </w:rPr>
        <w:t>ecretaría de Finanzas, Inversión y Administración del E</w:t>
      </w:r>
      <w:r w:rsidRPr="00B341C7">
        <w:rPr>
          <w:rFonts w:ascii="Arial" w:hAnsi="Arial" w:cs="Arial"/>
          <w:sz w:val="20"/>
          <w:szCs w:val="20"/>
        </w:rPr>
        <w:t>stado de Guanajuato</w:t>
      </w:r>
      <w:r w:rsidR="00D638D1" w:rsidRPr="00B341C7">
        <w:rPr>
          <w:rFonts w:ascii="Arial" w:hAnsi="Arial" w:cs="Arial"/>
          <w:sz w:val="20"/>
          <w:szCs w:val="20"/>
        </w:rPr>
        <w:t>.</w:t>
      </w:r>
    </w:p>
    <w:p w14:paraId="54E6D176"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f) Provisiones:</w:t>
      </w:r>
    </w:p>
    <w:p w14:paraId="35FE90FB" w14:textId="77777777" w:rsidR="00B70F9D" w:rsidRDefault="00D638D1">
      <w:pPr>
        <w:jc w:val="both"/>
        <w:rPr>
          <w:rFonts w:ascii="Arial" w:hAnsi="Arial" w:cs="Arial"/>
          <w:sz w:val="20"/>
          <w:szCs w:val="20"/>
        </w:rPr>
      </w:pPr>
      <w:r w:rsidRPr="00B341C7">
        <w:rPr>
          <w:rFonts w:ascii="Arial" w:hAnsi="Arial" w:cs="Arial"/>
          <w:sz w:val="20"/>
          <w:szCs w:val="20"/>
        </w:rPr>
        <w:lastRenderedPageBreak/>
        <w:t>Este apartado no aplica para COFOCE.</w:t>
      </w:r>
      <w:r w:rsidR="00B70F9D">
        <w:rPr>
          <w:rFonts w:ascii="Arial" w:hAnsi="Arial" w:cs="Arial"/>
          <w:sz w:val="20"/>
          <w:szCs w:val="20"/>
        </w:rPr>
        <w:t xml:space="preserve"> </w:t>
      </w:r>
    </w:p>
    <w:p w14:paraId="020CC35B"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g) Reservas:</w:t>
      </w:r>
    </w:p>
    <w:p w14:paraId="3EAF2930"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60CBF9F1"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h) Cambios en políticas contables y corrección de errores junto con la revelación de los efectos que se tendrá en la información financiera del ente público, ya sea retrospectivos o prospectivos:</w:t>
      </w:r>
    </w:p>
    <w:p w14:paraId="0C408BCA" w14:textId="77777777" w:rsidR="00BD5781" w:rsidRPr="00B341C7" w:rsidRDefault="00D638D1">
      <w:pPr>
        <w:jc w:val="both"/>
        <w:rPr>
          <w:rFonts w:ascii="Arial" w:hAnsi="Arial" w:cs="Arial"/>
          <w:sz w:val="20"/>
          <w:szCs w:val="20"/>
        </w:rPr>
      </w:pPr>
      <w:r w:rsidRPr="00B341C7">
        <w:rPr>
          <w:rFonts w:ascii="Arial" w:hAnsi="Arial" w:cs="Arial"/>
          <w:sz w:val="20"/>
          <w:szCs w:val="20"/>
        </w:rPr>
        <w:t xml:space="preserve">Los Organismos Descentralizados, a partir del ejercicio fiscal 2011 han venido presentando la nueva estructura de registro contable y presupuestal normada por el CONAC. </w:t>
      </w:r>
    </w:p>
    <w:p w14:paraId="233F73D1" w14:textId="77777777" w:rsidR="00D638D1" w:rsidRPr="00B341C7" w:rsidRDefault="00D638D1">
      <w:pPr>
        <w:jc w:val="both"/>
        <w:rPr>
          <w:rFonts w:ascii="Arial" w:hAnsi="Arial" w:cs="Arial"/>
          <w:sz w:val="20"/>
          <w:szCs w:val="20"/>
        </w:rPr>
      </w:pPr>
      <w:r w:rsidRPr="00B341C7">
        <w:rPr>
          <w:rFonts w:ascii="Arial" w:hAnsi="Arial" w:cs="Arial"/>
          <w:sz w:val="20"/>
          <w:szCs w:val="20"/>
        </w:rPr>
        <w:t>Asimismo, las guías contabilizadoras, la matriz de conversión y los nuevos procesos de Registro que de ellas emanan</w:t>
      </w:r>
      <w:r w:rsidR="00BD5781" w:rsidRPr="00B341C7">
        <w:rPr>
          <w:rFonts w:ascii="Arial" w:hAnsi="Arial" w:cs="Arial"/>
          <w:sz w:val="20"/>
          <w:szCs w:val="20"/>
        </w:rPr>
        <w:t>,</w:t>
      </w:r>
      <w:r w:rsidRPr="00B341C7">
        <w:rPr>
          <w:rFonts w:ascii="Arial" w:hAnsi="Arial" w:cs="Arial"/>
          <w:sz w:val="20"/>
          <w:szCs w:val="20"/>
        </w:rPr>
        <w:t xml:space="preserve"> han sido aplicadas en el SIHP</w:t>
      </w:r>
      <w:r w:rsidR="00BD5781" w:rsidRPr="00B341C7">
        <w:rPr>
          <w:rFonts w:ascii="Arial" w:hAnsi="Arial" w:cs="Arial"/>
          <w:sz w:val="20"/>
          <w:szCs w:val="20"/>
        </w:rPr>
        <w:t xml:space="preserve"> y han estado presentes en este proceso.</w:t>
      </w:r>
    </w:p>
    <w:p w14:paraId="544ACB94" w14:textId="77777777" w:rsidR="00BD5781" w:rsidRPr="00B341C7" w:rsidRDefault="00BD5781">
      <w:pPr>
        <w:jc w:val="both"/>
        <w:rPr>
          <w:rFonts w:ascii="Arial" w:hAnsi="Arial" w:cs="Arial"/>
          <w:sz w:val="20"/>
          <w:szCs w:val="20"/>
        </w:rPr>
      </w:pPr>
    </w:p>
    <w:p w14:paraId="5470BE83"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i) Reclasificaciones:</w:t>
      </w:r>
    </w:p>
    <w:p w14:paraId="044987F4" w14:textId="77777777" w:rsidR="00D638D1" w:rsidRPr="00B341C7" w:rsidRDefault="00BD5781" w:rsidP="00DA4544">
      <w:pPr>
        <w:ind w:left="709" w:hanging="709"/>
        <w:jc w:val="both"/>
        <w:rPr>
          <w:rFonts w:ascii="Arial" w:hAnsi="Arial" w:cs="Arial"/>
          <w:sz w:val="20"/>
          <w:szCs w:val="20"/>
        </w:rPr>
      </w:pPr>
      <w:r w:rsidRPr="00B341C7">
        <w:rPr>
          <w:rFonts w:ascii="Arial" w:hAnsi="Arial" w:cs="Arial"/>
          <w:sz w:val="20"/>
          <w:szCs w:val="20"/>
        </w:rPr>
        <w:t>Con la finalidad de generar</w:t>
      </w:r>
      <w:r w:rsidR="00BD39DA" w:rsidRPr="00B341C7">
        <w:rPr>
          <w:rFonts w:ascii="Arial" w:hAnsi="Arial" w:cs="Arial"/>
          <w:sz w:val="20"/>
          <w:szCs w:val="20"/>
        </w:rPr>
        <w:t xml:space="preserve"> una contabilidad </w:t>
      </w:r>
      <w:r w:rsidR="00485639" w:rsidRPr="00B341C7">
        <w:rPr>
          <w:rFonts w:ascii="Arial" w:hAnsi="Arial" w:cs="Arial"/>
          <w:sz w:val="20"/>
          <w:szCs w:val="20"/>
        </w:rPr>
        <w:t>confiable, actualmente</w:t>
      </w:r>
      <w:r w:rsidR="00402E49" w:rsidRPr="00B341C7">
        <w:rPr>
          <w:rFonts w:ascii="Arial" w:hAnsi="Arial" w:cs="Arial"/>
          <w:sz w:val="20"/>
          <w:szCs w:val="20"/>
        </w:rPr>
        <w:t xml:space="preserve"> </w:t>
      </w:r>
      <w:r w:rsidR="00D638D1" w:rsidRPr="00B341C7">
        <w:rPr>
          <w:rFonts w:ascii="Arial" w:hAnsi="Arial" w:cs="Arial"/>
          <w:sz w:val="20"/>
          <w:szCs w:val="20"/>
        </w:rPr>
        <w:t xml:space="preserve">COFOCE </w:t>
      </w:r>
      <w:r w:rsidR="00385013" w:rsidRPr="00B341C7">
        <w:rPr>
          <w:rFonts w:ascii="Arial" w:hAnsi="Arial" w:cs="Arial"/>
          <w:sz w:val="20"/>
          <w:szCs w:val="20"/>
        </w:rPr>
        <w:t>ha</w:t>
      </w:r>
      <w:r w:rsidR="00BD39DA" w:rsidRPr="00B341C7">
        <w:rPr>
          <w:rFonts w:ascii="Arial" w:hAnsi="Arial" w:cs="Arial"/>
          <w:sz w:val="20"/>
          <w:szCs w:val="20"/>
        </w:rPr>
        <w:t xml:space="preserve"> tenido a bien adecuar </w:t>
      </w:r>
      <w:r w:rsidRPr="00B341C7">
        <w:rPr>
          <w:rFonts w:ascii="Arial" w:hAnsi="Arial" w:cs="Arial"/>
          <w:sz w:val="20"/>
          <w:szCs w:val="20"/>
        </w:rPr>
        <w:t xml:space="preserve">sus </w:t>
      </w:r>
      <w:r w:rsidR="00BD39DA" w:rsidRPr="00B341C7">
        <w:rPr>
          <w:rFonts w:ascii="Arial" w:hAnsi="Arial" w:cs="Arial"/>
          <w:sz w:val="20"/>
          <w:szCs w:val="20"/>
        </w:rPr>
        <w:t>partidas de gasto en</w:t>
      </w:r>
      <w:r w:rsidRPr="00B341C7">
        <w:rPr>
          <w:rFonts w:ascii="Arial" w:hAnsi="Arial" w:cs="Arial"/>
          <w:sz w:val="20"/>
          <w:szCs w:val="20"/>
        </w:rPr>
        <w:t xml:space="preserve"> los casos estrictamente </w:t>
      </w:r>
      <w:r w:rsidR="002032B3" w:rsidRPr="00B341C7">
        <w:rPr>
          <w:rFonts w:ascii="Arial" w:hAnsi="Arial" w:cs="Arial"/>
          <w:sz w:val="20"/>
          <w:szCs w:val="20"/>
        </w:rPr>
        <w:t>necesarios, con</w:t>
      </w:r>
      <w:r w:rsidR="00BD39DA" w:rsidRPr="00B341C7">
        <w:rPr>
          <w:rFonts w:ascii="Arial" w:hAnsi="Arial" w:cs="Arial"/>
          <w:sz w:val="20"/>
          <w:szCs w:val="20"/>
        </w:rPr>
        <w:t xml:space="preserve"> el único interés de lograr</w:t>
      </w:r>
      <w:r w:rsidRPr="00B341C7">
        <w:rPr>
          <w:rFonts w:ascii="Arial" w:hAnsi="Arial" w:cs="Arial"/>
          <w:sz w:val="20"/>
          <w:szCs w:val="20"/>
        </w:rPr>
        <w:t xml:space="preserve"> la emisión de información veraz, oportuna para la correcta toma de decisiones</w:t>
      </w:r>
      <w:r w:rsidR="00D638D1" w:rsidRPr="00B341C7">
        <w:rPr>
          <w:rFonts w:ascii="Arial" w:hAnsi="Arial" w:cs="Arial"/>
          <w:sz w:val="20"/>
          <w:szCs w:val="20"/>
        </w:rPr>
        <w:t>.</w:t>
      </w:r>
    </w:p>
    <w:p w14:paraId="13F13F62"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j) Depuración y cancelación de saldos:</w:t>
      </w:r>
    </w:p>
    <w:p w14:paraId="29195EBB" w14:textId="77777777" w:rsidR="00D638D1" w:rsidRPr="00B341C7" w:rsidRDefault="00D638D1">
      <w:pPr>
        <w:jc w:val="both"/>
        <w:rPr>
          <w:rFonts w:ascii="Arial" w:hAnsi="Arial" w:cs="Arial"/>
          <w:sz w:val="20"/>
          <w:szCs w:val="20"/>
        </w:rPr>
      </w:pPr>
      <w:r w:rsidRPr="00B341C7">
        <w:rPr>
          <w:rFonts w:ascii="Arial" w:hAnsi="Arial" w:cs="Arial"/>
          <w:sz w:val="20"/>
          <w:szCs w:val="20"/>
        </w:rPr>
        <w:t>Actualmente COFOCE tiene establecido políticas internas que marcan la pauta para la depuración y cancelación de las diversas cuentas. Dichas políticas se adjuntan en el apartado correspondiente. Los movimientos de depuración y cancelación de saldos durante el período corresponden a las cuentas de activo y pasivo, los cuales</w:t>
      </w:r>
      <w:r w:rsidR="00D660F1" w:rsidRPr="00B341C7">
        <w:rPr>
          <w:rFonts w:ascii="Arial" w:hAnsi="Arial" w:cs="Arial"/>
          <w:sz w:val="20"/>
          <w:szCs w:val="20"/>
        </w:rPr>
        <w:t>,</w:t>
      </w:r>
      <w:r w:rsidRPr="00B341C7">
        <w:rPr>
          <w:rFonts w:ascii="Arial" w:hAnsi="Arial" w:cs="Arial"/>
          <w:sz w:val="20"/>
          <w:szCs w:val="20"/>
        </w:rPr>
        <w:t xml:space="preserve"> pueden analizarse a detalle dentro de la información contable turnada.</w:t>
      </w:r>
    </w:p>
    <w:p w14:paraId="4D53F464" w14:textId="0DB05991" w:rsidR="00D638D1" w:rsidRPr="00B341C7" w:rsidRDefault="00BD5781">
      <w:pPr>
        <w:jc w:val="both"/>
        <w:rPr>
          <w:rFonts w:ascii="Arial" w:hAnsi="Arial" w:cs="Arial"/>
          <w:b/>
          <w:sz w:val="24"/>
          <w:szCs w:val="24"/>
        </w:rPr>
      </w:pPr>
      <w:r w:rsidRPr="00B341C7">
        <w:rPr>
          <w:rFonts w:ascii="Arial" w:hAnsi="Arial" w:cs="Arial"/>
          <w:sz w:val="20"/>
          <w:szCs w:val="20"/>
        </w:rPr>
        <w:br w:type="page"/>
      </w:r>
      <w:r w:rsidR="00A702CC" w:rsidRPr="00A702CC">
        <w:rPr>
          <w:rFonts w:ascii="Arial" w:hAnsi="Arial" w:cs="Arial"/>
          <w:b/>
          <w:sz w:val="24"/>
          <w:szCs w:val="24"/>
        </w:rPr>
        <w:lastRenderedPageBreak/>
        <w:t>6</w:t>
      </w:r>
      <w:r w:rsidR="00D638D1" w:rsidRPr="00B341C7">
        <w:rPr>
          <w:rFonts w:ascii="Arial" w:hAnsi="Arial" w:cs="Arial"/>
          <w:b/>
          <w:sz w:val="24"/>
          <w:szCs w:val="24"/>
        </w:rPr>
        <w:t>. Posición en Moneda Extranjera y Protección por Riesgo Cambiario:</w:t>
      </w:r>
    </w:p>
    <w:p w14:paraId="28D36C9B"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a) Activos en moneda extranjera:</w:t>
      </w:r>
    </w:p>
    <w:p w14:paraId="51FA4CB3"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0A5D596E"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b) Pasivos en moneda extranjera:</w:t>
      </w:r>
    </w:p>
    <w:p w14:paraId="3A3C81BD"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3E4A1304"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c) Posición en moneda extranjera:</w:t>
      </w:r>
    </w:p>
    <w:p w14:paraId="3AC854C0"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32680A7D"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d) Tipo de cambio:</w:t>
      </w:r>
    </w:p>
    <w:p w14:paraId="5C6734DA" w14:textId="77777777" w:rsidR="00987870" w:rsidRDefault="005872EB" w:rsidP="00566E28">
      <w:pPr>
        <w:jc w:val="both"/>
        <w:rPr>
          <w:rFonts w:ascii="Arial" w:hAnsi="Arial" w:cs="Arial"/>
          <w:sz w:val="20"/>
          <w:szCs w:val="20"/>
        </w:rPr>
      </w:pPr>
      <w:r w:rsidRPr="00B341C7">
        <w:rPr>
          <w:rFonts w:ascii="Arial" w:hAnsi="Arial" w:cs="Arial"/>
          <w:sz w:val="20"/>
          <w:szCs w:val="20"/>
        </w:rPr>
        <w:t>En el cuadro siguiente, se presenta e</w:t>
      </w:r>
      <w:r w:rsidR="00A41D89" w:rsidRPr="00B341C7">
        <w:rPr>
          <w:rFonts w:ascii="Arial" w:hAnsi="Arial" w:cs="Arial"/>
          <w:sz w:val="20"/>
          <w:szCs w:val="20"/>
        </w:rPr>
        <w:t xml:space="preserve">l </w:t>
      </w:r>
      <w:r w:rsidR="00D638D1" w:rsidRPr="00B341C7">
        <w:rPr>
          <w:rFonts w:ascii="Arial" w:hAnsi="Arial" w:cs="Arial"/>
          <w:sz w:val="20"/>
          <w:szCs w:val="20"/>
        </w:rPr>
        <w:t xml:space="preserve">Tipo de cambio </w:t>
      </w:r>
      <w:r w:rsidR="008D03AF" w:rsidRPr="00B341C7">
        <w:rPr>
          <w:rFonts w:ascii="Arial" w:hAnsi="Arial" w:cs="Arial"/>
          <w:sz w:val="20"/>
          <w:szCs w:val="20"/>
        </w:rPr>
        <w:t xml:space="preserve">(relación peso–dólar) </w:t>
      </w:r>
      <w:r w:rsidR="00D638D1" w:rsidRPr="00B341C7">
        <w:rPr>
          <w:rFonts w:ascii="Arial" w:hAnsi="Arial" w:cs="Arial"/>
          <w:sz w:val="20"/>
          <w:szCs w:val="20"/>
        </w:rPr>
        <w:t>reflejado por el b</w:t>
      </w:r>
      <w:r w:rsidRPr="00B341C7">
        <w:rPr>
          <w:rFonts w:ascii="Arial" w:hAnsi="Arial" w:cs="Arial"/>
          <w:sz w:val="20"/>
          <w:szCs w:val="20"/>
        </w:rPr>
        <w:t xml:space="preserve">anco de México </w:t>
      </w:r>
      <w:r w:rsidR="008D03AF" w:rsidRPr="00B341C7">
        <w:rPr>
          <w:rFonts w:ascii="Arial" w:hAnsi="Arial" w:cs="Arial"/>
          <w:sz w:val="20"/>
          <w:szCs w:val="20"/>
        </w:rPr>
        <w:t xml:space="preserve">reconocido </w:t>
      </w:r>
      <w:r w:rsidRPr="00B341C7">
        <w:rPr>
          <w:rFonts w:ascii="Arial" w:hAnsi="Arial" w:cs="Arial"/>
          <w:sz w:val="20"/>
          <w:szCs w:val="20"/>
        </w:rPr>
        <w:t xml:space="preserve">al final de </w:t>
      </w:r>
      <w:r w:rsidR="00A96036" w:rsidRPr="00B341C7">
        <w:rPr>
          <w:rFonts w:ascii="Arial" w:hAnsi="Arial" w:cs="Arial"/>
          <w:sz w:val="20"/>
          <w:szCs w:val="20"/>
        </w:rPr>
        <w:t>cada mes</w:t>
      </w:r>
      <w:r w:rsidRPr="00B341C7">
        <w:rPr>
          <w:rFonts w:ascii="Arial" w:hAnsi="Arial" w:cs="Arial"/>
          <w:sz w:val="20"/>
          <w:szCs w:val="20"/>
        </w:rPr>
        <w:t>:</w:t>
      </w:r>
    </w:p>
    <w:tbl>
      <w:tblPr>
        <w:tblW w:w="8520" w:type="dxa"/>
        <w:jc w:val="center"/>
        <w:tblCellMar>
          <w:left w:w="70" w:type="dxa"/>
          <w:right w:w="70" w:type="dxa"/>
        </w:tblCellMar>
        <w:tblLook w:val="04A0" w:firstRow="1" w:lastRow="0" w:firstColumn="1" w:lastColumn="0" w:noHBand="0" w:noVBand="1"/>
      </w:tblPr>
      <w:tblGrid>
        <w:gridCol w:w="1420"/>
        <w:gridCol w:w="1420"/>
        <w:gridCol w:w="1420"/>
        <w:gridCol w:w="1420"/>
        <w:gridCol w:w="1420"/>
        <w:gridCol w:w="1420"/>
      </w:tblGrid>
      <w:tr w:rsidR="00D25D00" w:rsidRPr="00D25D00" w14:paraId="0DBE9DBB" w14:textId="77777777" w:rsidTr="00D25D00">
        <w:trPr>
          <w:trHeight w:val="300"/>
          <w:jc w:val="center"/>
        </w:trPr>
        <w:tc>
          <w:tcPr>
            <w:tcW w:w="1420" w:type="dxa"/>
            <w:tcBorders>
              <w:top w:val="nil"/>
              <w:left w:val="nil"/>
              <w:bottom w:val="nil"/>
              <w:right w:val="nil"/>
            </w:tcBorders>
            <w:shd w:val="clear" w:color="000000" w:fill="4F81BD"/>
            <w:noWrap/>
            <w:vAlign w:val="center"/>
            <w:hideMark/>
          </w:tcPr>
          <w:p w14:paraId="59C951F8"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ENERO</w:t>
            </w:r>
          </w:p>
        </w:tc>
        <w:tc>
          <w:tcPr>
            <w:tcW w:w="1420" w:type="dxa"/>
            <w:tcBorders>
              <w:top w:val="nil"/>
              <w:left w:val="nil"/>
              <w:bottom w:val="nil"/>
              <w:right w:val="nil"/>
            </w:tcBorders>
            <w:shd w:val="clear" w:color="000000" w:fill="4F81BD"/>
            <w:noWrap/>
            <w:vAlign w:val="center"/>
            <w:hideMark/>
          </w:tcPr>
          <w:p w14:paraId="1B5A8C82"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FEBRERO</w:t>
            </w:r>
          </w:p>
        </w:tc>
        <w:tc>
          <w:tcPr>
            <w:tcW w:w="1420" w:type="dxa"/>
            <w:tcBorders>
              <w:top w:val="nil"/>
              <w:left w:val="nil"/>
              <w:bottom w:val="nil"/>
              <w:right w:val="nil"/>
            </w:tcBorders>
            <w:shd w:val="clear" w:color="000000" w:fill="4F81BD"/>
            <w:noWrap/>
            <w:vAlign w:val="center"/>
            <w:hideMark/>
          </w:tcPr>
          <w:p w14:paraId="7BCD22E7"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MARZO</w:t>
            </w:r>
          </w:p>
        </w:tc>
        <w:tc>
          <w:tcPr>
            <w:tcW w:w="1420" w:type="dxa"/>
            <w:tcBorders>
              <w:top w:val="nil"/>
              <w:left w:val="nil"/>
              <w:bottom w:val="nil"/>
              <w:right w:val="nil"/>
            </w:tcBorders>
            <w:shd w:val="clear" w:color="000000" w:fill="4F81BD"/>
            <w:noWrap/>
            <w:vAlign w:val="center"/>
            <w:hideMark/>
          </w:tcPr>
          <w:p w14:paraId="07C0E34B"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ABRIL</w:t>
            </w:r>
          </w:p>
        </w:tc>
        <w:tc>
          <w:tcPr>
            <w:tcW w:w="1420" w:type="dxa"/>
            <w:tcBorders>
              <w:top w:val="nil"/>
              <w:left w:val="nil"/>
              <w:bottom w:val="nil"/>
              <w:right w:val="nil"/>
            </w:tcBorders>
            <w:shd w:val="clear" w:color="000000" w:fill="4F81BD"/>
            <w:noWrap/>
            <w:vAlign w:val="center"/>
            <w:hideMark/>
          </w:tcPr>
          <w:p w14:paraId="0DDC72F7"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MAYO</w:t>
            </w:r>
          </w:p>
        </w:tc>
        <w:tc>
          <w:tcPr>
            <w:tcW w:w="1420" w:type="dxa"/>
            <w:tcBorders>
              <w:top w:val="nil"/>
              <w:left w:val="nil"/>
              <w:bottom w:val="nil"/>
              <w:right w:val="nil"/>
            </w:tcBorders>
            <w:shd w:val="clear" w:color="000000" w:fill="4F81BD"/>
            <w:noWrap/>
            <w:vAlign w:val="center"/>
            <w:hideMark/>
          </w:tcPr>
          <w:p w14:paraId="5D33227B"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JUNIO</w:t>
            </w:r>
          </w:p>
        </w:tc>
      </w:tr>
      <w:tr w:rsidR="00D25D00" w:rsidRPr="00D25D00" w14:paraId="32160B5C" w14:textId="77777777" w:rsidTr="00D25D00">
        <w:trPr>
          <w:trHeight w:val="315"/>
          <w:jc w:val="center"/>
        </w:trPr>
        <w:tc>
          <w:tcPr>
            <w:tcW w:w="1420" w:type="dxa"/>
            <w:tcBorders>
              <w:top w:val="nil"/>
              <w:left w:val="nil"/>
              <w:bottom w:val="nil"/>
              <w:right w:val="nil"/>
            </w:tcBorders>
            <w:shd w:val="clear" w:color="000000" w:fill="DCE6F1"/>
            <w:noWrap/>
            <w:vAlign w:val="center"/>
            <w:hideMark/>
          </w:tcPr>
          <w:p w14:paraId="64B5C8A0"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17.2532</w:t>
            </w:r>
          </w:p>
        </w:tc>
        <w:tc>
          <w:tcPr>
            <w:tcW w:w="1420" w:type="dxa"/>
            <w:tcBorders>
              <w:top w:val="nil"/>
              <w:left w:val="nil"/>
              <w:bottom w:val="nil"/>
              <w:right w:val="nil"/>
            </w:tcBorders>
            <w:shd w:val="clear" w:color="000000" w:fill="DCE6F1"/>
            <w:noWrap/>
            <w:vAlign w:val="center"/>
            <w:hideMark/>
          </w:tcPr>
          <w:p w14:paraId="2CDE9D15"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17.2563</w:t>
            </w:r>
          </w:p>
        </w:tc>
        <w:tc>
          <w:tcPr>
            <w:tcW w:w="1420" w:type="dxa"/>
            <w:tcBorders>
              <w:top w:val="nil"/>
              <w:left w:val="nil"/>
              <w:bottom w:val="nil"/>
              <w:right w:val="nil"/>
            </w:tcBorders>
            <w:shd w:val="clear" w:color="000000" w:fill="DCE6F1"/>
            <w:noWrap/>
            <w:vAlign w:val="center"/>
            <w:hideMark/>
          </w:tcPr>
          <w:p w14:paraId="733D0B3D"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18.0667</w:t>
            </w:r>
          </w:p>
        </w:tc>
        <w:tc>
          <w:tcPr>
            <w:tcW w:w="1420" w:type="dxa"/>
            <w:tcBorders>
              <w:top w:val="nil"/>
              <w:left w:val="nil"/>
              <w:bottom w:val="nil"/>
              <w:right w:val="nil"/>
            </w:tcBorders>
            <w:shd w:val="clear" w:color="000000" w:fill="DCE6F1"/>
            <w:noWrap/>
            <w:vAlign w:val="center"/>
            <w:hideMark/>
          </w:tcPr>
          <w:p w14:paraId="07E5107C"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17.403</w:t>
            </w:r>
          </w:p>
        </w:tc>
        <w:tc>
          <w:tcPr>
            <w:tcW w:w="1420" w:type="dxa"/>
            <w:tcBorders>
              <w:top w:val="nil"/>
              <w:left w:val="nil"/>
              <w:bottom w:val="nil"/>
              <w:right w:val="nil"/>
            </w:tcBorders>
            <w:shd w:val="clear" w:color="000000" w:fill="DCE6F1"/>
            <w:noWrap/>
            <w:vAlign w:val="center"/>
            <w:hideMark/>
          </w:tcPr>
          <w:p w14:paraId="79B6191E"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17.3213</w:t>
            </w:r>
          </w:p>
        </w:tc>
        <w:tc>
          <w:tcPr>
            <w:tcW w:w="1420" w:type="dxa"/>
            <w:tcBorders>
              <w:top w:val="nil"/>
              <w:left w:val="nil"/>
              <w:bottom w:val="nil"/>
              <w:right w:val="nil"/>
            </w:tcBorders>
            <w:shd w:val="clear" w:color="000000" w:fill="DCE6F1"/>
            <w:noWrap/>
            <w:vAlign w:val="center"/>
            <w:hideMark/>
          </w:tcPr>
          <w:p w14:paraId="59EE9D51"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17.4700</w:t>
            </w:r>
          </w:p>
        </w:tc>
      </w:tr>
    </w:tbl>
    <w:p w14:paraId="061B405D" w14:textId="77777777" w:rsidR="00530DD1" w:rsidRDefault="00530DD1">
      <w:pPr>
        <w:jc w:val="both"/>
        <w:rPr>
          <w:rFonts w:ascii="Arial" w:hAnsi="Arial" w:cs="Arial"/>
          <w:b/>
          <w:sz w:val="20"/>
          <w:szCs w:val="20"/>
          <w:u w:val="single"/>
        </w:rPr>
      </w:pPr>
    </w:p>
    <w:p w14:paraId="199A7E81" w14:textId="4887EDCE"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e) Equivalente en moneda nacional:</w:t>
      </w:r>
    </w:p>
    <w:p w14:paraId="56F3E770" w14:textId="77777777" w:rsidR="00D638D1" w:rsidRDefault="008D03AF">
      <w:pPr>
        <w:jc w:val="both"/>
        <w:rPr>
          <w:rFonts w:ascii="Arial" w:hAnsi="Arial" w:cs="Arial"/>
          <w:sz w:val="20"/>
          <w:szCs w:val="20"/>
        </w:rPr>
      </w:pPr>
      <w:r w:rsidRPr="00B341C7">
        <w:rPr>
          <w:rFonts w:ascii="Arial" w:hAnsi="Arial" w:cs="Arial"/>
          <w:sz w:val="20"/>
          <w:szCs w:val="20"/>
        </w:rPr>
        <w:t xml:space="preserve">En el siguiente cuadro, se refleja al cierre de cada período; las cifras en moneda nacional que muestran el saldo final de la cuenta general de </w:t>
      </w:r>
      <w:r w:rsidR="00D638D1" w:rsidRPr="00B341C7">
        <w:rPr>
          <w:rFonts w:ascii="Arial" w:hAnsi="Arial" w:cs="Arial"/>
          <w:sz w:val="20"/>
          <w:szCs w:val="20"/>
        </w:rPr>
        <w:t>Activo</w:t>
      </w:r>
    </w:p>
    <w:tbl>
      <w:tblPr>
        <w:tblW w:w="8520" w:type="dxa"/>
        <w:jc w:val="center"/>
        <w:tblCellMar>
          <w:left w:w="70" w:type="dxa"/>
          <w:right w:w="70" w:type="dxa"/>
        </w:tblCellMar>
        <w:tblLook w:val="04A0" w:firstRow="1" w:lastRow="0" w:firstColumn="1" w:lastColumn="0" w:noHBand="0" w:noVBand="1"/>
      </w:tblPr>
      <w:tblGrid>
        <w:gridCol w:w="1420"/>
        <w:gridCol w:w="1420"/>
        <w:gridCol w:w="1420"/>
        <w:gridCol w:w="1420"/>
        <w:gridCol w:w="1420"/>
        <w:gridCol w:w="1420"/>
      </w:tblGrid>
      <w:tr w:rsidR="00D25D00" w:rsidRPr="00D25D00" w14:paraId="4257960E" w14:textId="77777777" w:rsidTr="00D25D00">
        <w:trPr>
          <w:trHeight w:val="300"/>
          <w:jc w:val="center"/>
        </w:trPr>
        <w:tc>
          <w:tcPr>
            <w:tcW w:w="1420" w:type="dxa"/>
            <w:tcBorders>
              <w:top w:val="nil"/>
              <w:left w:val="nil"/>
              <w:bottom w:val="nil"/>
              <w:right w:val="nil"/>
            </w:tcBorders>
            <w:shd w:val="clear" w:color="000000" w:fill="4F81BD"/>
            <w:noWrap/>
            <w:vAlign w:val="center"/>
            <w:hideMark/>
          </w:tcPr>
          <w:p w14:paraId="61646E1C"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ENERO</w:t>
            </w:r>
          </w:p>
        </w:tc>
        <w:tc>
          <w:tcPr>
            <w:tcW w:w="1420" w:type="dxa"/>
            <w:tcBorders>
              <w:top w:val="nil"/>
              <w:left w:val="nil"/>
              <w:bottom w:val="nil"/>
              <w:right w:val="nil"/>
            </w:tcBorders>
            <w:shd w:val="clear" w:color="000000" w:fill="4F81BD"/>
            <w:noWrap/>
            <w:vAlign w:val="center"/>
            <w:hideMark/>
          </w:tcPr>
          <w:p w14:paraId="64E1236D"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FEBRERO</w:t>
            </w:r>
          </w:p>
        </w:tc>
        <w:tc>
          <w:tcPr>
            <w:tcW w:w="1420" w:type="dxa"/>
            <w:tcBorders>
              <w:top w:val="nil"/>
              <w:left w:val="nil"/>
              <w:bottom w:val="nil"/>
              <w:right w:val="nil"/>
            </w:tcBorders>
            <w:shd w:val="clear" w:color="000000" w:fill="4F81BD"/>
            <w:noWrap/>
            <w:vAlign w:val="center"/>
            <w:hideMark/>
          </w:tcPr>
          <w:p w14:paraId="2C190515"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MARZO</w:t>
            </w:r>
          </w:p>
        </w:tc>
        <w:tc>
          <w:tcPr>
            <w:tcW w:w="1420" w:type="dxa"/>
            <w:tcBorders>
              <w:top w:val="nil"/>
              <w:left w:val="nil"/>
              <w:bottom w:val="nil"/>
              <w:right w:val="nil"/>
            </w:tcBorders>
            <w:shd w:val="clear" w:color="000000" w:fill="4F81BD"/>
            <w:noWrap/>
            <w:vAlign w:val="center"/>
            <w:hideMark/>
          </w:tcPr>
          <w:p w14:paraId="56E4D377"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ABRIL</w:t>
            </w:r>
          </w:p>
        </w:tc>
        <w:tc>
          <w:tcPr>
            <w:tcW w:w="1420" w:type="dxa"/>
            <w:tcBorders>
              <w:top w:val="nil"/>
              <w:left w:val="nil"/>
              <w:bottom w:val="nil"/>
              <w:right w:val="nil"/>
            </w:tcBorders>
            <w:shd w:val="clear" w:color="000000" w:fill="4F81BD"/>
            <w:noWrap/>
            <w:vAlign w:val="center"/>
            <w:hideMark/>
          </w:tcPr>
          <w:p w14:paraId="23915818"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MAYO</w:t>
            </w:r>
          </w:p>
        </w:tc>
        <w:tc>
          <w:tcPr>
            <w:tcW w:w="1420" w:type="dxa"/>
            <w:tcBorders>
              <w:top w:val="nil"/>
              <w:left w:val="nil"/>
              <w:bottom w:val="nil"/>
              <w:right w:val="nil"/>
            </w:tcBorders>
            <w:shd w:val="clear" w:color="000000" w:fill="4F81BD"/>
            <w:noWrap/>
            <w:vAlign w:val="center"/>
            <w:hideMark/>
          </w:tcPr>
          <w:p w14:paraId="19ED5EB9" w14:textId="77777777" w:rsidR="00D25D00" w:rsidRPr="00D25D00" w:rsidRDefault="00D25D00" w:rsidP="00D25D00">
            <w:pPr>
              <w:spacing w:after="0" w:line="240" w:lineRule="auto"/>
              <w:jc w:val="center"/>
              <w:rPr>
                <w:rFonts w:ascii="Arial" w:eastAsia="Times New Roman" w:hAnsi="Arial" w:cs="Arial"/>
                <w:b/>
                <w:bCs/>
                <w:color w:val="FFFFFF"/>
                <w:lang w:eastAsia="es-MX"/>
              </w:rPr>
            </w:pPr>
            <w:r w:rsidRPr="00D25D00">
              <w:rPr>
                <w:rFonts w:ascii="Arial" w:eastAsia="Times New Roman" w:hAnsi="Arial" w:cs="Arial"/>
                <w:b/>
                <w:bCs/>
                <w:color w:val="FFFFFF"/>
                <w:lang w:eastAsia="es-MX"/>
              </w:rPr>
              <w:t>JUNIO</w:t>
            </w:r>
          </w:p>
        </w:tc>
      </w:tr>
      <w:tr w:rsidR="00D25D00" w:rsidRPr="00D25D00" w14:paraId="61A49C73" w14:textId="77777777" w:rsidTr="00D25D00">
        <w:trPr>
          <w:trHeight w:val="315"/>
          <w:jc w:val="center"/>
        </w:trPr>
        <w:tc>
          <w:tcPr>
            <w:tcW w:w="1420" w:type="dxa"/>
            <w:tcBorders>
              <w:top w:val="nil"/>
              <w:left w:val="nil"/>
              <w:bottom w:val="nil"/>
              <w:right w:val="nil"/>
            </w:tcBorders>
            <w:shd w:val="clear" w:color="000000" w:fill="DCE6F1"/>
            <w:noWrap/>
            <w:vAlign w:val="center"/>
            <w:hideMark/>
          </w:tcPr>
          <w:p w14:paraId="35246F6D"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$0.00</w:t>
            </w:r>
          </w:p>
        </w:tc>
        <w:tc>
          <w:tcPr>
            <w:tcW w:w="1420" w:type="dxa"/>
            <w:tcBorders>
              <w:top w:val="nil"/>
              <w:left w:val="nil"/>
              <w:bottom w:val="nil"/>
              <w:right w:val="nil"/>
            </w:tcBorders>
            <w:shd w:val="clear" w:color="000000" w:fill="DCE6F1"/>
            <w:noWrap/>
            <w:vAlign w:val="center"/>
            <w:hideMark/>
          </w:tcPr>
          <w:p w14:paraId="51D3885B"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$0.00</w:t>
            </w:r>
          </w:p>
        </w:tc>
        <w:tc>
          <w:tcPr>
            <w:tcW w:w="1420" w:type="dxa"/>
            <w:tcBorders>
              <w:top w:val="nil"/>
              <w:left w:val="nil"/>
              <w:bottom w:val="nil"/>
              <w:right w:val="nil"/>
            </w:tcBorders>
            <w:shd w:val="clear" w:color="000000" w:fill="DCE6F1"/>
            <w:noWrap/>
            <w:vAlign w:val="center"/>
            <w:hideMark/>
          </w:tcPr>
          <w:p w14:paraId="3B22EA25"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$479.80</w:t>
            </w:r>
          </w:p>
        </w:tc>
        <w:tc>
          <w:tcPr>
            <w:tcW w:w="1420" w:type="dxa"/>
            <w:tcBorders>
              <w:top w:val="nil"/>
              <w:left w:val="nil"/>
              <w:bottom w:val="nil"/>
              <w:right w:val="nil"/>
            </w:tcBorders>
            <w:shd w:val="clear" w:color="000000" w:fill="DCE6F1"/>
            <w:noWrap/>
            <w:vAlign w:val="center"/>
            <w:hideMark/>
          </w:tcPr>
          <w:p w14:paraId="457D542C"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$28,325.12</w:t>
            </w:r>
          </w:p>
        </w:tc>
        <w:tc>
          <w:tcPr>
            <w:tcW w:w="1420" w:type="dxa"/>
            <w:tcBorders>
              <w:top w:val="nil"/>
              <w:left w:val="nil"/>
              <w:bottom w:val="nil"/>
              <w:right w:val="nil"/>
            </w:tcBorders>
            <w:shd w:val="clear" w:color="000000" w:fill="DCE6F1"/>
            <w:noWrap/>
            <w:vAlign w:val="center"/>
            <w:hideMark/>
          </w:tcPr>
          <w:p w14:paraId="741307CE"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$29,096.32</w:t>
            </w:r>
          </w:p>
        </w:tc>
        <w:tc>
          <w:tcPr>
            <w:tcW w:w="1420" w:type="dxa"/>
            <w:tcBorders>
              <w:top w:val="nil"/>
              <w:left w:val="nil"/>
              <w:bottom w:val="nil"/>
              <w:right w:val="nil"/>
            </w:tcBorders>
            <w:shd w:val="clear" w:color="000000" w:fill="DCE6F1"/>
            <w:noWrap/>
            <w:vAlign w:val="center"/>
            <w:hideMark/>
          </w:tcPr>
          <w:p w14:paraId="191F524A" w14:textId="77777777" w:rsidR="00D25D00" w:rsidRPr="00D25D00" w:rsidRDefault="00D25D00" w:rsidP="00D25D00">
            <w:pPr>
              <w:spacing w:after="0" w:line="240" w:lineRule="auto"/>
              <w:jc w:val="center"/>
              <w:rPr>
                <w:rFonts w:ascii="Arial" w:eastAsia="Times New Roman" w:hAnsi="Arial" w:cs="Arial"/>
                <w:b/>
                <w:bCs/>
                <w:color w:val="000000"/>
                <w:sz w:val="24"/>
                <w:szCs w:val="24"/>
                <w:lang w:eastAsia="es-MX"/>
              </w:rPr>
            </w:pPr>
            <w:r w:rsidRPr="00D25D00">
              <w:rPr>
                <w:rFonts w:ascii="Arial" w:eastAsia="Times New Roman" w:hAnsi="Arial" w:cs="Arial"/>
                <w:b/>
                <w:bCs/>
                <w:color w:val="000000"/>
                <w:sz w:val="24"/>
                <w:szCs w:val="24"/>
                <w:lang w:eastAsia="es-MX"/>
              </w:rPr>
              <w:t>$29,346.28</w:t>
            </w:r>
          </w:p>
        </w:tc>
      </w:tr>
    </w:tbl>
    <w:p w14:paraId="1EFCBD14" w14:textId="77777777" w:rsidR="000A63DD" w:rsidRDefault="000A63DD">
      <w:pPr>
        <w:jc w:val="both"/>
        <w:rPr>
          <w:rFonts w:ascii="Arial" w:hAnsi="Arial" w:cs="Arial"/>
          <w:b/>
          <w:sz w:val="24"/>
          <w:szCs w:val="24"/>
        </w:rPr>
      </w:pPr>
    </w:p>
    <w:p w14:paraId="4691F421" w14:textId="31D767E3" w:rsidR="00D638D1" w:rsidRPr="00B341C7" w:rsidRDefault="00A702CC">
      <w:pPr>
        <w:jc w:val="both"/>
        <w:rPr>
          <w:rFonts w:ascii="Arial" w:hAnsi="Arial" w:cs="Arial"/>
          <w:b/>
          <w:sz w:val="24"/>
          <w:szCs w:val="24"/>
        </w:rPr>
      </w:pPr>
      <w:r>
        <w:rPr>
          <w:rFonts w:ascii="Arial" w:hAnsi="Arial" w:cs="Arial"/>
          <w:b/>
          <w:sz w:val="24"/>
          <w:szCs w:val="24"/>
        </w:rPr>
        <w:t>7</w:t>
      </w:r>
      <w:r w:rsidR="00D638D1" w:rsidRPr="00B341C7">
        <w:rPr>
          <w:rFonts w:ascii="Arial" w:hAnsi="Arial" w:cs="Arial"/>
          <w:b/>
          <w:sz w:val="24"/>
          <w:szCs w:val="24"/>
        </w:rPr>
        <w:t>. Reporte Analítico del Activo:</w:t>
      </w:r>
    </w:p>
    <w:p w14:paraId="684F7D76"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a) Vida útil o porcentajes de depreciación, deterioro o amortización utilizados en los diferentes tipos de activos:</w:t>
      </w:r>
    </w:p>
    <w:p w14:paraId="4C8D1226" w14:textId="77777777" w:rsidR="00D638D1" w:rsidRPr="00B341C7" w:rsidRDefault="00D638D1">
      <w:pPr>
        <w:jc w:val="both"/>
        <w:rPr>
          <w:rFonts w:ascii="Arial" w:hAnsi="Arial" w:cs="Arial"/>
          <w:sz w:val="20"/>
          <w:szCs w:val="20"/>
        </w:rPr>
      </w:pPr>
      <w:r w:rsidRPr="00B341C7">
        <w:rPr>
          <w:rFonts w:ascii="Arial" w:hAnsi="Arial" w:cs="Arial"/>
          <w:sz w:val="20"/>
          <w:szCs w:val="20"/>
        </w:rPr>
        <w:lastRenderedPageBreak/>
        <w:t>La depreciación acumulada se encuentra reflejada en el Estado de Situación Financiera en el apartado de la información contable, utilizándose el método de depreciación en línea recta.</w:t>
      </w:r>
    </w:p>
    <w:p w14:paraId="5AFE266D" w14:textId="77777777" w:rsidR="0085061E" w:rsidRPr="00B341C7" w:rsidRDefault="00B65F81">
      <w:pPr>
        <w:jc w:val="both"/>
        <w:rPr>
          <w:rFonts w:ascii="Arial" w:hAnsi="Arial" w:cs="Arial"/>
          <w:sz w:val="20"/>
          <w:szCs w:val="20"/>
        </w:rPr>
      </w:pPr>
      <w:r w:rsidRPr="00B341C7">
        <w:rPr>
          <w:rFonts w:ascii="Arial" w:hAnsi="Arial" w:cs="Arial"/>
          <w:sz w:val="20"/>
          <w:szCs w:val="20"/>
        </w:rPr>
        <w:t>En la plataforma oficial de registro del Gobierno del Estado denominada</w:t>
      </w:r>
      <w:r w:rsidR="0085061E" w:rsidRPr="00B341C7">
        <w:rPr>
          <w:rFonts w:ascii="Arial" w:hAnsi="Arial" w:cs="Arial"/>
          <w:sz w:val="20"/>
          <w:szCs w:val="20"/>
        </w:rPr>
        <w:t xml:space="preserve"> </w:t>
      </w:r>
      <w:r w:rsidRPr="00B341C7">
        <w:rPr>
          <w:rFonts w:ascii="Arial" w:hAnsi="Arial" w:cs="Arial"/>
          <w:sz w:val="20"/>
          <w:szCs w:val="20"/>
        </w:rPr>
        <w:t xml:space="preserve">SAP </w:t>
      </w:r>
      <w:r w:rsidR="00A4674A" w:rsidRPr="00B341C7">
        <w:rPr>
          <w:rFonts w:ascii="Arial" w:hAnsi="Arial" w:cs="Arial"/>
          <w:sz w:val="20"/>
          <w:szCs w:val="20"/>
        </w:rPr>
        <w:t xml:space="preserve">R/3 se llevan a cabo los </w:t>
      </w:r>
      <w:r w:rsidR="00D86273" w:rsidRPr="00B341C7">
        <w:rPr>
          <w:rFonts w:ascii="Arial" w:hAnsi="Arial" w:cs="Arial"/>
          <w:sz w:val="20"/>
          <w:szCs w:val="20"/>
        </w:rPr>
        <w:t>registros acordes</w:t>
      </w:r>
      <w:r w:rsidR="0085061E" w:rsidRPr="00B341C7">
        <w:rPr>
          <w:rFonts w:ascii="Arial" w:hAnsi="Arial" w:cs="Arial"/>
          <w:sz w:val="20"/>
          <w:szCs w:val="20"/>
        </w:rPr>
        <w:t xml:space="preserve"> a la</w:t>
      </w:r>
      <w:r w:rsidR="00A4674A" w:rsidRPr="00B341C7">
        <w:rPr>
          <w:rFonts w:ascii="Arial" w:hAnsi="Arial" w:cs="Arial"/>
          <w:sz w:val="20"/>
          <w:szCs w:val="20"/>
        </w:rPr>
        <w:t xml:space="preserve"> normatividad emitida por la Secretaría de Finanzas, Inversión y Administración (SFIyA)</w:t>
      </w:r>
      <w:r w:rsidR="00D86273" w:rsidRPr="00B341C7">
        <w:rPr>
          <w:rFonts w:ascii="Arial" w:hAnsi="Arial" w:cs="Arial"/>
          <w:sz w:val="20"/>
          <w:szCs w:val="20"/>
        </w:rPr>
        <w:t>, así</w:t>
      </w:r>
      <w:r w:rsidR="00A4674A" w:rsidRPr="00B341C7">
        <w:rPr>
          <w:rFonts w:ascii="Arial" w:hAnsi="Arial" w:cs="Arial"/>
          <w:sz w:val="20"/>
          <w:szCs w:val="20"/>
        </w:rPr>
        <w:t xml:space="preserve"> como las demás disposiciones aplicables en la materia</w:t>
      </w:r>
      <w:r w:rsidR="0085061E" w:rsidRPr="00B341C7">
        <w:rPr>
          <w:rFonts w:ascii="Arial" w:hAnsi="Arial" w:cs="Arial"/>
          <w:sz w:val="20"/>
          <w:szCs w:val="20"/>
        </w:rPr>
        <w:t>.</w:t>
      </w:r>
    </w:p>
    <w:p w14:paraId="63150FA4"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b) Cambios en el porcentaje de depreciación o valor residual de los activos:</w:t>
      </w:r>
    </w:p>
    <w:p w14:paraId="3A0603EF" w14:textId="77777777" w:rsidR="00D638D1" w:rsidRPr="00B341C7" w:rsidRDefault="00D638D1">
      <w:pPr>
        <w:jc w:val="both"/>
        <w:rPr>
          <w:rFonts w:ascii="Arial" w:hAnsi="Arial" w:cs="Arial"/>
          <w:sz w:val="20"/>
          <w:szCs w:val="20"/>
        </w:rPr>
      </w:pPr>
      <w:r w:rsidRPr="00B341C7">
        <w:rPr>
          <w:rFonts w:ascii="Arial" w:hAnsi="Arial" w:cs="Arial"/>
          <w:sz w:val="20"/>
          <w:szCs w:val="20"/>
        </w:rPr>
        <w:t xml:space="preserve">De conformidad con la norma de CONAC y los alcances del SIHP, actualmente sólo pueden considerarse las 40 clases de activos vigentes. </w:t>
      </w:r>
    </w:p>
    <w:p w14:paraId="13D1BD3F"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c) Importe de los gastos capitalizados en el ejercicio, tanto financieros como de investigación y desarrollo:</w:t>
      </w:r>
    </w:p>
    <w:p w14:paraId="7055D00F"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271BB5CE"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d) Riegos por tipo de cambio o tipo de interés de las inversiones financieras:</w:t>
      </w:r>
    </w:p>
    <w:p w14:paraId="6D1A581B" w14:textId="77777777" w:rsidR="00D638D1" w:rsidRPr="00B341C7" w:rsidRDefault="00D638D1">
      <w:pPr>
        <w:jc w:val="both"/>
        <w:rPr>
          <w:rFonts w:ascii="Arial" w:hAnsi="Arial" w:cs="Arial"/>
          <w:sz w:val="20"/>
          <w:szCs w:val="20"/>
        </w:rPr>
      </w:pPr>
      <w:r w:rsidRPr="00B341C7">
        <w:rPr>
          <w:rFonts w:ascii="Arial" w:hAnsi="Arial" w:cs="Arial"/>
          <w:sz w:val="20"/>
          <w:szCs w:val="20"/>
        </w:rPr>
        <w:t xml:space="preserve">El tipo cambiario, al ser un </w:t>
      </w:r>
      <w:hyperlink r:id="rId17" w:tooltip="Precio relativo (aún no redactado)" w:history="1">
        <w:r w:rsidRPr="00B341C7">
          <w:rPr>
            <w:rFonts w:ascii="Arial" w:hAnsi="Arial" w:cs="Arial"/>
            <w:sz w:val="20"/>
            <w:szCs w:val="20"/>
          </w:rPr>
          <w:t>precio relativo</w:t>
        </w:r>
      </w:hyperlink>
      <w:r w:rsidRPr="00B341C7">
        <w:rPr>
          <w:rFonts w:ascii="Arial" w:hAnsi="Arial" w:cs="Arial"/>
          <w:sz w:val="20"/>
          <w:szCs w:val="20"/>
        </w:rPr>
        <w:t xml:space="preserve">, se ve afectado por el valor de cualquiera de los precios de las monedas y los determinantes de estas, por lo cual evaluar el riesgo de cambio es una labor que implica conocer los componentes que determinan el valor de la moneda en términos de otra. Hay dos corrientes principales para evaluar este precio y que toman en cuenta dos factores distintos para evaluar las </w:t>
      </w:r>
      <w:hyperlink r:id="rId18" w:tooltip="Paridad" w:history="1">
        <w:r w:rsidRPr="00B341C7">
          <w:rPr>
            <w:rFonts w:ascii="Arial" w:hAnsi="Arial" w:cs="Arial"/>
            <w:sz w:val="20"/>
            <w:szCs w:val="20"/>
          </w:rPr>
          <w:t>paridades</w:t>
        </w:r>
      </w:hyperlink>
      <w:r w:rsidRPr="00B341C7">
        <w:rPr>
          <w:rFonts w:ascii="Arial" w:hAnsi="Arial" w:cs="Arial"/>
          <w:sz w:val="20"/>
          <w:szCs w:val="20"/>
        </w:rPr>
        <w:t xml:space="preserve"> monetarias. Una de ellas toma en cuenta el </w:t>
      </w:r>
      <w:hyperlink r:id="rId19" w:tooltip="Mercado monetario" w:history="1">
        <w:r w:rsidRPr="00B341C7">
          <w:rPr>
            <w:rFonts w:ascii="Arial" w:hAnsi="Arial" w:cs="Arial"/>
            <w:sz w:val="20"/>
            <w:szCs w:val="20"/>
          </w:rPr>
          <w:t>mercado monetario</w:t>
        </w:r>
      </w:hyperlink>
      <w:r w:rsidRPr="00B341C7">
        <w:rPr>
          <w:rFonts w:ascii="Arial" w:hAnsi="Arial" w:cs="Arial"/>
          <w:sz w:val="20"/>
          <w:szCs w:val="20"/>
        </w:rPr>
        <w:t xml:space="preserve"> como principal determinante de este precio relativo, y basa gran parte de su análisis en el comportamiento de la </w:t>
      </w:r>
      <w:hyperlink r:id="rId20" w:tooltip="Tasa de interés" w:history="1">
        <w:r w:rsidRPr="00B341C7">
          <w:rPr>
            <w:rFonts w:ascii="Arial" w:hAnsi="Arial" w:cs="Arial"/>
            <w:sz w:val="20"/>
            <w:szCs w:val="20"/>
          </w:rPr>
          <w:t>tasa de interés</w:t>
        </w:r>
      </w:hyperlink>
      <w:r w:rsidRPr="00B341C7">
        <w:rPr>
          <w:rFonts w:ascii="Arial" w:hAnsi="Arial" w:cs="Arial"/>
          <w:sz w:val="20"/>
          <w:szCs w:val="20"/>
        </w:rPr>
        <w:t xml:space="preserve"> de los instrumentos financieros similares y comparables disponibles en ambas monedas. Otra vía para analizar el comportamiento cambiario es aquella que toma en cuenta el </w:t>
      </w:r>
      <w:hyperlink r:id="rId21" w:tooltip="Mercado de bienes y servicios" w:history="1">
        <w:r w:rsidRPr="00B341C7">
          <w:rPr>
            <w:rFonts w:ascii="Arial" w:hAnsi="Arial" w:cs="Arial"/>
            <w:sz w:val="20"/>
            <w:szCs w:val="20"/>
          </w:rPr>
          <w:t>mercado de bienes y servicios</w:t>
        </w:r>
      </w:hyperlink>
      <w:r w:rsidRPr="00B341C7">
        <w:rPr>
          <w:rFonts w:ascii="Arial" w:hAnsi="Arial" w:cs="Arial"/>
          <w:sz w:val="20"/>
          <w:szCs w:val="20"/>
        </w:rPr>
        <w:t xml:space="preserve">, y compara precios de bienes similares o </w:t>
      </w:r>
      <w:hyperlink r:id="rId22" w:tooltip="Tasa de inflación" w:history="1">
        <w:r w:rsidRPr="00B341C7">
          <w:rPr>
            <w:rFonts w:ascii="Arial" w:hAnsi="Arial" w:cs="Arial"/>
            <w:sz w:val="20"/>
            <w:szCs w:val="20"/>
          </w:rPr>
          <w:t>tasas de inflación</w:t>
        </w:r>
      </w:hyperlink>
      <w:r w:rsidRPr="00B341C7">
        <w:rPr>
          <w:rFonts w:ascii="Arial" w:hAnsi="Arial" w:cs="Arial"/>
          <w:sz w:val="20"/>
          <w:szCs w:val="20"/>
        </w:rPr>
        <w:t xml:space="preserve"> para evaluar el poder de compra de una y otra moneda</w:t>
      </w:r>
    </w:p>
    <w:p w14:paraId="26B2ED76" w14:textId="77777777" w:rsidR="00D638D1" w:rsidRDefault="00D638D1">
      <w:pPr>
        <w:jc w:val="both"/>
        <w:rPr>
          <w:rFonts w:ascii="Arial" w:hAnsi="Arial" w:cs="Arial"/>
          <w:sz w:val="20"/>
          <w:szCs w:val="20"/>
        </w:rPr>
      </w:pPr>
      <w:r w:rsidRPr="00B341C7">
        <w:rPr>
          <w:rFonts w:ascii="Arial" w:hAnsi="Arial" w:cs="Arial"/>
          <w:sz w:val="20"/>
          <w:szCs w:val="20"/>
        </w:rPr>
        <w:t>Dentro de las operaciones por divisas, COFOCE, siempre mantendrá un riesgo, sin embargo, en nuestra opinión este puede estar medianamente controlado por la estabilidad actual del país, adicionalmente, dicho riesgo puede estar medido ya que nuestras operaciones están apegadas a la disponibilidad de nuestro presupuesto.</w:t>
      </w:r>
    </w:p>
    <w:p w14:paraId="394C7FD7" w14:textId="77777777" w:rsidR="00505E9F" w:rsidRDefault="00505E9F">
      <w:pPr>
        <w:jc w:val="both"/>
        <w:rPr>
          <w:rFonts w:ascii="Arial" w:hAnsi="Arial" w:cs="Arial"/>
          <w:sz w:val="20"/>
          <w:szCs w:val="20"/>
        </w:rPr>
      </w:pPr>
    </w:p>
    <w:p w14:paraId="46D128E2" w14:textId="77777777" w:rsidR="000660D0" w:rsidRDefault="000660D0">
      <w:pPr>
        <w:jc w:val="both"/>
        <w:rPr>
          <w:rFonts w:ascii="Arial" w:hAnsi="Arial" w:cs="Arial"/>
          <w:sz w:val="20"/>
          <w:szCs w:val="20"/>
        </w:rPr>
      </w:pPr>
    </w:p>
    <w:p w14:paraId="611A2E68"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e) Valor activado en el ejercicio de los bienes construidos por la entidad:</w:t>
      </w:r>
    </w:p>
    <w:p w14:paraId="4473307C"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1217E3AF"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lastRenderedPageBreak/>
        <w:t>f) Otras circunstancias de carácter significativo que afecten el activo, tales como bienes en garantía, señalados en embargos, litigios, títulos de inversiones entregados en garantías, baja significativa del valor de inversiones financieras, etc.:</w:t>
      </w:r>
    </w:p>
    <w:p w14:paraId="398673DC"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76179D1B"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g) Desmantelamiento de Activos, procedimientos, implicaciones, efectos contables:</w:t>
      </w:r>
    </w:p>
    <w:p w14:paraId="02F2FB04"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3E9472A3"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h) Administración de activos; planeación con el objetivo de que el ente los utilice de manera más efectiva:</w:t>
      </w:r>
    </w:p>
    <w:p w14:paraId="5FFEBB2B" w14:textId="77777777" w:rsidR="00D638D1" w:rsidRPr="00B341C7" w:rsidRDefault="00D638D1">
      <w:pPr>
        <w:jc w:val="both"/>
        <w:rPr>
          <w:rFonts w:ascii="Arial" w:hAnsi="Arial" w:cs="Arial"/>
          <w:sz w:val="20"/>
          <w:szCs w:val="20"/>
        </w:rPr>
      </w:pPr>
      <w:r w:rsidRPr="00B341C7">
        <w:rPr>
          <w:rFonts w:ascii="Arial" w:hAnsi="Arial" w:cs="Arial"/>
          <w:sz w:val="20"/>
          <w:szCs w:val="20"/>
        </w:rPr>
        <w:t>Con la finalidad de optimizar la administración de activos, COFOCE tiene establecidas diversas líneas de acción</w:t>
      </w:r>
      <w:r w:rsidR="006F1DEA" w:rsidRPr="00B341C7">
        <w:rPr>
          <w:rFonts w:ascii="Arial" w:hAnsi="Arial" w:cs="Arial"/>
          <w:sz w:val="20"/>
          <w:szCs w:val="20"/>
        </w:rPr>
        <w:t>,</w:t>
      </w:r>
      <w:r w:rsidRPr="00B341C7">
        <w:rPr>
          <w:rFonts w:ascii="Arial" w:hAnsi="Arial" w:cs="Arial"/>
          <w:sz w:val="20"/>
          <w:szCs w:val="20"/>
        </w:rPr>
        <w:t xml:space="preserve"> lo cual</w:t>
      </w:r>
      <w:r w:rsidR="006F1DEA" w:rsidRPr="00B341C7">
        <w:rPr>
          <w:rFonts w:ascii="Arial" w:hAnsi="Arial" w:cs="Arial"/>
          <w:sz w:val="20"/>
          <w:szCs w:val="20"/>
        </w:rPr>
        <w:t>,</w:t>
      </w:r>
      <w:r w:rsidRPr="00B341C7">
        <w:rPr>
          <w:rFonts w:ascii="Arial" w:hAnsi="Arial" w:cs="Arial"/>
          <w:sz w:val="20"/>
          <w:szCs w:val="20"/>
        </w:rPr>
        <w:t xml:space="preserve"> permite realizar una planeación estratégica permitiéndonos optimizar los recursos con que se cuenta. Estas líneas de acción se manifiestan mediante los instructivos, políticas, procedimientos y registros que tiene COFOCE.</w:t>
      </w:r>
    </w:p>
    <w:p w14:paraId="4A5F5D4D" w14:textId="77777777" w:rsidR="00D638D1" w:rsidRPr="00B341C7" w:rsidRDefault="00D638D1">
      <w:pPr>
        <w:jc w:val="both"/>
        <w:rPr>
          <w:rFonts w:ascii="Arial" w:hAnsi="Arial" w:cs="Arial"/>
          <w:sz w:val="20"/>
          <w:szCs w:val="20"/>
        </w:rPr>
      </w:pPr>
      <w:r w:rsidRPr="00B341C7">
        <w:rPr>
          <w:rFonts w:ascii="Arial" w:hAnsi="Arial" w:cs="Arial"/>
          <w:sz w:val="20"/>
          <w:szCs w:val="20"/>
        </w:rPr>
        <w:t>Adicionalmente, se deben incluir las explicaciones de las principales variaciones en el activo, en cuadros comparativos como sigue:</w:t>
      </w:r>
    </w:p>
    <w:p w14:paraId="478B3667"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a) Inversiones en valores:</w:t>
      </w:r>
    </w:p>
    <w:p w14:paraId="42B2E8AE"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64953E30"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b) Patrimonio de Organismos descentralizados de Control Presupuestario Indirecto:</w:t>
      </w:r>
    </w:p>
    <w:p w14:paraId="4C7FB59E"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5A6743BE"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c) Inversiones en empresas de participación mayoritaria:</w:t>
      </w:r>
    </w:p>
    <w:p w14:paraId="469EA597"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4F437C54"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d) Inversiones en empresas de participación minoritaria:</w:t>
      </w:r>
    </w:p>
    <w:p w14:paraId="6B0580A0"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4D24595C"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e) Patrimonio de organismos descentralizados de control presupuestario directo, según corresponda:</w:t>
      </w:r>
    </w:p>
    <w:p w14:paraId="0684F32B" w14:textId="77777777" w:rsidR="00505E9F" w:rsidRDefault="00D638D1">
      <w:pPr>
        <w:jc w:val="both"/>
        <w:rPr>
          <w:rFonts w:ascii="Arial" w:hAnsi="Arial" w:cs="Arial"/>
          <w:sz w:val="20"/>
          <w:szCs w:val="20"/>
        </w:rPr>
      </w:pPr>
      <w:r w:rsidRPr="00B341C7">
        <w:rPr>
          <w:rFonts w:ascii="Arial" w:hAnsi="Arial" w:cs="Arial"/>
          <w:sz w:val="20"/>
          <w:szCs w:val="20"/>
        </w:rPr>
        <w:t>El patrimonio se encuentra reflejado en el Estado de Situación Financiera en el apartado de la información contable.</w:t>
      </w:r>
    </w:p>
    <w:p w14:paraId="35717CCF" w14:textId="77777777" w:rsidR="00505E9F" w:rsidRDefault="00505E9F">
      <w:pPr>
        <w:jc w:val="both"/>
        <w:rPr>
          <w:rFonts w:ascii="Arial" w:hAnsi="Arial" w:cs="Arial"/>
          <w:sz w:val="20"/>
          <w:szCs w:val="20"/>
        </w:rPr>
      </w:pPr>
    </w:p>
    <w:p w14:paraId="5DCDCFEA" w14:textId="7152519C" w:rsidR="00D638D1" w:rsidRPr="00B341C7" w:rsidRDefault="00A702CC">
      <w:pPr>
        <w:jc w:val="both"/>
        <w:rPr>
          <w:rFonts w:ascii="Arial" w:hAnsi="Arial" w:cs="Arial"/>
          <w:b/>
          <w:sz w:val="24"/>
          <w:szCs w:val="24"/>
        </w:rPr>
      </w:pPr>
      <w:r>
        <w:rPr>
          <w:rFonts w:ascii="Arial" w:hAnsi="Arial" w:cs="Arial"/>
          <w:b/>
          <w:sz w:val="24"/>
          <w:szCs w:val="24"/>
        </w:rPr>
        <w:t>8</w:t>
      </w:r>
      <w:r w:rsidR="00D638D1" w:rsidRPr="00B341C7">
        <w:rPr>
          <w:rFonts w:ascii="Arial" w:hAnsi="Arial" w:cs="Arial"/>
          <w:b/>
          <w:sz w:val="24"/>
          <w:szCs w:val="24"/>
        </w:rPr>
        <w:t>. Fideicomisos, Mandatos y Análogos:</w:t>
      </w:r>
    </w:p>
    <w:p w14:paraId="3BAE1F1F"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a) Por ramo administrativo que los reporta:</w:t>
      </w:r>
    </w:p>
    <w:p w14:paraId="21ECBD4F" w14:textId="77777777" w:rsidR="00D638D1" w:rsidRPr="00B341C7" w:rsidRDefault="00D638D1">
      <w:pPr>
        <w:jc w:val="both"/>
        <w:rPr>
          <w:rFonts w:ascii="Arial" w:hAnsi="Arial" w:cs="Arial"/>
          <w:sz w:val="20"/>
          <w:szCs w:val="20"/>
        </w:rPr>
      </w:pPr>
      <w:r w:rsidRPr="00B341C7">
        <w:rPr>
          <w:rFonts w:ascii="Arial" w:hAnsi="Arial" w:cs="Arial"/>
          <w:sz w:val="20"/>
          <w:szCs w:val="20"/>
        </w:rPr>
        <w:t>No existen Fideicomisos, mandatos y análogos en COFOCE</w:t>
      </w:r>
    </w:p>
    <w:p w14:paraId="12273966"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b) Enlistar los de mayor monto de disponibilidad, relacionando aquéllos que conforman el 80% de las disponibilidades:</w:t>
      </w:r>
    </w:p>
    <w:p w14:paraId="05D1AC4A" w14:textId="77777777" w:rsidR="00D638D1" w:rsidRPr="00B341C7" w:rsidRDefault="00D638D1">
      <w:pPr>
        <w:jc w:val="both"/>
        <w:rPr>
          <w:rFonts w:ascii="Arial" w:hAnsi="Arial" w:cs="Arial"/>
          <w:sz w:val="20"/>
          <w:szCs w:val="20"/>
        </w:rPr>
      </w:pPr>
      <w:r w:rsidRPr="00B341C7">
        <w:rPr>
          <w:rFonts w:ascii="Arial" w:hAnsi="Arial" w:cs="Arial"/>
          <w:sz w:val="20"/>
          <w:szCs w:val="20"/>
        </w:rPr>
        <w:t>Este apartado no aplica para COFOCE.</w:t>
      </w:r>
    </w:p>
    <w:p w14:paraId="57CB4921" w14:textId="24556D11" w:rsidR="00D638D1" w:rsidRPr="00B341C7" w:rsidRDefault="00A702CC">
      <w:pPr>
        <w:jc w:val="both"/>
        <w:rPr>
          <w:rFonts w:ascii="Arial" w:hAnsi="Arial" w:cs="Arial"/>
          <w:b/>
          <w:sz w:val="24"/>
          <w:szCs w:val="24"/>
        </w:rPr>
      </w:pPr>
      <w:r>
        <w:rPr>
          <w:rFonts w:ascii="Arial" w:hAnsi="Arial" w:cs="Arial"/>
          <w:b/>
          <w:sz w:val="24"/>
          <w:szCs w:val="24"/>
        </w:rPr>
        <w:t>9</w:t>
      </w:r>
      <w:r w:rsidR="00D638D1" w:rsidRPr="00B341C7">
        <w:rPr>
          <w:rFonts w:ascii="Arial" w:hAnsi="Arial" w:cs="Arial"/>
          <w:b/>
          <w:sz w:val="24"/>
          <w:szCs w:val="24"/>
        </w:rPr>
        <w:t>. Reporte de la Recaudación:</w:t>
      </w:r>
    </w:p>
    <w:p w14:paraId="2CC1644F"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a) Análisis del comportamiento de la recaudación correspondiente al ente público o cualquier tipo de ingreso, de forma separada los ingresos locales de los federales:</w:t>
      </w:r>
    </w:p>
    <w:p w14:paraId="12320511" w14:textId="77777777" w:rsidR="00CD2C29" w:rsidRDefault="00AC2ECF">
      <w:pPr>
        <w:jc w:val="both"/>
        <w:rPr>
          <w:rFonts w:ascii="Arial" w:hAnsi="Arial" w:cs="Arial"/>
          <w:noProof/>
          <w:sz w:val="20"/>
          <w:szCs w:val="20"/>
          <w:lang w:eastAsia="es-MX"/>
        </w:rPr>
      </w:pPr>
      <w:r w:rsidRPr="00A96EEF">
        <w:rPr>
          <w:rFonts w:ascii="Arial" w:hAnsi="Arial" w:cs="Arial"/>
          <w:noProof/>
          <w:sz w:val="20"/>
          <w:szCs w:val="20"/>
          <w:lang w:eastAsia="es-MX"/>
        </w:rPr>
        <w:t xml:space="preserve">La recadudacion de </w:t>
      </w:r>
      <w:r w:rsidR="00C31FC1" w:rsidRPr="00A96EEF">
        <w:rPr>
          <w:rFonts w:ascii="Arial" w:hAnsi="Arial" w:cs="Arial"/>
          <w:noProof/>
          <w:sz w:val="20"/>
          <w:szCs w:val="20"/>
          <w:lang w:eastAsia="es-MX"/>
        </w:rPr>
        <w:t>e</w:t>
      </w:r>
      <w:r w:rsidRPr="00A96EEF">
        <w:rPr>
          <w:rFonts w:ascii="Arial" w:hAnsi="Arial" w:cs="Arial"/>
          <w:noProof/>
          <w:sz w:val="20"/>
          <w:szCs w:val="20"/>
          <w:lang w:eastAsia="es-MX"/>
        </w:rPr>
        <w:t xml:space="preserve">sta Coordinadora se lleva con base a lo pronosticado, autorizado y publicado en la Ley de Ingresos del Estado de Guanajuato y </w:t>
      </w:r>
      <w:r w:rsidR="0091565C" w:rsidRPr="00A96EEF">
        <w:rPr>
          <w:rFonts w:ascii="Arial" w:hAnsi="Arial" w:cs="Arial"/>
          <w:noProof/>
          <w:sz w:val="20"/>
          <w:szCs w:val="20"/>
          <w:lang w:eastAsia="es-MX"/>
        </w:rPr>
        <w:t xml:space="preserve">sus registros </w:t>
      </w:r>
      <w:r w:rsidRPr="00A96EEF">
        <w:rPr>
          <w:rFonts w:ascii="Arial" w:hAnsi="Arial" w:cs="Arial"/>
          <w:noProof/>
          <w:sz w:val="20"/>
          <w:szCs w:val="20"/>
          <w:lang w:eastAsia="es-MX"/>
        </w:rPr>
        <w:t xml:space="preserve">se </w:t>
      </w:r>
      <w:r w:rsidR="0091565C" w:rsidRPr="00A96EEF">
        <w:rPr>
          <w:rFonts w:ascii="Arial" w:hAnsi="Arial" w:cs="Arial"/>
          <w:noProof/>
          <w:sz w:val="20"/>
          <w:szCs w:val="20"/>
          <w:lang w:eastAsia="es-MX"/>
        </w:rPr>
        <w:t xml:space="preserve">llevan a cabo </w:t>
      </w:r>
      <w:r w:rsidRPr="00A96EEF">
        <w:rPr>
          <w:rFonts w:ascii="Arial" w:hAnsi="Arial" w:cs="Arial"/>
          <w:noProof/>
          <w:sz w:val="20"/>
          <w:szCs w:val="20"/>
          <w:lang w:eastAsia="es-MX"/>
        </w:rPr>
        <w:t xml:space="preserve"> mediante</w:t>
      </w:r>
      <w:r w:rsidR="0091565C" w:rsidRPr="00A96EEF">
        <w:rPr>
          <w:rFonts w:ascii="Arial" w:hAnsi="Arial" w:cs="Arial"/>
          <w:noProof/>
          <w:sz w:val="20"/>
          <w:szCs w:val="20"/>
          <w:lang w:eastAsia="es-MX"/>
        </w:rPr>
        <w:t xml:space="preserve"> el S</w:t>
      </w:r>
      <w:r w:rsidRPr="00A96EEF">
        <w:rPr>
          <w:rFonts w:ascii="Arial" w:hAnsi="Arial" w:cs="Arial"/>
          <w:noProof/>
          <w:sz w:val="20"/>
          <w:szCs w:val="20"/>
          <w:lang w:eastAsia="es-MX"/>
        </w:rPr>
        <w:t>istema</w:t>
      </w:r>
      <w:r w:rsidR="0091565C" w:rsidRPr="00A96EEF">
        <w:rPr>
          <w:rFonts w:ascii="Arial" w:hAnsi="Arial" w:cs="Arial"/>
          <w:noProof/>
          <w:sz w:val="20"/>
          <w:szCs w:val="20"/>
          <w:lang w:eastAsia="es-MX"/>
        </w:rPr>
        <w:t xml:space="preserve"> SAP R</w:t>
      </w:r>
      <w:r w:rsidRPr="00A96EEF">
        <w:rPr>
          <w:rFonts w:ascii="Arial" w:hAnsi="Arial" w:cs="Arial"/>
          <w:noProof/>
          <w:sz w:val="20"/>
          <w:szCs w:val="20"/>
          <w:lang w:eastAsia="es-MX"/>
        </w:rPr>
        <w:t>/3.</w:t>
      </w:r>
    </w:p>
    <w:p w14:paraId="118753B8"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b) Proyección de la recaudación e ingresos en el mediano plazo:</w:t>
      </w:r>
    </w:p>
    <w:p w14:paraId="0FA36CF3" w14:textId="22EDBE4B" w:rsidR="00D638D1" w:rsidRPr="00B341C7" w:rsidRDefault="0091565C" w:rsidP="00D336A1">
      <w:pPr>
        <w:rPr>
          <w:rFonts w:ascii="Arial" w:hAnsi="Arial" w:cs="Arial"/>
          <w:b/>
          <w:sz w:val="24"/>
          <w:szCs w:val="24"/>
        </w:rPr>
      </w:pPr>
      <w:r w:rsidRPr="00A96EEF">
        <w:rPr>
          <w:rFonts w:ascii="Arial" w:hAnsi="Arial" w:cs="Arial"/>
          <w:noProof/>
          <w:sz w:val="20"/>
          <w:szCs w:val="20"/>
          <w:lang w:eastAsia="es-MX"/>
        </w:rPr>
        <w:t>La recadudacion de esta Coordinadora se lleva con base a lo pronosticado, autorizado y publicado en la Ley de Ingresos del Estado de Guanajuato y sus registros se llevan a cabo  mediante el Sistema SAP R/3.</w:t>
      </w:r>
      <w:r w:rsidRPr="00B341C7">
        <w:rPr>
          <w:rFonts w:ascii="Arial" w:hAnsi="Arial" w:cs="Arial"/>
          <w:noProof/>
          <w:lang w:eastAsia="es-MX"/>
        </w:rPr>
        <w:br w:type="page"/>
      </w:r>
      <w:r w:rsidR="00D638D1" w:rsidRPr="00B341C7">
        <w:rPr>
          <w:rFonts w:ascii="Arial" w:hAnsi="Arial" w:cs="Arial"/>
          <w:b/>
          <w:sz w:val="24"/>
          <w:szCs w:val="24"/>
        </w:rPr>
        <w:lastRenderedPageBreak/>
        <w:t>1</w:t>
      </w:r>
      <w:r w:rsidR="00A702CC">
        <w:rPr>
          <w:rFonts w:ascii="Arial" w:hAnsi="Arial" w:cs="Arial"/>
          <w:b/>
          <w:sz w:val="24"/>
          <w:szCs w:val="24"/>
        </w:rPr>
        <w:t>0</w:t>
      </w:r>
      <w:r w:rsidR="00D638D1" w:rsidRPr="00B341C7">
        <w:rPr>
          <w:rFonts w:ascii="Arial" w:hAnsi="Arial" w:cs="Arial"/>
          <w:b/>
          <w:sz w:val="24"/>
          <w:szCs w:val="24"/>
        </w:rPr>
        <w:t>. Información sobre la Deuda y el Reporte Analítico de la Deuda:</w:t>
      </w:r>
    </w:p>
    <w:p w14:paraId="0B97551C"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a) Utilizar al menos los siguientes indicadores: deuda respecto al PIB y deuda respecto a la recaudación tomando, como mínimo, un período igual o menor a 5 años.</w:t>
      </w:r>
    </w:p>
    <w:p w14:paraId="47A8DACE" w14:textId="77777777" w:rsidR="00D638D1" w:rsidRPr="00B341C7" w:rsidRDefault="00C31FC1">
      <w:pPr>
        <w:jc w:val="both"/>
        <w:rPr>
          <w:rFonts w:ascii="Arial" w:hAnsi="Arial" w:cs="Arial"/>
          <w:sz w:val="20"/>
          <w:szCs w:val="20"/>
        </w:rPr>
      </w:pPr>
      <w:r w:rsidRPr="00B341C7">
        <w:rPr>
          <w:rFonts w:ascii="Arial" w:hAnsi="Arial" w:cs="Arial"/>
          <w:sz w:val="20"/>
          <w:szCs w:val="20"/>
        </w:rPr>
        <w:t>Este apartado no aplica para COFOCE.</w:t>
      </w:r>
    </w:p>
    <w:p w14:paraId="33DEDD30" w14:textId="77777777" w:rsidR="00D638D1" w:rsidRPr="00B341C7" w:rsidRDefault="00D638D1">
      <w:pPr>
        <w:jc w:val="both"/>
        <w:rPr>
          <w:rFonts w:ascii="Arial" w:hAnsi="Arial" w:cs="Arial"/>
          <w:b/>
          <w:sz w:val="20"/>
          <w:szCs w:val="20"/>
          <w:u w:val="single"/>
        </w:rPr>
      </w:pPr>
      <w:r w:rsidRPr="00B341C7">
        <w:rPr>
          <w:rFonts w:ascii="Arial" w:hAnsi="Arial" w:cs="Arial"/>
          <w:b/>
          <w:sz w:val="20"/>
          <w:szCs w:val="20"/>
          <w:u w:val="single"/>
        </w:rPr>
        <w:t>b) Información de manera agrupada por tipo de valor gubernamental o instrumento financiero en la que se considere intereses, comisiones, tasa, perfil de vencimiento y otros gastos de la deuda.</w:t>
      </w:r>
    </w:p>
    <w:p w14:paraId="07D857CD" w14:textId="77777777" w:rsidR="00D638D1" w:rsidRPr="00B341C7" w:rsidRDefault="00C31FC1">
      <w:pPr>
        <w:jc w:val="both"/>
        <w:rPr>
          <w:rFonts w:ascii="Arial" w:hAnsi="Arial" w:cs="Arial"/>
          <w:sz w:val="20"/>
          <w:szCs w:val="20"/>
        </w:rPr>
      </w:pPr>
      <w:r w:rsidRPr="00B341C7">
        <w:rPr>
          <w:rFonts w:ascii="Arial" w:hAnsi="Arial" w:cs="Arial"/>
          <w:sz w:val="20"/>
          <w:szCs w:val="20"/>
        </w:rPr>
        <w:t>Este apartado no aplica para COFOCE.</w:t>
      </w:r>
    </w:p>
    <w:p w14:paraId="11AD1364" w14:textId="36D20D34" w:rsidR="00D638D1" w:rsidRPr="00B341C7" w:rsidRDefault="00D638D1">
      <w:pPr>
        <w:jc w:val="both"/>
        <w:rPr>
          <w:rFonts w:ascii="Arial" w:hAnsi="Arial" w:cs="Arial"/>
          <w:b/>
          <w:sz w:val="24"/>
          <w:szCs w:val="24"/>
        </w:rPr>
      </w:pPr>
      <w:r w:rsidRPr="00B341C7">
        <w:rPr>
          <w:rFonts w:ascii="Arial" w:hAnsi="Arial" w:cs="Arial"/>
          <w:b/>
          <w:sz w:val="24"/>
          <w:szCs w:val="24"/>
        </w:rPr>
        <w:t>1</w:t>
      </w:r>
      <w:r w:rsidR="00A702CC">
        <w:rPr>
          <w:rFonts w:ascii="Arial" w:hAnsi="Arial" w:cs="Arial"/>
          <w:b/>
          <w:sz w:val="24"/>
          <w:szCs w:val="24"/>
        </w:rPr>
        <w:t>1</w:t>
      </w:r>
      <w:r w:rsidRPr="00B341C7">
        <w:rPr>
          <w:rFonts w:ascii="Arial" w:hAnsi="Arial" w:cs="Arial"/>
          <w:b/>
          <w:sz w:val="24"/>
          <w:szCs w:val="24"/>
        </w:rPr>
        <w:t>. Calificaciones otorgadas:</w:t>
      </w:r>
    </w:p>
    <w:p w14:paraId="37CD947B" w14:textId="77777777" w:rsidR="00D638D1" w:rsidRPr="00B341C7" w:rsidRDefault="00566255">
      <w:pPr>
        <w:jc w:val="both"/>
        <w:rPr>
          <w:rFonts w:ascii="Arial" w:hAnsi="Arial" w:cs="Arial"/>
          <w:sz w:val="20"/>
          <w:szCs w:val="20"/>
        </w:rPr>
      </w:pPr>
      <w:r w:rsidRPr="00B341C7">
        <w:rPr>
          <w:rFonts w:ascii="Arial" w:hAnsi="Arial" w:cs="Arial"/>
          <w:sz w:val="20"/>
          <w:szCs w:val="20"/>
        </w:rPr>
        <w:t>En este</w:t>
      </w:r>
      <w:r w:rsidR="000C4D57" w:rsidRPr="00B341C7">
        <w:rPr>
          <w:rFonts w:ascii="Arial" w:hAnsi="Arial" w:cs="Arial"/>
          <w:sz w:val="20"/>
          <w:szCs w:val="20"/>
        </w:rPr>
        <w:t xml:space="preserve"> apartado es menester informar </w:t>
      </w:r>
      <w:r w:rsidR="00D638D1" w:rsidRPr="00B341C7">
        <w:rPr>
          <w:rFonts w:ascii="Arial" w:hAnsi="Arial" w:cs="Arial"/>
          <w:sz w:val="20"/>
          <w:szCs w:val="20"/>
        </w:rPr>
        <w:t>cualquier transacción realizada que haya sido sujet</w:t>
      </w:r>
      <w:r w:rsidR="000C4D57" w:rsidRPr="00B341C7">
        <w:rPr>
          <w:rFonts w:ascii="Arial" w:hAnsi="Arial" w:cs="Arial"/>
          <w:sz w:val="20"/>
          <w:szCs w:val="20"/>
        </w:rPr>
        <w:t>a a una calificación crediticia, y bajo esta premisa, no existe información relacionada al respecto.</w:t>
      </w:r>
    </w:p>
    <w:p w14:paraId="64C61284" w14:textId="5385A09B" w:rsidR="00D638D1" w:rsidRPr="00B341C7" w:rsidRDefault="00D638D1">
      <w:pPr>
        <w:jc w:val="both"/>
        <w:rPr>
          <w:rFonts w:ascii="Arial" w:hAnsi="Arial" w:cs="Arial"/>
          <w:b/>
          <w:sz w:val="24"/>
          <w:szCs w:val="24"/>
        </w:rPr>
      </w:pPr>
      <w:r w:rsidRPr="00B341C7">
        <w:rPr>
          <w:rFonts w:ascii="Arial" w:hAnsi="Arial" w:cs="Arial"/>
          <w:b/>
          <w:sz w:val="24"/>
          <w:szCs w:val="24"/>
        </w:rPr>
        <w:t>1</w:t>
      </w:r>
      <w:r w:rsidR="00A702CC">
        <w:rPr>
          <w:rFonts w:ascii="Arial" w:hAnsi="Arial" w:cs="Arial"/>
          <w:b/>
          <w:sz w:val="24"/>
          <w:szCs w:val="24"/>
        </w:rPr>
        <w:t>2</w:t>
      </w:r>
      <w:r w:rsidRPr="00B341C7">
        <w:rPr>
          <w:rFonts w:ascii="Arial" w:hAnsi="Arial" w:cs="Arial"/>
          <w:b/>
          <w:sz w:val="24"/>
          <w:szCs w:val="24"/>
        </w:rPr>
        <w:t>. Proceso de Mejora:</w:t>
      </w:r>
    </w:p>
    <w:p w14:paraId="1DC13802" w14:textId="77777777" w:rsidR="000C4D57" w:rsidRPr="00B341C7" w:rsidRDefault="000C4D57">
      <w:pPr>
        <w:jc w:val="both"/>
        <w:rPr>
          <w:rFonts w:ascii="Arial" w:hAnsi="Arial" w:cs="Arial"/>
          <w:sz w:val="20"/>
          <w:szCs w:val="20"/>
        </w:rPr>
      </w:pPr>
      <w:r w:rsidRPr="00B341C7">
        <w:rPr>
          <w:rFonts w:ascii="Arial" w:hAnsi="Arial" w:cs="Arial"/>
          <w:sz w:val="20"/>
          <w:szCs w:val="20"/>
        </w:rPr>
        <w:t>En este rubro sobre el enfoque citado hacia los procesos, procedimientos o cualquier apartado que involucre este desarrollo referimos las:</w:t>
      </w:r>
    </w:p>
    <w:p w14:paraId="188E6757" w14:textId="77777777" w:rsidR="00D638D1" w:rsidRDefault="00D638D1" w:rsidP="00A95ADF">
      <w:pPr>
        <w:numPr>
          <w:ilvl w:val="0"/>
          <w:numId w:val="18"/>
        </w:numPr>
        <w:jc w:val="both"/>
        <w:rPr>
          <w:rFonts w:ascii="Arial" w:hAnsi="Arial" w:cs="Arial"/>
          <w:b/>
          <w:sz w:val="20"/>
          <w:szCs w:val="20"/>
          <w:u w:val="single"/>
        </w:rPr>
      </w:pPr>
      <w:r w:rsidRPr="00B341C7">
        <w:rPr>
          <w:rFonts w:ascii="Arial" w:hAnsi="Arial" w:cs="Arial"/>
          <w:b/>
          <w:sz w:val="20"/>
          <w:szCs w:val="20"/>
          <w:u w:val="single"/>
        </w:rPr>
        <w:t>Principales Políticas de control interno:</w:t>
      </w:r>
    </w:p>
    <w:p w14:paraId="42F0DD93" w14:textId="77777777" w:rsidR="0048694C" w:rsidRDefault="0048694C" w:rsidP="00492EB5">
      <w:pPr>
        <w:jc w:val="both"/>
        <w:rPr>
          <w:rFonts w:ascii="Century Gothic" w:hAnsi="Century Gothic" w:cs="Arial"/>
          <w:b/>
          <w:color w:val="000000"/>
          <w:sz w:val="32"/>
        </w:rPr>
      </w:pPr>
    </w:p>
    <w:p w14:paraId="199BCF3D" w14:textId="77777777" w:rsidR="00A702CC" w:rsidRDefault="00A702CC" w:rsidP="00492EB5">
      <w:pPr>
        <w:jc w:val="both"/>
        <w:rPr>
          <w:rFonts w:ascii="Century Gothic" w:hAnsi="Century Gothic" w:cs="Arial"/>
          <w:b/>
          <w:color w:val="000000"/>
          <w:sz w:val="32"/>
        </w:rPr>
      </w:pPr>
    </w:p>
    <w:p w14:paraId="43214CA8" w14:textId="77777777" w:rsidR="00A702CC" w:rsidRDefault="00A702CC" w:rsidP="00492EB5">
      <w:pPr>
        <w:jc w:val="both"/>
        <w:rPr>
          <w:rFonts w:ascii="Century Gothic" w:hAnsi="Century Gothic" w:cs="Arial"/>
          <w:b/>
          <w:color w:val="000000"/>
          <w:sz w:val="32"/>
        </w:rPr>
      </w:pPr>
    </w:p>
    <w:p w14:paraId="2D712DB1" w14:textId="77777777" w:rsidR="0048694C" w:rsidRDefault="0048694C" w:rsidP="00492EB5">
      <w:pPr>
        <w:jc w:val="both"/>
        <w:rPr>
          <w:rFonts w:ascii="Century Gothic" w:hAnsi="Century Gothic" w:cs="Arial"/>
          <w:b/>
          <w:color w:val="000000"/>
          <w:sz w:val="32"/>
        </w:rPr>
      </w:pPr>
    </w:p>
    <w:p w14:paraId="69F2983E" w14:textId="77777777" w:rsidR="0048694C" w:rsidRDefault="0048694C" w:rsidP="00492EB5">
      <w:pPr>
        <w:jc w:val="both"/>
        <w:rPr>
          <w:rFonts w:ascii="Century Gothic" w:hAnsi="Century Gothic" w:cs="Arial"/>
          <w:b/>
          <w:color w:val="000000"/>
          <w:sz w:val="32"/>
        </w:rPr>
      </w:pPr>
    </w:p>
    <w:p w14:paraId="1AC78487" w14:textId="77777777" w:rsidR="00492EB5" w:rsidRPr="006E193D" w:rsidRDefault="00492EB5" w:rsidP="00492EB5">
      <w:pPr>
        <w:jc w:val="both"/>
        <w:rPr>
          <w:rFonts w:ascii="Century Gothic" w:hAnsi="Century Gothic" w:cs="Arial"/>
          <w:b/>
          <w:color w:val="000000"/>
          <w:sz w:val="32"/>
        </w:rPr>
      </w:pPr>
      <w:r w:rsidRPr="006E193D">
        <w:rPr>
          <w:rFonts w:ascii="Century Gothic" w:hAnsi="Century Gothic" w:cs="Arial"/>
          <w:b/>
          <w:color w:val="000000"/>
          <w:sz w:val="32"/>
        </w:rPr>
        <w:lastRenderedPageBreak/>
        <w:t>Índice:</w:t>
      </w:r>
    </w:p>
    <w:p w14:paraId="7333E823" w14:textId="77777777" w:rsidR="00492EB5" w:rsidRPr="006E193D" w:rsidRDefault="00CE4452" w:rsidP="00492EB5">
      <w:pPr>
        <w:jc w:val="both"/>
        <w:rPr>
          <w:rFonts w:ascii="Century Gothic" w:hAnsi="Century Gothic" w:cs="Arial"/>
          <w:color w:val="0000FF"/>
          <w:sz w:val="20"/>
          <w:szCs w:val="20"/>
        </w:rPr>
      </w:pPr>
      <w:r>
        <w:rPr>
          <w:rFonts w:ascii="Century Gothic" w:hAnsi="Century Gothic" w:cs="Arial"/>
          <w:color w:val="808080"/>
          <w:sz w:val="20"/>
          <w:szCs w:val="20"/>
        </w:rPr>
        <w:pict w14:anchorId="3319EFC4">
          <v:rect id="_x0000_i1026" style="width:7in;height:1.5pt" o:hralign="center" o:hrstd="t" o:hrnoshade="t" o:hr="t" fillcolor="black" stroked="f"/>
        </w:pict>
      </w:r>
    </w:p>
    <w:p w14:paraId="295D704A" w14:textId="77777777" w:rsidR="00492EB5" w:rsidRPr="006E193D" w:rsidRDefault="00492EB5" w:rsidP="00492EB5">
      <w:pPr>
        <w:jc w:val="both"/>
        <w:rPr>
          <w:rFonts w:ascii="Century Gothic" w:hAnsi="Century Gothic" w:cs="Arial"/>
          <w:color w:val="000000"/>
        </w:rPr>
      </w:pPr>
    </w:p>
    <w:tbl>
      <w:tblPr>
        <w:tblW w:w="0" w:type="auto"/>
        <w:tblLook w:val="04A0" w:firstRow="1" w:lastRow="0" w:firstColumn="1" w:lastColumn="0" w:noHBand="0" w:noVBand="1"/>
      </w:tblPr>
      <w:tblGrid>
        <w:gridCol w:w="7257"/>
        <w:gridCol w:w="1797"/>
      </w:tblGrid>
      <w:tr w:rsidR="00492EB5" w:rsidRPr="006E193D" w14:paraId="785942D8" w14:textId="77777777" w:rsidTr="00A95ADF">
        <w:tc>
          <w:tcPr>
            <w:tcW w:w="7257" w:type="dxa"/>
          </w:tcPr>
          <w:p w14:paraId="00A99E2E" w14:textId="77777777" w:rsidR="00492EB5" w:rsidRPr="006E193D" w:rsidRDefault="00492EB5" w:rsidP="00A95ADF">
            <w:pPr>
              <w:jc w:val="both"/>
              <w:rPr>
                <w:rFonts w:ascii="Century Gothic" w:hAnsi="Century Gothic" w:cs="Arial"/>
                <w:sz w:val="32"/>
              </w:rPr>
            </w:pPr>
            <w:r w:rsidRPr="006E193D">
              <w:rPr>
                <w:rFonts w:ascii="Century Gothic" w:hAnsi="Century Gothic" w:cs="Arial"/>
                <w:b/>
                <w:sz w:val="32"/>
              </w:rPr>
              <w:t>Capítulo I</w:t>
            </w:r>
          </w:p>
        </w:tc>
        <w:tc>
          <w:tcPr>
            <w:tcW w:w="1797" w:type="dxa"/>
            <w:vAlign w:val="center"/>
          </w:tcPr>
          <w:p w14:paraId="0625EF48" w14:textId="77777777" w:rsidR="00492EB5" w:rsidRPr="006E193D" w:rsidRDefault="00492EB5" w:rsidP="00A95ADF">
            <w:pPr>
              <w:jc w:val="center"/>
              <w:rPr>
                <w:rFonts w:ascii="Century Gothic" w:hAnsi="Century Gothic" w:cs="Arial"/>
                <w:sz w:val="32"/>
              </w:rPr>
            </w:pPr>
          </w:p>
        </w:tc>
      </w:tr>
      <w:tr w:rsidR="00492EB5" w:rsidRPr="006E193D" w14:paraId="3DEBB704" w14:textId="77777777" w:rsidTr="00A95ADF">
        <w:tc>
          <w:tcPr>
            <w:tcW w:w="7257" w:type="dxa"/>
          </w:tcPr>
          <w:p w14:paraId="13664BD2" w14:textId="77777777" w:rsidR="00492EB5" w:rsidRPr="006E193D" w:rsidRDefault="00492EB5" w:rsidP="00A95ADF">
            <w:pPr>
              <w:jc w:val="both"/>
              <w:rPr>
                <w:rFonts w:ascii="Century Gothic" w:hAnsi="Century Gothic" w:cs="Arial"/>
                <w:color w:val="365F91"/>
              </w:rPr>
            </w:pPr>
          </w:p>
        </w:tc>
        <w:tc>
          <w:tcPr>
            <w:tcW w:w="1797" w:type="dxa"/>
            <w:vAlign w:val="center"/>
          </w:tcPr>
          <w:p w14:paraId="5677685E" w14:textId="77777777" w:rsidR="00492EB5" w:rsidRPr="006E193D" w:rsidRDefault="00492EB5" w:rsidP="00A95ADF">
            <w:pPr>
              <w:jc w:val="center"/>
              <w:rPr>
                <w:rFonts w:ascii="Century Gothic" w:hAnsi="Century Gothic" w:cs="Arial"/>
                <w:color w:val="365F91"/>
              </w:rPr>
            </w:pPr>
          </w:p>
        </w:tc>
      </w:tr>
      <w:tr w:rsidR="00492EB5" w:rsidRPr="006E193D" w14:paraId="0A2C68E9" w14:textId="77777777" w:rsidTr="00A95ADF">
        <w:tc>
          <w:tcPr>
            <w:tcW w:w="7257" w:type="dxa"/>
          </w:tcPr>
          <w:p w14:paraId="16D8D844" w14:textId="77777777" w:rsidR="00492EB5" w:rsidRPr="00E24AB9" w:rsidRDefault="00492EB5" w:rsidP="00A95ADF">
            <w:pPr>
              <w:ind w:left="284"/>
              <w:jc w:val="both"/>
              <w:rPr>
                <w:rFonts w:ascii="Century Gothic" w:hAnsi="Century Gothic" w:cs="Arial"/>
                <w:color w:val="808080"/>
              </w:rPr>
            </w:pPr>
            <w:r w:rsidRPr="00E24AB9">
              <w:rPr>
                <w:rFonts w:ascii="Century Gothic" w:hAnsi="Century Gothic" w:cs="Arial"/>
                <w:color w:val="808080"/>
              </w:rPr>
              <w:t>Inducción a la entidad.</w:t>
            </w:r>
          </w:p>
        </w:tc>
        <w:tc>
          <w:tcPr>
            <w:tcW w:w="1797" w:type="dxa"/>
            <w:vAlign w:val="center"/>
          </w:tcPr>
          <w:p w14:paraId="17ED6AF1" w14:textId="77777777" w:rsidR="00492EB5" w:rsidRPr="006E193D" w:rsidRDefault="00492EB5" w:rsidP="00A95ADF">
            <w:pPr>
              <w:jc w:val="center"/>
              <w:rPr>
                <w:rFonts w:ascii="Century Gothic" w:hAnsi="Century Gothic" w:cs="Arial"/>
                <w:color w:val="365F91"/>
              </w:rPr>
            </w:pPr>
          </w:p>
        </w:tc>
      </w:tr>
      <w:tr w:rsidR="00492EB5" w:rsidRPr="006E193D" w14:paraId="2FB8CDF2" w14:textId="77777777" w:rsidTr="00A95ADF">
        <w:tc>
          <w:tcPr>
            <w:tcW w:w="7257" w:type="dxa"/>
          </w:tcPr>
          <w:p w14:paraId="64C15F73" w14:textId="77777777" w:rsidR="00492EB5" w:rsidRPr="00E24AB9" w:rsidRDefault="00492EB5" w:rsidP="00A95ADF">
            <w:pPr>
              <w:ind w:left="284"/>
              <w:jc w:val="both"/>
              <w:rPr>
                <w:rFonts w:ascii="Century Gothic" w:hAnsi="Century Gothic" w:cs="Arial"/>
                <w:color w:val="808080"/>
              </w:rPr>
            </w:pPr>
            <w:proofErr w:type="gramStart"/>
            <w:r w:rsidRPr="00E24AB9">
              <w:rPr>
                <w:rFonts w:ascii="Century Gothic" w:hAnsi="Century Gothic" w:cs="Arial"/>
                <w:color w:val="808080"/>
              </w:rPr>
              <w:t>Marco  legal</w:t>
            </w:r>
            <w:proofErr w:type="gramEnd"/>
            <w:r w:rsidRPr="00E24AB9">
              <w:rPr>
                <w:rFonts w:ascii="Century Gothic" w:hAnsi="Century Gothic" w:cs="Arial"/>
                <w:color w:val="808080"/>
              </w:rPr>
              <w:t xml:space="preserve"> y normativo del Manual.</w:t>
            </w:r>
          </w:p>
        </w:tc>
        <w:tc>
          <w:tcPr>
            <w:tcW w:w="1797" w:type="dxa"/>
            <w:vAlign w:val="center"/>
          </w:tcPr>
          <w:p w14:paraId="6977B071" w14:textId="77777777" w:rsidR="00492EB5" w:rsidRPr="006E193D" w:rsidRDefault="00492EB5" w:rsidP="00A95ADF">
            <w:pPr>
              <w:jc w:val="center"/>
              <w:rPr>
                <w:rFonts w:ascii="Century Gothic" w:hAnsi="Century Gothic" w:cs="Arial"/>
                <w:color w:val="365F91"/>
              </w:rPr>
            </w:pPr>
          </w:p>
        </w:tc>
      </w:tr>
      <w:tr w:rsidR="00492EB5" w:rsidRPr="006E193D" w14:paraId="47EB0108" w14:textId="77777777" w:rsidTr="00A95ADF">
        <w:tc>
          <w:tcPr>
            <w:tcW w:w="7257" w:type="dxa"/>
          </w:tcPr>
          <w:p w14:paraId="5FC19028" w14:textId="77777777" w:rsidR="00492EB5" w:rsidRPr="00E24AB9" w:rsidRDefault="00492EB5" w:rsidP="00A95ADF">
            <w:pPr>
              <w:ind w:left="284"/>
              <w:jc w:val="both"/>
              <w:rPr>
                <w:rFonts w:ascii="Century Gothic" w:hAnsi="Century Gothic" w:cs="Arial"/>
                <w:color w:val="808080"/>
              </w:rPr>
            </w:pPr>
            <w:r w:rsidRPr="00E24AB9">
              <w:rPr>
                <w:rFonts w:ascii="Century Gothic" w:hAnsi="Century Gothic" w:cs="Arial"/>
                <w:color w:val="808080"/>
              </w:rPr>
              <w:t>Alcance, Difusión y Revisión del Manual.</w:t>
            </w:r>
          </w:p>
        </w:tc>
        <w:tc>
          <w:tcPr>
            <w:tcW w:w="1797" w:type="dxa"/>
            <w:vAlign w:val="center"/>
          </w:tcPr>
          <w:p w14:paraId="1FC4472B" w14:textId="77777777" w:rsidR="00492EB5" w:rsidRPr="006E193D" w:rsidRDefault="00492EB5" w:rsidP="00A95ADF">
            <w:pPr>
              <w:jc w:val="center"/>
              <w:rPr>
                <w:rFonts w:ascii="Century Gothic" w:hAnsi="Century Gothic" w:cs="Arial"/>
                <w:color w:val="365F91"/>
              </w:rPr>
            </w:pPr>
          </w:p>
        </w:tc>
      </w:tr>
      <w:tr w:rsidR="00492EB5" w:rsidRPr="006E193D" w14:paraId="435141EA" w14:textId="77777777" w:rsidTr="00A95ADF">
        <w:tc>
          <w:tcPr>
            <w:tcW w:w="7257" w:type="dxa"/>
          </w:tcPr>
          <w:p w14:paraId="1D936387" w14:textId="77777777" w:rsidR="00492EB5" w:rsidRPr="00E24AB9" w:rsidRDefault="00492EB5" w:rsidP="00A95ADF">
            <w:pPr>
              <w:ind w:left="284"/>
              <w:jc w:val="both"/>
              <w:rPr>
                <w:rFonts w:ascii="Century Gothic" w:hAnsi="Century Gothic" w:cs="Arial"/>
                <w:color w:val="808080"/>
              </w:rPr>
            </w:pPr>
            <w:r w:rsidRPr="00E24AB9">
              <w:rPr>
                <w:rFonts w:ascii="Century Gothic" w:hAnsi="Century Gothic" w:cs="Arial"/>
                <w:color w:val="808080"/>
              </w:rPr>
              <w:t>Objetivos del Manual.</w:t>
            </w:r>
          </w:p>
        </w:tc>
        <w:tc>
          <w:tcPr>
            <w:tcW w:w="1797" w:type="dxa"/>
            <w:vAlign w:val="center"/>
          </w:tcPr>
          <w:p w14:paraId="3A5E00CB" w14:textId="77777777" w:rsidR="00492EB5" w:rsidRPr="006E193D" w:rsidRDefault="00492EB5" w:rsidP="00A95ADF">
            <w:pPr>
              <w:jc w:val="center"/>
              <w:rPr>
                <w:rFonts w:ascii="Century Gothic" w:hAnsi="Century Gothic" w:cs="Arial"/>
                <w:color w:val="365F91"/>
              </w:rPr>
            </w:pPr>
          </w:p>
        </w:tc>
      </w:tr>
      <w:tr w:rsidR="00492EB5" w:rsidRPr="006E193D" w14:paraId="66276D98" w14:textId="77777777" w:rsidTr="00A95ADF">
        <w:tc>
          <w:tcPr>
            <w:tcW w:w="7257" w:type="dxa"/>
          </w:tcPr>
          <w:p w14:paraId="1F5A8381" w14:textId="77777777" w:rsidR="00492EB5" w:rsidRPr="006E193D" w:rsidRDefault="00492EB5" w:rsidP="00A95ADF">
            <w:pPr>
              <w:jc w:val="both"/>
              <w:rPr>
                <w:rFonts w:ascii="Century Gothic" w:hAnsi="Century Gothic" w:cs="Arial"/>
                <w:color w:val="365F91"/>
              </w:rPr>
            </w:pPr>
          </w:p>
        </w:tc>
        <w:tc>
          <w:tcPr>
            <w:tcW w:w="1797" w:type="dxa"/>
            <w:vAlign w:val="center"/>
          </w:tcPr>
          <w:p w14:paraId="6E73A901" w14:textId="77777777" w:rsidR="00492EB5" w:rsidRPr="006E193D" w:rsidRDefault="00492EB5" w:rsidP="00A95ADF">
            <w:pPr>
              <w:jc w:val="center"/>
              <w:rPr>
                <w:rFonts w:ascii="Century Gothic" w:hAnsi="Century Gothic" w:cs="Arial"/>
                <w:color w:val="365F91"/>
              </w:rPr>
            </w:pPr>
          </w:p>
        </w:tc>
      </w:tr>
      <w:tr w:rsidR="00492EB5" w:rsidRPr="006E193D" w14:paraId="55885637" w14:textId="77777777" w:rsidTr="00A95ADF">
        <w:tc>
          <w:tcPr>
            <w:tcW w:w="7257" w:type="dxa"/>
          </w:tcPr>
          <w:p w14:paraId="11A43F28" w14:textId="77777777" w:rsidR="00492EB5" w:rsidRPr="006E193D" w:rsidRDefault="00492EB5" w:rsidP="00A95ADF">
            <w:pPr>
              <w:jc w:val="both"/>
              <w:rPr>
                <w:rFonts w:ascii="Century Gothic" w:hAnsi="Century Gothic" w:cs="Arial"/>
                <w:b/>
                <w:sz w:val="32"/>
              </w:rPr>
            </w:pPr>
            <w:r w:rsidRPr="006E193D">
              <w:rPr>
                <w:rFonts w:ascii="Century Gothic" w:hAnsi="Century Gothic" w:cs="Arial"/>
                <w:b/>
                <w:sz w:val="32"/>
              </w:rPr>
              <w:t>Capítulo II</w:t>
            </w:r>
          </w:p>
        </w:tc>
        <w:tc>
          <w:tcPr>
            <w:tcW w:w="1797" w:type="dxa"/>
            <w:vAlign w:val="center"/>
          </w:tcPr>
          <w:p w14:paraId="65179A53" w14:textId="77777777" w:rsidR="00492EB5" w:rsidRPr="006E193D" w:rsidRDefault="00492EB5" w:rsidP="00A95ADF">
            <w:pPr>
              <w:jc w:val="both"/>
              <w:rPr>
                <w:rFonts w:ascii="Century Gothic" w:hAnsi="Century Gothic" w:cs="Arial"/>
                <w:b/>
                <w:sz w:val="32"/>
              </w:rPr>
            </w:pPr>
          </w:p>
        </w:tc>
      </w:tr>
      <w:tr w:rsidR="00492EB5" w:rsidRPr="006E193D" w14:paraId="4D647E87" w14:textId="77777777" w:rsidTr="00A95ADF">
        <w:tc>
          <w:tcPr>
            <w:tcW w:w="7257" w:type="dxa"/>
          </w:tcPr>
          <w:p w14:paraId="6A6063AE" w14:textId="77777777" w:rsidR="00492EB5" w:rsidRPr="006E193D" w:rsidRDefault="00492EB5" w:rsidP="00A95ADF">
            <w:pPr>
              <w:jc w:val="both"/>
              <w:rPr>
                <w:rFonts w:ascii="Century Gothic" w:hAnsi="Century Gothic" w:cs="Arial"/>
                <w:color w:val="002060"/>
              </w:rPr>
            </w:pPr>
          </w:p>
        </w:tc>
        <w:tc>
          <w:tcPr>
            <w:tcW w:w="1797" w:type="dxa"/>
            <w:vAlign w:val="center"/>
          </w:tcPr>
          <w:p w14:paraId="0EDCF30A" w14:textId="77777777" w:rsidR="00492EB5" w:rsidRPr="006E193D" w:rsidRDefault="00492EB5" w:rsidP="00A95ADF">
            <w:pPr>
              <w:jc w:val="center"/>
              <w:rPr>
                <w:rFonts w:ascii="Century Gothic" w:hAnsi="Century Gothic" w:cs="Arial"/>
                <w:color w:val="002060"/>
              </w:rPr>
            </w:pPr>
          </w:p>
        </w:tc>
      </w:tr>
      <w:tr w:rsidR="00492EB5" w:rsidRPr="006E193D" w14:paraId="1033FA1D" w14:textId="77777777" w:rsidTr="00A95ADF">
        <w:tc>
          <w:tcPr>
            <w:tcW w:w="7257" w:type="dxa"/>
          </w:tcPr>
          <w:p w14:paraId="2356EE37" w14:textId="77777777" w:rsidR="00492EB5" w:rsidRPr="006E193D" w:rsidRDefault="00492EB5" w:rsidP="00A95ADF">
            <w:pPr>
              <w:ind w:left="284"/>
              <w:jc w:val="both"/>
              <w:rPr>
                <w:rFonts w:ascii="Century Gothic" w:hAnsi="Century Gothic" w:cs="Arial"/>
                <w:b/>
                <w:sz w:val="28"/>
              </w:rPr>
            </w:pPr>
            <w:r w:rsidRPr="006E193D">
              <w:rPr>
                <w:rFonts w:ascii="Century Gothic" w:hAnsi="Century Gothic" w:cs="Arial"/>
                <w:b/>
                <w:sz w:val="28"/>
              </w:rPr>
              <w:t>Sección A</w:t>
            </w:r>
          </w:p>
        </w:tc>
        <w:tc>
          <w:tcPr>
            <w:tcW w:w="1797" w:type="dxa"/>
            <w:vAlign w:val="center"/>
          </w:tcPr>
          <w:p w14:paraId="58FD8068" w14:textId="77777777" w:rsidR="00492EB5" w:rsidRPr="006E193D" w:rsidRDefault="00492EB5" w:rsidP="00A95ADF">
            <w:pPr>
              <w:ind w:left="284"/>
              <w:jc w:val="both"/>
              <w:rPr>
                <w:rFonts w:ascii="Century Gothic" w:hAnsi="Century Gothic" w:cs="Arial"/>
                <w:b/>
                <w:sz w:val="28"/>
              </w:rPr>
            </w:pPr>
          </w:p>
        </w:tc>
      </w:tr>
      <w:tr w:rsidR="00492EB5" w:rsidRPr="006E193D" w14:paraId="7C2DFE17" w14:textId="77777777" w:rsidTr="00A95ADF">
        <w:tc>
          <w:tcPr>
            <w:tcW w:w="7257" w:type="dxa"/>
          </w:tcPr>
          <w:p w14:paraId="350EE654" w14:textId="77777777" w:rsidR="00492EB5" w:rsidRPr="006E193D" w:rsidRDefault="00492EB5" w:rsidP="00A95ADF">
            <w:pPr>
              <w:ind w:left="284"/>
              <w:jc w:val="both"/>
              <w:rPr>
                <w:rFonts w:ascii="Century Gothic" w:hAnsi="Century Gothic" w:cs="Arial"/>
                <w:color w:val="002060"/>
              </w:rPr>
            </w:pPr>
            <w:r w:rsidRPr="006E193D">
              <w:rPr>
                <w:rFonts w:ascii="Century Gothic" w:hAnsi="Century Gothic" w:cs="Arial"/>
                <w:b/>
                <w:color w:val="000000"/>
              </w:rPr>
              <w:t>Políticas para Administrar los Recursos Financieros y Presupuestales</w:t>
            </w:r>
          </w:p>
        </w:tc>
        <w:tc>
          <w:tcPr>
            <w:tcW w:w="1797" w:type="dxa"/>
            <w:vAlign w:val="center"/>
          </w:tcPr>
          <w:p w14:paraId="17A6FC69" w14:textId="77777777" w:rsidR="00492EB5" w:rsidRPr="006E193D" w:rsidRDefault="00492EB5" w:rsidP="00A95ADF">
            <w:pPr>
              <w:jc w:val="center"/>
              <w:rPr>
                <w:rFonts w:ascii="Century Gothic" w:hAnsi="Century Gothic" w:cs="Arial"/>
                <w:color w:val="002060"/>
              </w:rPr>
            </w:pPr>
          </w:p>
        </w:tc>
      </w:tr>
      <w:tr w:rsidR="00492EB5" w:rsidRPr="006E193D" w14:paraId="748D9444" w14:textId="77777777" w:rsidTr="00A95ADF">
        <w:tc>
          <w:tcPr>
            <w:tcW w:w="7257" w:type="dxa"/>
          </w:tcPr>
          <w:p w14:paraId="0B79B02B" w14:textId="77777777" w:rsidR="00492EB5" w:rsidRPr="006E193D" w:rsidRDefault="00492EB5" w:rsidP="00A95ADF">
            <w:pPr>
              <w:ind w:left="1004"/>
              <w:jc w:val="both"/>
              <w:rPr>
                <w:rFonts w:ascii="Century Gothic" w:hAnsi="Century Gothic" w:cs="Arial"/>
                <w:color w:val="002060"/>
              </w:rPr>
            </w:pPr>
          </w:p>
        </w:tc>
        <w:tc>
          <w:tcPr>
            <w:tcW w:w="1797" w:type="dxa"/>
            <w:vAlign w:val="center"/>
          </w:tcPr>
          <w:p w14:paraId="5668262E" w14:textId="77777777" w:rsidR="00492EB5" w:rsidRPr="006E193D" w:rsidRDefault="00492EB5" w:rsidP="00A95ADF">
            <w:pPr>
              <w:jc w:val="center"/>
              <w:rPr>
                <w:rFonts w:ascii="Century Gothic" w:hAnsi="Century Gothic" w:cs="Arial"/>
                <w:color w:val="002060"/>
              </w:rPr>
            </w:pPr>
          </w:p>
        </w:tc>
      </w:tr>
      <w:tr w:rsidR="00492EB5" w:rsidRPr="006E193D" w14:paraId="7AAD472E" w14:textId="77777777" w:rsidTr="00A95ADF">
        <w:tc>
          <w:tcPr>
            <w:tcW w:w="7257" w:type="dxa"/>
          </w:tcPr>
          <w:p w14:paraId="767DE192" w14:textId="77777777" w:rsidR="00492EB5" w:rsidRPr="006E193D" w:rsidRDefault="00492EB5" w:rsidP="00A95ADF">
            <w:pPr>
              <w:ind w:left="1004"/>
              <w:jc w:val="both"/>
              <w:rPr>
                <w:rFonts w:ascii="Century Gothic" w:hAnsi="Century Gothic" w:cs="Arial"/>
                <w:color w:val="002060"/>
              </w:rPr>
            </w:pPr>
            <w:r w:rsidRPr="006E193D">
              <w:rPr>
                <w:rFonts w:ascii="Century Gothic" w:hAnsi="Century Gothic" w:cs="Arial"/>
                <w:b/>
              </w:rPr>
              <w:lastRenderedPageBreak/>
              <w:t>Apartados</w:t>
            </w:r>
            <w:r w:rsidRPr="006E193D">
              <w:rPr>
                <w:rFonts w:ascii="Century Gothic" w:hAnsi="Century Gothic" w:cs="Arial"/>
                <w:color w:val="002060"/>
              </w:rPr>
              <w:t>.</w:t>
            </w:r>
          </w:p>
        </w:tc>
        <w:tc>
          <w:tcPr>
            <w:tcW w:w="1797" w:type="dxa"/>
            <w:vAlign w:val="center"/>
          </w:tcPr>
          <w:p w14:paraId="56439B65" w14:textId="77777777" w:rsidR="00492EB5" w:rsidRPr="006E193D" w:rsidRDefault="00492EB5" w:rsidP="00A95ADF">
            <w:pPr>
              <w:jc w:val="center"/>
              <w:rPr>
                <w:rFonts w:ascii="Century Gothic" w:hAnsi="Century Gothic" w:cs="Arial"/>
                <w:color w:val="002060"/>
              </w:rPr>
            </w:pPr>
          </w:p>
        </w:tc>
      </w:tr>
      <w:tr w:rsidR="00492EB5" w:rsidRPr="006E193D" w14:paraId="005FC980" w14:textId="77777777" w:rsidTr="00A95ADF">
        <w:tc>
          <w:tcPr>
            <w:tcW w:w="7257" w:type="dxa"/>
          </w:tcPr>
          <w:p w14:paraId="6490B994" w14:textId="77777777" w:rsidR="00492EB5" w:rsidRPr="00E24AB9" w:rsidRDefault="00492EB5" w:rsidP="00492EB5">
            <w:pPr>
              <w:numPr>
                <w:ilvl w:val="0"/>
                <w:numId w:val="1"/>
              </w:numPr>
              <w:spacing w:after="0" w:line="240" w:lineRule="auto"/>
              <w:jc w:val="both"/>
              <w:rPr>
                <w:rFonts w:ascii="Century Gothic" w:hAnsi="Century Gothic" w:cs="Arial"/>
                <w:color w:val="808080"/>
              </w:rPr>
            </w:pPr>
            <w:r w:rsidRPr="00E24AB9">
              <w:rPr>
                <w:rFonts w:ascii="Century Gothic" w:hAnsi="Century Gothic" w:cs="Arial"/>
                <w:color w:val="808080"/>
              </w:rPr>
              <w:t xml:space="preserve">Control </w:t>
            </w:r>
            <w:proofErr w:type="gramStart"/>
            <w:r w:rsidRPr="00E24AB9">
              <w:rPr>
                <w:rFonts w:ascii="Century Gothic" w:hAnsi="Century Gothic" w:cs="Arial"/>
                <w:color w:val="808080"/>
              </w:rPr>
              <w:t>de  Fondos</w:t>
            </w:r>
            <w:proofErr w:type="gramEnd"/>
            <w:r w:rsidRPr="00E24AB9">
              <w:rPr>
                <w:rFonts w:ascii="Century Gothic" w:hAnsi="Century Gothic" w:cs="Arial"/>
                <w:color w:val="808080"/>
              </w:rPr>
              <w:t xml:space="preserve"> Fijos Revolventes.</w:t>
            </w:r>
          </w:p>
        </w:tc>
        <w:tc>
          <w:tcPr>
            <w:tcW w:w="1797" w:type="dxa"/>
            <w:vAlign w:val="center"/>
          </w:tcPr>
          <w:p w14:paraId="1F2C4500" w14:textId="77777777" w:rsidR="00492EB5" w:rsidRPr="006E193D" w:rsidRDefault="00492EB5" w:rsidP="00A95ADF">
            <w:pPr>
              <w:jc w:val="center"/>
              <w:rPr>
                <w:rFonts w:ascii="Century Gothic" w:hAnsi="Century Gothic" w:cs="Arial"/>
                <w:color w:val="365F91"/>
              </w:rPr>
            </w:pPr>
          </w:p>
        </w:tc>
      </w:tr>
      <w:tr w:rsidR="00492EB5" w:rsidRPr="006E193D" w14:paraId="2F126DF5" w14:textId="77777777" w:rsidTr="00A95ADF">
        <w:tc>
          <w:tcPr>
            <w:tcW w:w="7257" w:type="dxa"/>
          </w:tcPr>
          <w:p w14:paraId="75C1E553" w14:textId="77777777" w:rsidR="00492EB5" w:rsidRPr="00E24AB9" w:rsidRDefault="00492EB5" w:rsidP="00492EB5">
            <w:pPr>
              <w:numPr>
                <w:ilvl w:val="0"/>
                <w:numId w:val="1"/>
              </w:numPr>
              <w:spacing w:after="0" w:line="240" w:lineRule="auto"/>
              <w:jc w:val="both"/>
              <w:rPr>
                <w:rFonts w:ascii="Century Gothic" w:hAnsi="Century Gothic" w:cs="Arial"/>
                <w:color w:val="808080"/>
              </w:rPr>
            </w:pPr>
            <w:r w:rsidRPr="00E24AB9">
              <w:rPr>
                <w:rFonts w:ascii="Century Gothic" w:hAnsi="Century Gothic" w:cs="Arial"/>
                <w:color w:val="808080"/>
              </w:rPr>
              <w:t>Pago a Proveedores.</w:t>
            </w:r>
          </w:p>
        </w:tc>
        <w:tc>
          <w:tcPr>
            <w:tcW w:w="1797" w:type="dxa"/>
            <w:vAlign w:val="center"/>
          </w:tcPr>
          <w:p w14:paraId="2A879957" w14:textId="77777777" w:rsidR="00492EB5" w:rsidRPr="006E193D" w:rsidRDefault="00492EB5" w:rsidP="00A95ADF">
            <w:pPr>
              <w:jc w:val="center"/>
              <w:rPr>
                <w:rFonts w:ascii="Century Gothic" w:hAnsi="Century Gothic" w:cs="Arial"/>
                <w:color w:val="365F91"/>
              </w:rPr>
            </w:pPr>
          </w:p>
        </w:tc>
      </w:tr>
      <w:tr w:rsidR="00492EB5" w:rsidRPr="006E193D" w14:paraId="7FDCC983" w14:textId="77777777" w:rsidTr="00A95ADF">
        <w:tc>
          <w:tcPr>
            <w:tcW w:w="7257" w:type="dxa"/>
          </w:tcPr>
          <w:p w14:paraId="71111130" w14:textId="77777777" w:rsidR="00492EB5" w:rsidRPr="00E24AB9" w:rsidRDefault="00492EB5" w:rsidP="00492EB5">
            <w:pPr>
              <w:numPr>
                <w:ilvl w:val="0"/>
                <w:numId w:val="1"/>
              </w:numPr>
              <w:spacing w:after="0" w:line="240" w:lineRule="auto"/>
              <w:jc w:val="both"/>
              <w:rPr>
                <w:rFonts w:ascii="Century Gothic" w:hAnsi="Century Gothic" w:cs="Arial"/>
                <w:color w:val="808080"/>
              </w:rPr>
            </w:pPr>
            <w:r w:rsidRPr="00E24AB9">
              <w:rPr>
                <w:rFonts w:ascii="Century Gothic" w:hAnsi="Century Gothic" w:cs="Arial"/>
                <w:color w:val="808080"/>
              </w:rPr>
              <w:t>Gastos a Reserva de Comprobar.</w:t>
            </w:r>
          </w:p>
        </w:tc>
        <w:tc>
          <w:tcPr>
            <w:tcW w:w="1797" w:type="dxa"/>
            <w:vAlign w:val="center"/>
          </w:tcPr>
          <w:p w14:paraId="36CD5FB1" w14:textId="77777777" w:rsidR="00492EB5" w:rsidRPr="006E193D" w:rsidRDefault="00492EB5" w:rsidP="00A95ADF">
            <w:pPr>
              <w:jc w:val="center"/>
              <w:rPr>
                <w:rFonts w:ascii="Century Gothic" w:hAnsi="Century Gothic" w:cs="Arial"/>
                <w:color w:val="365F91"/>
              </w:rPr>
            </w:pPr>
          </w:p>
        </w:tc>
      </w:tr>
      <w:tr w:rsidR="00492EB5" w:rsidRPr="006E193D" w14:paraId="65AAA5F5" w14:textId="77777777" w:rsidTr="00A95ADF">
        <w:tc>
          <w:tcPr>
            <w:tcW w:w="7257" w:type="dxa"/>
          </w:tcPr>
          <w:p w14:paraId="542B99FA" w14:textId="77777777" w:rsidR="00492EB5" w:rsidRPr="00E24AB9" w:rsidRDefault="00492EB5" w:rsidP="00492EB5">
            <w:pPr>
              <w:numPr>
                <w:ilvl w:val="0"/>
                <w:numId w:val="1"/>
              </w:numPr>
              <w:spacing w:after="0" w:line="240" w:lineRule="auto"/>
              <w:jc w:val="both"/>
              <w:rPr>
                <w:rFonts w:ascii="Century Gothic" w:hAnsi="Century Gothic" w:cs="Arial"/>
                <w:color w:val="808080"/>
              </w:rPr>
            </w:pPr>
            <w:proofErr w:type="gramStart"/>
            <w:r w:rsidRPr="00E24AB9">
              <w:rPr>
                <w:rFonts w:ascii="Century Gothic" w:hAnsi="Century Gothic" w:cs="Arial"/>
                <w:color w:val="808080"/>
              </w:rPr>
              <w:t>Viáticos  Nacionales</w:t>
            </w:r>
            <w:proofErr w:type="gramEnd"/>
            <w:r w:rsidRPr="00E24AB9">
              <w:rPr>
                <w:rFonts w:ascii="Century Gothic" w:hAnsi="Century Gothic" w:cs="Arial"/>
                <w:color w:val="808080"/>
              </w:rPr>
              <w:t xml:space="preserve"> y en el Extranjero.</w:t>
            </w:r>
          </w:p>
        </w:tc>
        <w:tc>
          <w:tcPr>
            <w:tcW w:w="1797" w:type="dxa"/>
            <w:vAlign w:val="center"/>
          </w:tcPr>
          <w:p w14:paraId="27BF0189" w14:textId="77777777" w:rsidR="00492EB5" w:rsidRPr="006E193D" w:rsidRDefault="00492EB5" w:rsidP="00A95ADF">
            <w:pPr>
              <w:jc w:val="center"/>
              <w:rPr>
                <w:rFonts w:ascii="Century Gothic" w:hAnsi="Century Gothic" w:cs="Arial"/>
                <w:color w:val="365F91"/>
              </w:rPr>
            </w:pPr>
          </w:p>
        </w:tc>
      </w:tr>
      <w:tr w:rsidR="00492EB5" w:rsidRPr="006E193D" w14:paraId="64EDC1EF" w14:textId="77777777" w:rsidTr="00A95ADF">
        <w:tc>
          <w:tcPr>
            <w:tcW w:w="7257" w:type="dxa"/>
          </w:tcPr>
          <w:p w14:paraId="5EAD82E4" w14:textId="77777777" w:rsidR="00492EB5" w:rsidRPr="00E24AB9" w:rsidRDefault="00492EB5" w:rsidP="00492EB5">
            <w:pPr>
              <w:numPr>
                <w:ilvl w:val="0"/>
                <w:numId w:val="1"/>
              </w:numPr>
              <w:spacing w:after="0" w:line="240" w:lineRule="auto"/>
              <w:jc w:val="both"/>
              <w:rPr>
                <w:rFonts w:ascii="Century Gothic" w:hAnsi="Century Gothic" w:cs="Arial"/>
                <w:color w:val="808080"/>
              </w:rPr>
            </w:pPr>
            <w:r w:rsidRPr="00E24AB9">
              <w:rPr>
                <w:rFonts w:ascii="Century Gothic" w:hAnsi="Century Gothic" w:cs="Arial"/>
                <w:color w:val="808080"/>
              </w:rPr>
              <w:t xml:space="preserve">Gastos de Representación </w:t>
            </w:r>
          </w:p>
        </w:tc>
        <w:tc>
          <w:tcPr>
            <w:tcW w:w="1797" w:type="dxa"/>
            <w:vAlign w:val="center"/>
          </w:tcPr>
          <w:p w14:paraId="41834B55" w14:textId="77777777" w:rsidR="00492EB5" w:rsidRPr="006E193D" w:rsidRDefault="00492EB5" w:rsidP="00A95ADF">
            <w:pPr>
              <w:jc w:val="center"/>
              <w:rPr>
                <w:rFonts w:ascii="Century Gothic" w:hAnsi="Century Gothic" w:cs="Arial"/>
                <w:color w:val="365F91"/>
              </w:rPr>
            </w:pPr>
          </w:p>
        </w:tc>
      </w:tr>
      <w:tr w:rsidR="00492EB5" w:rsidRPr="006E193D" w14:paraId="7DBF72A9" w14:textId="77777777" w:rsidTr="00A95ADF">
        <w:tc>
          <w:tcPr>
            <w:tcW w:w="7257" w:type="dxa"/>
          </w:tcPr>
          <w:p w14:paraId="1035E7A9" w14:textId="77777777" w:rsidR="00492EB5" w:rsidRPr="00E24AB9" w:rsidRDefault="00492EB5" w:rsidP="00492EB5">
            <w:pPr>
              <w:numPr>
                <w:ilvl w:val="0"/>
                <w:numId w:val="1"/>
              </w:numPr>
              <w:spacing w:after="0" w:line="240" w:lineRule="auto"/>
              <w:jc w:val="both"/>
              <w:rPr>
                <w:rFonts w:ascii="Century Gothic" w:hAnsi="Century Gothic" w:cs="Arial"/>
                <w:color w:val="808080"/>
              </w:rPr>
            </w:pPr>
            <w:r w:rsidRPr="00E24AB9">
              <w:rPr>
                <w:rFonts w:ascii="Century Gothic" w:hAnsi="Century Gothic" w:cs="Arial"/>
                <w:color w:val="808080"/>
              </w:rPr>
              <w:t>Control Presupuestal.</w:t>
            </w:r>
          </w:p>
        </w:tc>
        <w:tc>
          <w:tcPr>
            <w:tcW w:w="1797" w:type="dxa"/>
            <w:vAlign w:val="center"/>
          </w:tcPr>
          <w:p w14:paraId="7F04FF34" w14:textId="77777777" w:rsidR="00492EB5" w:rsidRPr="006E193D" w:rsidRDefault="00492EB5" w:rsidP="00A95ADF">
            <w:pPr>
              <w:jc w:val="center"/>
              <w:rPr>
                <w:rFonts w:ascii="Century Gothic" w:hAnsi="Century Gothic" w:cs="Arial"/>
                <w:color w:val="365F91"/>
              </w:rPr>
            </w:pPr>
          </w:p>
        </w:tc>
      </w:tr>
      <w:tr w:rsidR="00492EB5" w:rsidRPr="006E193D" w14:paraId="7FE71E4E" w14:textId="77777777" w:rsidTr="00A95ADF">
        <w:tc>
          <w:tcPr>
            <w:tcW w:w="7257" w:type="dxa"/>
          </w:tcPr>
          <w:p w14:paraId="349EB881" w14:textId="77777777" w:rsidR="00492EB5" w:rsidRPr="00E24AB9" w:rsidRDefault="00492EB5" w:rsidP="00492EB5">
            <w:pPr>
              <w:numPr>
                <w:ilvl w:val="0"/>
                <w:numId w:val="1"/>
              </w:numPr>
              <w:spacing w:after="0" w:line="240" w:lineRule="auto"/>
              <w:jc w:val="both"/>
              <w:rPr>
                <w:rFonts w:ascii="Century Gothic" w:hAnsi="Century Gothic" w:cs="Arial"/>
                <w:color w:val="808080"/>
              </w:rPr>
            </w:pPr>
            <w:r w:rsidRPr="00E24AB9">
              <w:rPr>
                <w:rFonts w:ascii="Century Gothic" w:hAnsi="Century Gothic" w:cs="Arial"/>
                <w:color w:val="808080"/>
              </w:rPr>
              <w:t>Comprobación de recursos.</w:t>
            </w:r>
          </w:p>
        </w:tc>
        <w:tc>
          <w:tcPr>
            <w:tcW w:w="1797" w:type="dxa"/>
            <w:vAlign w:val="center"/>
          </w:tcPr>
          <w:p w14:paraId="4818F11F" w14:textId="77777777" w:rsidR="00492EB5" w:rsidRPr="006E193D" w:rsidRDefault="00492EB5" w:rsidP="00A95ADF">
            <w:pPr>
              <w:jc w:val="center"/>
              <w:rPr>
                <w:rFonts w:ascii="Century Gothic" w:hAnsi="Century Gothic" w:cs="Arial"/>
                <w:color w:val="365F91"/>
              </w:rPr>
            </w:pPr>
          </w:p>
        </w:tc>
      </w:tr>
      <w:tr w:rsidR="00492EB5" w:rsidRPr="006E193D" w14:paraId="400D93B0" w14:textId="77777777" w:rsidTr="00A95ADF">
        <w:tc>
          <w:tcPr>
            <w:tcW w:w="7257" w:type="dxa"/>
          </w:tcPr>
          <w:p w14:paraId="608293B0" w14:textId="77777777" w:rsidR="00806933" w:rsidRDefault="00492EB5" w:rsidP="00806933">
            <w:pPr>
              <w:numPr>
                <w:ilvl w:val="0"/>
                <w:numId w:val="1"/>
              </w:numPr>
              <w:spacing w:after="0" w:line="240" w:lineRule="auto"/>
              <w:jc w:val="both"/>
              <w:rPr>
                <w:rFonts w:ascii="Century Gothic" w:hAnsi="Century Gothic" w:cs="Arial"/>
                <w:color w:val="808080"/>
              </w:rPr>
            </w:pPr>
            <w:r w:rsidRPr="00E24AB9">
              <w:rPr>
                <w:rFonts w:ascii="Century Gothic" w:hAnsi="Century Gothic" w:cs="Arial"/>
                <w:color w:val="808080"/>
              </w:rPr>
              <w:t>Facturación y Cobranza.</w:t>
            </w:r>
          </w:p>
          <w:p w14:paraId="0C68C2CC" w14:textId="77777777" w:rsidR="00806933" w:rsidRDefault="00806933" w:rsidP="00806933">
            <w:pPr>
              <w:spacing w:after="0" w:line="240" w:lineRule="auto"/>
              <w:ind w:left="1004"/>
              <w:jc w:val="both"/>
              <w:rPr>
                <w:rFonts w:ascii="Century Gothic" w:hAnsi="Century Gothic" w:cs="Arial"/>
                <w:color w:val="808080"/>
              </w:rPr>
            </w:pPr>
          </w:p>
          <w:p w14:paraId="2A05C941" w14:textId="77777777" w:rsidR="00492EB5" w:rsidRDefault="00492EB5" w:rsidP="00806933">
            <w:pPr>
              <w:numPr>
                <w:ilvl w:val="0"/>
                <w:numId w:val="1"/>
              </w:numPr>
              <w:spacing w:after="0" w:line="240" w:lineRule="auto"/>
              <w:jc w:val="both"/>
              <w:rPr>
                <w:rFonts w:ascii="Century Gothic" w:hAnsi="Century Gothic" w:cs="Arial"/>
                <w:color w:val="808080"/>
              </w:rPr>
            </w:pPr>
            <w:r w:rsidRPr="002248C3">
              <w:rPr>
                <w:rFonts w:ascii="Century Gothic" w:hAnsi="Century Gothic" w:cs="Arial"/>
                <w:color w:val="808080"/>
              </w:rPr>
              <w:t>Cancelación de Cuentas Incobrables.</w:t>
            </w:r>
          </w:p>
          <w:p w14:paraId="3B067E7B" w14:textId="77777777" w:rsidR="00806933" w:rsidRPr="00E24AB9" w:rsidRDefault="00806933" w:rsidP="00806933">
            <w:pPr>
              <w:spacing w:after="0" w:line="240" w:lineRule="auto"/>
              <w:jc w:val="both"/>
              <w:rPr>
                <w:rFonts w:ascii="Century Gothic" w:hAnsi="Century Gothic" w:cs="Arial"/>
                <w:color w:val="808080"/>
              </w:rPr>
            </w:pPr>
          </w:p>
        </w:tc>
        <w:tc>
          <w:tcPr>
            <w:tcW w:w="1797" w:type="dxa"/>
            <w:vAlign w:val="center"/>
          </w:tcPr>
          <w:p w14:paraId="032F138C" w14:textId="77777777" w:rsidR="00492EB5" w:rsidRPr="006E193D" w:rsidRDefault="00492EB5" w:rsidP="00A95ADF">
            <w:pPr>
              <w:jc w:val="center"/>
              <w:rPr>
                <w:rFonts w:ascii="Century Gothic" w:hAnsi="Century Gothic" w:cs="Arial"/>
                <w:color w:val="365F91"/>
              </w:rPr>
            </w:pPr>
          </w:p>
        </w:tc>
      </w:tr>
      <w:tr w:rsidR="00492EB5" w:rsidRPr="006E193D" w14:paraId="0BE1EA1F" w14:textId="77777777" w:rsidTr="00A95ADF">
        <w:tc>
          <w:tcPr>
            <w:tcW w:w="7257" w:type="dxa"/>
          </w:tcPr>
          <w:p w14:paraId="63E798C2" w14:textId="77777777" w:rsidR="00492EB5" w:rsidRPr="00E24AB9" w:rsidRDefault="00492EB5" w:rsidP="00492EB5">
            <w:pPr>
              <w:numPr>
                <w:ilvl w:val="0"/>
                <w:numId w:val="1"/>
              </w:numPr>
              <w:spacing w:after="0" w:line="240" w:lineRule="auto"/>
              <w:jc w:val="both"/>
              <w:rPr>
                <w:rFonts w:ascii="Century Gothic" w:hAnsi="Century Gothic" w:cs="Arial"/>
                <w:color w:val="808080"/>
              </w:rPr>
            </w:pPr>
            <w:r w:rsidRPr="00E24AB9">
              <w:rPr>
                <w:rFonts w:ascii="Century Gothic" w:hAnsi="Century Gothic" w:cs="Arial"/>
                <w:color w:val="808080"/>
              </w:rPr>
              <w:t>Atención Auditorías.</w:t>
            </w:r>
          </w:p>
        </w:tc>
        <w:tc>
          <w:tcPr>
            <w:tcW w:w="1797" w:type="dxa"/>
          </w:tcPr>
          <w:p w14:paraId="46DC48CE" w14:textId="77777777" w:rsidR="00492EB5" w:rsidRPr="006E193D" w:rsidRDefault="00492EB5" w:rsidP="00A95ADF">
            <w:pPr>
              <w:jc w:val="center"/>
              <w:rPr>
                <w:rFonts w:ascii="Century Gothic" w:hAnsi="Century Gothic" w:cs="Arial"/>
                <w:color w:val="365F91"/>
              </w:rPr>
            </w:pPr>
          </w:p>
        </w:tc>
      </w:tr>
      <w:tr w:rsidR="00492EB5" w:rsidRPr="006E193D" w14:paraId="7344409A" w14:textId="77777777" w:rsidTr="00A95ADF">
        <w:tc>
          <w:tcPr>
            <w:tcW w:w="7257" w:type="dxa"/>
          </w:tcPr>
          <w:p w14:paraId="74DF4E39" w14:textId="77777777" w:rsidR="00492EB5" w:rsidRPr="006E193D" w:rsidRDefault="00492EB5" w:rsidP="00A95ADF">
            <w:pPr>
              <w:jc w:val="both"/>
              <w:rPr>
                <w:rFonts w:ascii="Century Gothic" w:hAnsi="Century Gothic" w:cs="Arial"/>
                <w:color w:val="365F91"/>
              </w:rPr>
            </w:pPr>
          </w:p>
        </w:tc>
        <w:tc>
          <w:tcPr>
            <w:tcW w:w="1797" w:type="dxa"/>
            <w:vAlign w:val="center"/>
          </w:tcPr>
          <w:p w14:paraId="35C8CBEE" w14:textId="77777777" w:rsidR="00492EB5" w:rsidRPr="006E193D" w:rsidRDefault="00492EB5" w:rsidP="00A95ADF">
            <w:pPr>
              <w:jc w:val="center"/>
              <w:rPr>
                <w:rFonts w:ascii="Century Gothic" w:hAnsi="Century Gothic" w:cs="Arial"/>
                <w:color w:val="365F91"/>
              </w:rPr>
            </w:pPr>
          </w:p>
        </w:tc>
      </w:tr>
      <w:tr w:rsidR="00492EB5" w:rsidRPr="006E193D" w14:paraId="08D82C8D" w14:textId="77777777" w:rsidTr="00A95ADF">
        <w:tc>
          <w:tcPr>
            <w:tcW w:w="7257" w:type="dxa"/>
          </w:tcPr>
          <w:p w14:paraId="1C6F374E" w14:textId="77777777" w:rsidR="00492EB5" w:rsidRPr="006E193D" w:rsidRDefault="00492EB5" w:rsidP="00A95ADF">
            <w:pPr>
              <w:ind w:left="284"/>
              <w:jc w:val="both"/>
              <w:rPr>
                <w:rFonts w:ascii="Century Gothic" w:hAnsi="Century Gothic" w:cs="Arial"/>
                <w:sz w:val="28"/>
              </w:rPr>
            </w:pPr>
            <w:r w:rsidRPr="006E193D">
              <w:rPr>
                <w:rFonts w:ascii="Century Gothic" w:hAnsi="Century Gothic" w:cs="Arial"/>
                <w:b/>
                <w:sz w:val="28"/>
              </w:rPr>
              <w:t>Sección B</w:t>
            </w:r>
          </w:p>
        </w:tc>
        <w:tc>
          <w:tcPr>
            <w:tcW w:w="1797" w:type="dxa"/>
            <w:vAlign w:val="center"/>
          </w:tcPr>
          <w:p w14:paraId="71A9596A" w14:textId="77777777" w:rsidR="00492EB5" w:rsidRPr="006E193D" w:rsidRDefault="00492EB5" w:rsidP="00A95ADF">
            <w:pPr>
              <w:jc w:val="center"/>
              <w:rPr>
                <w:rFonts w:ascii="Century Gothic" w:hAnsi="Century Gothic" w:cs="Arial"/>
                <w:sz w:val="28"/>
              </w:rPr>
            </w:pPr>
          </w:p>
        </w:tc>
      </w:tr>
      <w:tr w:rsidR="00492EB5" w:rsidRPr="006E193D" w14:paraId="5210A7B9" w14:textId="77777777" w:rsidTr="00A95ADF">
        <w:tc>
          <w:tcPr>
            <w:tcW w:w="7257" w:type="dxa"/>
          </w:tcPr>
          <w:p w14:paraId="6831C635" w14:textId="77777777" w:rsidR="00492EB5" w:rsidRPr="006E193D" w:rsidRDefault="00492EB5" w:rsidP="00A95ADF">
            <w:pPr>
              <w:ind w:left="284"/>
              <w:jc w:val="both"/>
              <w:rPr>
                <w:rFonts w:ascii="Century Gothic" w:hAnsi="Century Gothic" w:cs="Arial"/>
                <w:color w:val="002060"/>
              </w:rPr>
            </w:pPr>
            <w:r w:rsidRPr="006E193D">
              <w:rPr>
                <w:rFonts w:ascii="Century Gothic" w:hAnsi="Century Gothic" w:cs="Arial"/>
                <w:b/>
                <w:color w:val="000000"/>
              </w:rPr>
              <w:t xml:space="preserve">Políticas para Administrar los Recursos </w:t>
            </w:r>
            <w:proofErr w:type="gramStart"/>
            <w:r w:rsidRPr="006E193D">
              <w:rPr>
                <w:rFonts w:ascii="Century Gothic" w:hAnsi="Century Gothic" w:cs="Arial"/>
                <w:b/>
                <w:color w:val="000000"/>
              </w:rPr>
              <w:t>Materiales  y</w:t>
            </w:r>
            <w:proofErr w:type="gramEnd"/>
            <w:r w:rsidRPr="006E193D">
              <w:rPr>
                <w:rFonts w:ascii="Century Gothic" w:hAnsi="Century Gothic" w:cs="Arial"/>
                <w:b/>
                <w:color w:val="000000"/>
              </w:rPr>
              <w:t xml:space="preserve"> Servicios Diversos</w:t>
            </w:r>
          </w:p>
        </w:tc>
        <w:tc>
          <w:tcPr>
            <w:tcW w:w="1797" w:type="dxa"/>
            <w:vAlign w:val="center"/>
          </w:tcPr>
          <w:p w14:paraId="588DC6CE" w14:textId="77777777" w:rsidR="00492EB5" w:rsidRPr="006E193D" w:rsidRDefault="00492EB5" w:rsidP="00A95ADF">
            <w:pPr>
              <w:jc w:val="center"/>
              <w:rPr>
                <w:rFonts w:ascii="Century Gothic" w:hAnsi="Century Gothic" w:cs="Arial"/>
                <w:color w:val="002060"/>
              </w:rPr>
            </w:pPr>
          </w:p>
        </w:tc>
      </w:tr>
      <w:tr w:rsidR="00492EB5" w:rsidRPr="006E193D" w14:paraId="1D7B07D2" w14:textId="77777777" w:rsidTr="00A95ADF">
        <w:tc>
          <w:tcPr>
            <w:tcW w:w="7257" w:type="dxa"/>
          </w:tcPr>
          <w:p w14:paraId="19C74656" w14:textId="77777777" w:rsidR="00492EB5" w:rsidRDefault="00492EB5" w:rsidP="00A95ADF">
            <w:pPr>
              <w:ind w:left="1004"/>
              <w:jc w:val="both"/>
              <w:rPr>
                <w:rFonts w:ascii="Century Gothic" w:hAnsi="Century Gothic" w:cs="Arial"/>
                <w:color w:val="002060"/>
              </w:rPr>
            </w:pPr>
          </w:p>
          <w:p w14:paraId="63FF4AB5" w14:textId="77777777" w:rsidR="00A702CC" w:rsidRPr="006E193D" w:rsidRDefault="00A702CC" w:rsidP="00A95ADF">
            <w:pPr>
              <w:ind w:left="1004"/>
              <w:jc w:val="both"/>
              <w:rPr>
                <w:rFonts w:ascii="Century Gothic" w:hAnsi="Century Gothic" w:cs="Arial"/>
                <w:color w:val="002060"/>
              </w:rPr>
            </w:pPr>
          </w:p>
        </w:tc>
        <w:tc>
          <w:tcPr>
            <w:tcW w:w="1797" w:type="dxa"/>
            <w:vAlign w:val="center"/>
          </w:tcPr>
          <w:p w14:paraId="53E1EE2D" w14:textId="77777777" w:rsidR="00492EB5" w:rsidRPr="006E193D" w:rsidRDefault="00492EB5" w:rsidP="00A95ADF">
            <w:pPr>
              <w:jc w:val="center"/>
              <w:rPr>
                <w:rFonts w:ascii="Century Gothic" w:hAnsi="Century Gothic" w:cs="Arial"/>
                <w:color w:val="002060"/>
              </w:rPr>
            </w:pPr>
          </w:p>
        </w:tc>
      </w:tr>
      <w:tr w:rsidR="00492EB5" w:rsidRPr="006E193D" w14:paraId="65E3614D" w14:textId="77777777" w:rsidTr="00A95ADF">
        <w:tc>
          <w:tcPr>
            <w:tcW w:w="7257" w:type="dxa"/>
          </w:tcPr>
          <w:p w14:paraId="13E7C41B" w14:textId="77777777" w:rsidR="00492EB5" w:rsidRPr="006E193D" w:rsidRDefault="00492EB5" w:rsidP="00A95ADF">
            <w:pPr>
              <w:ind w:left="1004"/>
              <w:jc w:val="both"/>
              <w:rPr>
                <w:rFonts w:ascii="Century Gothic" w:hAnsi="Century Gothic" w:cs="Arial"/>
                <w:color w:val="002060"/>
              </w:rPr>
            </w:pPr>
            <w:r w:rsidRPr="006E193D">
              <w:rPr>
                <w:rFonts w:ascii="Century Gothic" w:hAnsi="Century Gothic" w:cs="Arial"/>
                <w:b/>
              </w:rPr>
              <w:lastRenderedPageBreak/>
              <w:t>Apartados</w:t>
            </w:r>
            <w:r w:rsidRPr="006E193D">
              <w:rPr>
                <w:rFonts w:ascii="Century Gothic" w:hAnsi="Century Gothic" w:cs="Arial"/>
                <w:color w:val="002060"/>
              </w:rPr>
              <w:t>.</w:t>
            </w:r>
          </w:p>
        </w:tc>
        <w:tc>
          <w:tcPr>
            <w:tcW w:w="1797" w:type="dxa"/>
            <w:vAlign w:val="center"/>
          </w:tcPr>
          <w:p w14:paraId="3D5AF7DB" w14:textId="77777777" w:rsidR="00492EB5" w:rsidRPr="006E193D" w:rsidRDefault="00492EB5" w:rsidP="00A95ADF">
            <w:pPr>
              <w:jc w:val="center"/>
              <w:rPr>
                <w:rFonts w:ascii="Century Gothic" w:hAnsi="Century Gothic" w:cs="Arial"/>
                <w:color w:val="002060"/>
              </w:rPr>
            </w:pPr>
          </w:p>
        </w:tc>
      </w:tr>
      <w:tr w:rsidR="00492EB5" w:rsidRPr="006E193D" w14:paraId="496A9DCE" w14:textId="77777777" w:rsidTr="00A95ADF">
        <w:tc>
          <w:tcPr>
            <w:tcW w:w="7257" w:type="dxa"/>
          </w:tcPr>
          <w:p w14:paraId="5F18B185" w14:textId="77777777" w:rsidR="00492EB5" w:rsidRPr="00E24AB9" w:rsidRDefault="00492EB5" w:rsidP="00492EB5">
            <w:pPr>
              <w:numPr>
                <w:ilvl w:val="0"/>
                <w:numId w:val="2"/>
              </w:numPr>
              <w:spacing w:after="0" w:line="240" w:lineRule="auto"/>
              <w:jc w:val="both"/>
              <w:rPr>
                <w:rFonts w:ascii="Century Gothic" w:hAnsi="Century Gothic" w:cs="Arial"/>
                <w:color w:val="808080"/>
              </w:rPr>
            </w:pPr>
            <w:r w:rsidRPr="00E24AB9">
              <w:rPr>
                <w:rFonts w:ascii="Century Gothic" w:hAnsi="Century Gothic" w:cs="Arial"/>
                <w:color w:val="808080"/>
              </w:rPr>
              <w:t xml:space="preserve">Suministro y dotación </w:t>
            </w:r>
            <w:proofErr w:type="gramStart"/>
            <w:r w:rsidRPr="00E24AB9">
              <w:rPr>
                <w:rFonts w:ascii="Century Gothic" w:hAnsi="Century Gothic" w:cs="Arial"/>
                <w:color w:val="808080"/>
              </w:rPr>
              <w:t>de  Papelería</w:t>
            </w:r>
            <w:proofErr w:type="gramEnd"/>
            <w:r w:rsidRPr="00E24AB9">
              <w:rPr>
                <w:rFonts w:ascii="Century Gothic" w:hAnsi="Century Gothic" w:cs="Arial"/>
                <w:color w:val="808080"/>
              </w:rPr>
              <w:t xml:space="preserve"> de oficina y oficial.</w:t>
            </w:r>
          </w:p>
        </w:tc>
        <w:tc>
          <w:tcPr>
            <w:tcW w:w="1797" w:type="dxa"/>
            <w:vAlign w:val="center"/>
          </w:tcPr>
          <w:p w14:paraId="515F2065" w14:textId="77777777" w:rsidR="00492EB5" w:rsidRPr="006E193D" w:rsidRDefault="00492EB5" w:rsidP="00A95ADF">
            <w:pPr>
              <w:jc w:val="center"/>
              <w:rPr>
                <w:rFonts w:ascii="Century Gothic" w:hAnsi="Century Gothic" w:cs="Arial"/>
                <w:color w:val="365F91"/>
              </w:rPr>
            </w:pPr>
          </w:p>
        </w:tc>
      </w:tr>
      <w:tr w:rsidR="00492EB5" w:rsidRPr="006E193D" w14:paraId="2BB5DDB4" w14:textId="77777777" w:rsidTr="00A95ADF">
        <w:tc>
          <w:tcPr>
            <w:tcW w:w="7257" w:type="dxa"/>
          </w:tcPr>
          <w:p w14:paraId="1A34BCE2" w14:textId="77777777" w:rsidR="00492EB5" w:rsidRPr="00E24AB9" w:rsidRDefault="00492EB5" w:rsidP="00492EB5">
            <w:pPr>
              <w:numPr>
                <w:ilvl w:val="0"/>
                <w:numId w:val="2"/>
              </w:numPr>
              <w:spacing w:after="0" w:line="240" w:lineRule="auto"/>
              <w:jc w:val="both"/>
              <w:rPr>
                <w:rFonts w:ascii="Century Gothic" w:hAnsi="Century Gothic" w:cs="Arial"/>
                <w:color w:val="808080"/>
              </w:rPr>
            </w:pPr>
            <w:r w:rsidRPr="00E24AB9">
              <w:rPr>
                <w:rFonts w:ascii="Century Gothic" w:hAnsi="Century Gothic" w:cs="Arial"/>
                <w:color w:val="808080"/>
              </w:rPr>
              <w:t xml:space="preserve">Suministro y dotación </w:t>
            </w:r>
            <w:proofErr w:type="gramStart"/>
            <w:r w:rsidRPr="00E24AB9">
              <w:rPr>
                <w:rFonts w:ascii="Century Gothic" w:hAnsi="Century Gothic" w:cs="Arial"/>
                <w:color w:val="808080"/>
              </w:rPr>
              <w:t>de  Combustible</w:t>
            </w:r>
            <w:proofErr w:type="gramEnd"/>
            <w:r w:rsidRPr="00E24AB9">
              <w:rPr>
                <w:rFonts w:ascii="Century Gothic" w:hAnsi="Century Gothic" w:cs="Arial"/>
                <w:color w:val="808080"/>
              </w:rPr>
              <w:t>.</w:t>
            </w:r>
          </w:p>
        </w:tc>
        <w:tc>
          <w:tcPr>
            <w:tcW w:w="1797" w:type="dxa"/>
            <w:vAlign w:val="center"/>
          </w:tcPr>
          <w:p w14:paraId="743EE3CB" w14:textId="77777777" w:rsidR="00492EB5" w:rsidRPr="006E193D" w:rsidRDefault="00492EB5" w:rsidP="00A95ADF">
            <w:pPr>
              <w:jc w:val="center"/>
              <w:rPr>
                <w:rFonts w:ascii="Century Gothic" w:hAnsi="Century Gothic" w:cs="Arial"/>
                <w:color w:val="365F91"/>
              </w:rPr>
            </w:pPr>
          </w:p>
        </w:tc>
      </w:tr>
      <w:tr w:rsidR="00492EB5" w:rsidRPr="006E193D" w14:paraId="43B9FE0B" w14:textId="77777777" w:rsidTr="00A95ADF">
        <w:tc>
          <w:tcPr>
            <w:tcW w:w="7257" w:type="dxa"/>
          </w:tcPr>
          <w:p w14:paraId="7B071F13" w14:textId="77777777" w:rsidR="00492EB5" w:rsidRPr="00E24AB9" w:rsidRDefault="00492EB5" w:rsidP="00492EB5">
            <w:pPr>
              <w:numPr>
                <w:ilvl w:val="0"/>
                <w:numId w:val="2"/>
              </w:numPr>
              <w:spacing w:after="0" w:line="240" w:lineRule="auto"/>
              <w:jc w:val="both"/>
              <w:rPr>
                <w:rFonts w:ascii="Century Gothic" w:hAnsi="Century Gothic" w:cs="Arial"/>
                <w:color w:val="808080"/>
              </w:rPr>
            </w:pPr>
            <w:r w:rsidRPr="00E24AB9">
              <w:rPr>
                <w:rFonts w:ascii="Century Gothic" w:hAnsi="Century Gothic" w:cs="Arial"/>
                <w:color w:val="808080"/>
              </w:rPr>
              <w:t>Telefonía Tradicional y Equipos de Telefonía Móvil</w:t>
            </w:r>
            <w:r>
              <w:rPr>
                <w:rFonts w:ascii="Century Gothic" w:hAnsi="Century Gothic" w:cs="Arial"/>
                <w:color w:val="808080"/>
              </w:rPr>
              <w:t>.</w:t>
            </w:r>
          </w:p>
        </w:tc>
        <w:tc>
          <w:tcPr>
            <w:tcW w:w="1797" w:type="dxa"/>
            <w:vAlign w:val="center"/>
          </w:tcPr>
          <w:p w14:paraId="5B401031" w14:textId="77777777" w:rsidR="00492EB5" w:rsidRPr="006E193D" w:rsidRDefault="00492EB5" w:rsidP="00A95ADF">
            <w:pPr>
              <w:jc w:val="center"/>
              <w:rPr>
                <w:rFonts w:ascii="Century Gothic" w:hAnsi="Century Gothic" w:cs="Arial"/>
                <w:color w:val="365F91"/>
              </w:rPr>
            </w:pPr>
          </w:p>
        </w:tc>
      </w:tr>
      <w:tr w:rsidR="00492EB5" w:rsidRPr="006E193D" w14:paraId="65F45A12" w14:textId="77777777" w:rsidTr="00A95ADF">
        <w:tc>
          <w:tcPr>
            <w:tcW w:w="7257" w:type="dxa"/>
          </w:tcPr>
          <w:p w14:paraId="5153C875" w14:textId="77777777" w:rsidR="00492EB5" w:rsidRPr="00E24AB9" w:rsidRDefault="00492EB5" w:rsidP="00492EB5">
            <w:pPr>
              <w:numPr>
                <w:ilvl w:val="0"/>
                <w:numId w:val="2"/>
              </w:numPr>
              <w:spacing w:after="0" w:line="240" w:lineRule="auto"/>
              <w:jc w:val="both"/>
              <w:rPr>
                <w:rFonts w:ascii="Century Gothic" w:hAnsi="Century Gothic" w:cs="Arial"/>
                <w:color w:val="808080"/>
              </w:rPr>
            </w:pPr>
            <w:r w:rsidRPr="00E24AB9">
              <w:rPr>
                <w:rFonts w:ascii="Century Gothic" w:hAnsi="Century Gothic" w:cs="Arial"/>
                <w:color w:val="808080"/>
              </w:rPr>
              <w:t>Uso y resguardo de Vehículos.</w:t>
            </w:r>
          </w:p>
        </w:tc>
        <w:tc>
          <w:tcPr>
            <w:tcW w:w="1797" w:type="dxa"/>
            <w:vAlign w:val="center"/>
          </w:tcPr>
          <w:p w14:paraId="163E0FE4" w14:textId="77777777" w:rsidR="00492EB5" w:rsidRPr="006E193D" w:rsidRDefault="00492EB5" w:rsidP="00A95ADF">
            <w:pPr>
              <w:jc w:val="center"/>
              <w:rPr>
                <w:rFonts w:ascii="Century Gothic" w:hAnsi="Century Gothic" w:cs="Arial"/>
                <w:color w:val="365F91"/>
              </w:rPr>
            </w:pPr>
          </w:p>
        </w:tc>
      </w:tr>
      <w:tr w:rsidR="00492EB5" w:rsidRPr="006E193D" w14:paraId="54011645" w14:textId="77777777" w:rsidTr="00A95ADF">
        <w:tc>
          <w:tcPr>
            <w:tcW w:w="7257" w:type="dxa"/>
          </w:tcPr>
          <w:p w14:paraId="6A303FE0" w14:textId="77777777" w:rsidR="00492EB5" w:rsidRDefault="00492EB5" w:rsidP="00492EB5">
            <w:pPr>
              <w:numPr>
                <w:ilvl w:val="0"/>
                <w:numId w:val="2"/>
              </w:numPr>
              <w:spacing w:after="0" w:line="240" w:lineRule="auto"/>
              <w:jc w:val="both"/>
              <w:rPr>
                <w:rFonts w:ascii="Century Gothic" w:hAnsi="Century Gothic" w:cs="Arial"/>
                <w:color w:val="808080"/>
              </w:rPr>
            </w:pPr>
            <w:r w:rsidRPr="00E24AB9">
              <w:rPr>
                <w:rFonts w:ascii="Century Gothic" w:hAnsi="Century Gothic" w:cs="Arial"/>
                <w:color w:val="808080"/>
              </w:rPr>
              <w:t>Política Informática.</w:t>
            </w:r>
          </w:p>
          <w:p w14:paraId="580F5E53" w14:textId="77777777" w:rsidR="00806933" w:rsidRDefault="00806933" w:rsidP="00806933">
            <w:pPr>
              <w:spacing w:after="0" w:line="240" w:lineRule="auto"/>
              <w:ind w:left="1004"/>
              <w:jc w:val="both"/>
              <w:rPr>
                <w:rFonts w:ascii="Century Gothic" w:hAnsi="Century Gothic" w:cs="Arial"/>
                <w:color w:val="808080"/>
              </w:rPr>
            </w:pPr>
          </w:p>
          <w:p w14:paraId="60A269D8" w14:textId="77777777" w:rsidR="00492EB5" w:rsidRPr="00E24AB9" w:rsidRDefault="00492EB5" w:rsidP="00492EB5">
            <w:pPr>
              <w:numPr>
                <w:ilvl w:val="0"/>
                <w:numId w:val="2"/>
              </w:numPr>
              <w:spacing w:after="0" w:line="240" w:lineRule="auto"/>
              <w:jc w:val="both"/>
              <w:rPr>
                <w:rFonts w:ascii="Century Gothic" w:hAnsi="Century Gothic" w:cs="Arial"/>
                <w:color w:val="808080"/>
              </w:rPr>
            </w:pPr>
            <w:r w:rsidRPr="00C42FE1">
              <w:rPr>
                <w:rFonts w:ascii="Century Gothic" w:hAnsi="Century Gothic" w:cs="Arial"/>
                <w:color w:val="808080"/>
              </w:rPr>
              <w:t>Registro de activos y sus depreciaciones.</w:t>
            </w:r>
          </w:p>
        </w:tc>
        <w:tc>
          <w:tcPr>
            <w:tcW w:w="1797" w:type="dxa"/>
            <w:vAlign w:val="center"/>
          </w:tcPr>
          <w:p w14:paraId="51C37F8D" w14:textId="77777777" w:rsidR="00492EB5" w:rsidRPr="006E193D" w:rsidRDefault="00492EB5" w:rsidP="00A95ADF">
            <w:pPr>
              <w:jc w:val="center"/>
              <w:rPr>
                <w:rFonts w:ascii="Century Gothic" w:hAnsi="Century Gothic" w:cs="Arial"/>
                <w:color w:val="365F91"/>
              </w:rPr>
            </w:pPr>
          </w:p>
        </w:tc>
      </w:tr>
      <w:tr w:rsidR="00492EB5" w:rsidRPr="006E193D" w14:paraId="09DEBCD4" w14:textId="77777777" w:rsidTr="00A95ADF">
        <w:tc>
          <w:tcPr>
            <w:tcW w:w="7257" w:type="dxa"/>
          </w:tcPr>
          <w:p w14:paraId="48C02AEF" w14:textId="77777777" w:rsidR="00492EB5" w:rsidRPr="006E193D" w:rsidRDefault="00492EB5" w:rsidP="00A95ADF">
            <w:pPr>
              <w:jc w:val="both"/>
              <w:rPr>
                <w:rFonts w:ascii="Century Gothic" w:hAnsi="Century Gothic" w:cs="Arial"/>
                <w:color w:val="365F91"/>
              </w:rPr>
            </w:pPr>
          </w:p>
        </w:tc>
        <w:tc>
          <w:tcPr>
            <w:tcW w:w="1797" w:type="dxa"/>
            <w:vAlign w:val="center"/>
          </w:tcPr>
          <w:p w14:paraId="0F3BF2D0" w14:textId="77777777" w:rsidR="00492EB5" w:rsidRPr="006E193D" w:rsidRDefault="00492EB5" w:rsidP="00A95ADF">
            <w:pPr>
              <w:jc w:val="center"/>
              <w:rPr>
                <w:rFonts w:ascii="Century Gothic" w:hAnsi="Century Gothic" w:cs="Arial"/>
                <w:color w:val="365F91"/>
              </w:rPr>
            </w:pPr>
          </w:p>
        </w:tc>
      </w:tr>
      <w:tr w:rsidR="00492EB5" w:rsidRPr="006E193D" w14:paraId="263DE7BF" w14:textId="77777777" w:rsidTr="00A95ADF">
        <w:tc>
          <w:tcPr>
            <w:tcW w:w="7257" w:type="dxa"/>
          </w:tcPr>
          <w:p w14:paraId="40FECB63" w14:textId="77777777" w:rsidR="00492EB5" w:rsidRPr="006E193D" w:rsidRDefault="00492EB5" w:rsidP="00A95ADF">
            <w:pPr>
              <w:ind w:left="284"/>
              <w:jc w:val="both"/>
              <w:rPr>
                <w:rFonts w:ascii="Century Gothic" w:hAnsi="Century Gothic" w:cs="Arial"/>
                <w:b/>
                <w:sz w:val="28"/>
              </w:rPr>
            </w:pPr>
            <w:r w:rsidRPr="006E193D">
              <w:rPr>
                <w:rFonts w:ascii="Century Gothic" w:hAnsi="Century Gothic" w:cs="Arial"/>
                <w:b/>
                <w:sz w:val="28"/>
              </w:rPr>
              <w:t>Sección C</w:t>
            </w:r>
          </w:p>
        </w:tc>
        <w:tc>
          <w:tcPr>
            <w:tcW w:w="1797" w:type="dxa"/>
            <w:vAlign w:val="center"/>
          </w:tcPr>
          <w:p w14:paraId="09CD5B8D" w14:textId="77777777" w:rsidR="00492EB5" w:rsidRPr="006E193D" w:rsidRDefault="00492EB5" w:rsidP="00A95ADF">
            <w:pPr>
              <w:ind w:left="284"/>
              <w:jc w:val="both"/>
              <w:rPr>
                <w:rFonts w:ascii="Century Gothic" w:hAnsi="Century Gothic" w:cs="Arial"/>
                <w:b/>
                <w:sz w:val="28"/>
              </w:rPr>
            </w:pPr>
          </w:p>
        </w:tc>
      </w:tr>
      <w:tr w:rsidR="00492EB5" w:rsidRPr="006E193D" w14:paraId="31E8710C" w14:textId="77777777" w:rsidTr="00A95ADF">
        <w:tc>
          <w:tcPr>
            <w:tcW w:w="7257" w:type="dxa"/>
          </w:tcPr>
          <w:p w14:paraId="2FF054B8" w14:textId="77777777" w:rsidR="00492EB5" w:rsidRPr="006E193D" w:rsidRDefault="00492EB5" w:rsidP="00A95ADF">
            <w:pPr>
              <w:ind w:left="284"/>
              <w:jc w:val="both"/>
              <w:rPr>
                <w:rFonts w:ascii="Century Gothic" w:hAnsi="Century Gothic" w:cs="Arial"/>
                <w:color w:val="002060"/>
              </w:rPr>
            </w:pPr>
            <w:r w:rsidRPr="006E193D">
              <w:rPr>
                <w:rFonts w:ascii="Century Gothic" w:hAnsi="Century Gothic" w:cs="Arial"/>
                <w:b/>
                <w:color w:val="000000"/>
              </w:rPr>
              <w:t>Políticas para Administrar los Recursos Humanos</w:t>
            </w:r>
          </w:p>
        </w:tc>
        <w:tc>
          <w:tcPr>
            <w:tcW w:w="1797" w:type="dxa"/>
            <w:vAlign w:val="center"/>
          </w:tcPr>
          <w:p w14:paraId="31EED184" w14:textId="77777777" w:rsidR="00492EB5" w:rsidRPr="006E193D" w:rsidRDefault="00492EB5" w:rsidP="00A95ADF">
            <w:pPr>
              <w:jc w:val="center"/>
              <w:rPr>
                <w:rFonts w:ascii="Century Gothic" w:hAnsi="Century Gothic" w:cs="Arial"/>
                <w:color w:val="002060"/>
              </w:rPr>
            </w:pPr>
          </w:p>
        </w:tc>
      </w:tr>
      <w:tr w:rsidR="00492EB5" w:rsidRPr="006E193D" w14:paraId="173F3D12" w14:textId="77777777" w:rsidTr="00A95ADF">
        <w:tc>
          <w:tcPr>
            <w:tcW w:w="7257" w:type="dxa"/>
          </w:tcPr>
          <w:p w14:paraId="3D45A6C3" w14:textId="77777777" w:rsidR="00492EB5" w:rsidRPr="006E193D" w:rsidRDefault="00492EB5" w:rsidP="00A95ADF">
            <w:pPr>
              <w:ind w:left="1004"/>
              <w:jc w:val="both"/>
              <w:rPr>
                <w:rFonts w:ascii="Century Gothic" w:hAnsi="Century Gothic" w:cs="Arial"/>
                <w:color w:val="002060"/>
              </w:rPr>
            </w:pPr>
          </w:p>
        </w:tc>
        <w:tc>
          <w:tcPr>
            <w:tcW w:w="1797" w:type="dxa"/>
            <w:vAlign w:val="center"/>
          </w:tcPr>
          <w:p w14:paraId="341B52AB" w14:textId="77777777" w:rsidR="00492EB5" w:rsidRPr="006E193D" w:rsidRDefault="00492EB5" w:rsidP="00A95ADF">
            <w:pPr>
              <w:jc w:val="center"/>
              <w:rPr>
                <w:rFonts w:ascii="Century Gothic" w:hAnsi="Century Gothic" w:cs="Arial"/>
                <w:color w:val="002060"/>
              </w:rPr>
            </w:pPr>
          </w:p>
        </w:tc>
      </w:tr>
      <w:tr w:rsidR="00492EB5" w:rsidRPr="006E193D" w14:paraId="13D6ECD4" w14:textId="77777777" w:rsidTr="00A95ADF">
        <w:tc>
          <w:tcPr>
            <w:tcW w:w="7257" w:type="dxa"/>
          </w:tcPr>
          <w:p w14:paraId="701691EF" w14:textId="77777777" w:rsidR="00492EB5" w:rsidRPr="006E193D" w:rsidRDefault="00492EB5" w:rsidP="00A95ADF">
            <w:pPr>
              <w:ind w:left="1004"/>
              <w:jc w:val="both"/>
              <w:rPr>
                <w:rFonts w:ascii="Century Gothic" w:hAnsi="Century Gothic" w:cs="Arial"/>
                <w:color w:val="002060"/>
              </w:rPr>
            </w:pPr>
            <w:r w:rsidRPr="006E193D">
              <w:rPr>
                <w:rFonts w:ascii="Century Gothic" w:hAnsi="Century Gothic" w:cs="Arial"/>
                <w:b/>
              </w:rPr>
              <w:t>Apartados</w:t>
            </w:r>
            <w:r w:rsidRPr="006E193D">
              <w:rPr>
                <w:rFonts w:ascii="Century Gothic" w:hAnsi="Century Gothic" w:cs="Arial"/>
                <w:color w:val="002060"/>
              </w:rPr>
              <w:t>.</w:t>
            </w:r>
          </w:p>
        </w:tc>
        <w:tc>
          <w:tcPr>
            <w:tcW w:w="1797" w:type="dxa"/>
            <w:vAlign w:val="center"/>
          </w:tcPr>
          <w:p w14:paraId="2CE97915" w14:textId="77777777" w:rsidR="00492EB5" w:rsidRPr="006E193D" w:rsidRDefault="00492EB5" w:rsidP="00A95ADF">
            <w:pPr>
              <w:jc w:val="center"/>
              <w:rPr>
                <w:rFonts w:ascii="Century Gothic" w:hAnsi="Century Gothic" w:cs="Arial"/>
                <w:color w:val="002060"/>
              </w:rPr>
            </w:pPr>
          </w:p>
        </w:tc>
      </w:tr>
      <w:tr w:rsidR="00492EB5" w:rsidRPr="006E193D" w14:paraId="76DDCD42" w14:textId="77777777" w:rsidTr="00A95ADF">
        <w:tc>
          <w:tcPr>
            <w:tcW w:w="7257" w:type="dxa"/>
          </w:tcPr>
          <w:p w14:paraId="37483E75" w14:textId="77777777" w:rsidR="00492EB5" w:rsidRPr="00E24AB9" w:rsidRDefault="00492EB5" w:rsidP="00492EB5">
            <w:pPr>
              <w:numPr>
                <w:ilvl w:val="0"/>
                <w:numId w:val="3"/>
              </w:numPr>
              <w:spacing w:after="0" w:line="240" w:lineRule="auto"/>
              <w:jc w:val="both"/>
              <w:rPr>
                <w:rFonts w:ascii="Century Gothic" w:hAnsi="Century Gothic" w:cs="Arial"/>
                <w:color w:val="808080"/>
              </w:rPr>
            </w:pPr>
            <w:r w:rsidRPr="00E24AB9">
              <w:rPr>
                <w:rFonts w:ascii="Century Gothic" w:hAnsi="Century Gothic" w:cs="Arial"/>
                <w:color w:val="808080"/>
              </w:rPr>
              <w:t>Control de Asistencia.</w:t>
            </w:r>
          </w:p>
        </w:tc>
        <w:tc>
          <w:tcPr>
            <w:tcW w:w="1797" w:type="dxa"/>
            <w:vAlign w:val="center"/>
          </w:tcPr>
          <w:p w14:paraId="6990E63E" w14:textId="77777777" w:rsidR="00492EB5" w:rsidRPr="006E193D" w:rsidRDefault="00492EB5" w:rsidP="00A95ADF">
            <w:pPr>
              <w:jc w:val="center"/>
              <w:rPr>
                <w:rFonts w:ascii="Century Gothic" w:hAnsi="Century Gothic" w:cs="Arial"/>
                <w:color w:val="365F91"/>
              </w:rPr>
            </w:pPr>
          </w:p>
        </w:tc>
      </w:tr>
      <w:tr w:rsidR="00492EB5" w:rsidRPr="006E193D" w14:paraId="5A88B814" w14:textId="77777777" w:rsidTr="00A95ADF">
        <w:tc>
          <w:tcPr>
            <w:tcW w:w="7257" w:type="dxa"/>
          </w:tcPr>
          <w:p w14:paraId="36185D08" w14:textId="77777777" w:rsidR="00492EB5" w:rsidRPr="00E24AB9" w:rsidRDefault="00492EB5" w:rsidP="00492EB5">
            <w:pPr>
              <w:numPr>
                <w:ilvl w:val="0"/>
                <w:numId w:val="3"/>
              </w:numPr>
              <w:spacing w:after="0" w:line="240" w:lineRule="auto"/>
              <w:jc w:val="both"/>
              <w:rPr>
                <w:rFonts w:ascii="Century Gothic" w:hAnsi="Century Gothic" w:cs="Arial"/>
                <w:color w:val="808080"/>
              </w:rPr>
            </w:pPr>
            <w:r w:rsidRPr="00E24AB9">
              <w:rPr>
                <w:rFonts w:ascii="Century Gothic" w:hAnsi="Century Gothic" w:cs="Arial"/>
                <w:color w:val="808080"/>
              </w:rPr>
              <w:t>Licencias, permisos y días de descanso.</w:t>
            </w:r>
          </w:p>
        </w:tc>
        <w:tc>
          <w:tcPr>
            <w:tcW w:w="1797" w:type="dxa"/>
            <w:vAlign w:val="center"/>
          </w:tcPr>
          <w:p w14:paraId="5FB5BFB7" w14:textId="77777777" w:rsidR="00492EB5" w:rsidRPr="006E193D" w:rsidRDefault="00492EB5" w:rsidP="00A95ADF">
            <w:pPr>
              <w:jc w:val="center"/>
              <w:rPr>
                <w:rFonts w:ascii="Century Gothic" w:hAnsi="Century Gothic" w:cs="Arial"/>
                <w:color w:val="365F91"/>
              </w:rPr>
            </w:pPr>
          </w:p>
        </w:tc>
      </w:tr>
      <w:tr w:rsidR="00492EB5" w:rsidRPr="006E193D" w14:paraId="4F705225" w14:textId="77777777" w:rsidTr="00A95ADF">
        <w:tc>
          <w:tcPr>
            <w:tcW w:w="7257" w:type="dxa"/>
          </w:tcPr>
          <w:p w14:paraId="4A0AC6FC" w14:textId="77777777" w:rsidR="00492EB5" w:rsidRPr="00E24AB9" w:rsidRDefault="00492EB5" w:rsidP="00492EB5">
            <w:pPr>
              <w:numPr>
                <w:ilvl w:val="0"/>
                <w:numId w:val="3"/>
              </w:numPr>
              <w:spacing w:after="0" w:line="240" w:lineRule="auto"/>
              <w:jc w:val="both"/>
              <w:rPr>
                <w:rFonts w:ascii="Century Gothic" w:hAnsi="Century Gothic" w:cs="Arial"/>
                <w:color w:val="808080"/>
              </w:rPr>
            </w:pPr>
            <w:r w:rsidRPr="00E24AB9">
              <w:rPr>
                <w:rFonts w:ascii="Century Gothic" w:hAnsi="Century Gothic" w:cs="Arial"/>
                <w:color w:val="808080"/>
              </w:rPr>
              <w:t>Servicio de Red Médica.</w:t>
            </w:r>
          </w:p>
        </w:tc>
        <w:tc>
          <w:tcPr>
            <w:tcW w:w="1797" w:type="dxa"/>
            <w:vAlign w:val="center"/>
          </w:tcPr>
          <w:p w14:paraId="1A8084B8" w14:textId="77777777" w:rsidR="00492EB5" w:rsidRPr="006E193D" w:rsidRDefault="00492EB5" w:rsidP="00A95ADF">
            <w:pPr>
              <w:jc w:val="center"/>
              <w:rPr>
                <w:rFonts w:ascii="Century Gothic" w:hAnsi="Century Gothic" w:cs="Arial"/>
                <w:color w:val="365F91"/>
              </w:rPr>
            </w:pPr>
          </w:p>
        </w:tc>
      </w:tr>
      <w:tr w:rsidR="00492EB5" w:rsidRPr="006E193D" w14:paraId="13500FAF" w14:textId="77777777" w:rsidTr="00A95ADF">
        <w:tc>
          <w:tcPr>
            <w:tcW w:w="7257" w:type="dxa"/>
          </w:tcPr>
          <w:p w14:paraId="230C4456" w14:textId="77777777" w:rsidR="00492EB5" w:rsidRPr="00E24AB9" w:rsidRDefault="00492EB5" w:rsidP="00492EB5">
            <w:pPr>
              <w:numPr>
                <w:ilvl w:val="0"/>
                <w:numId w:val="3"/>
              </w:numPr>
              <w:spacing w:after="0" w:line="240" w:lineRule="auto"/>
              <w:jc w:val="both"/>
              <w:rPr>
                <w:rFonts w:ascii="Century Gothic" w:hAnsi="Century Gothic" w:cs="Arial"/>
                <w:color w:val="808080"/>
              </w:rPr>
            </w:pPr>
            <w:r w:rsidRPr="00E24AB9">
              <w:rPr>
                <w:rFonts w:ascii="Century Gothic" w:hAnsi="Century Gothic" w:cs="Arial"/>
                <w:color w:val="808080"/>
              </w:rPr>
              <w:t>Servicio de Apoyo por Practicantes Universitarios.</w:t>
            </w:r>
          </w:p>
        </w:tc>
        <w:tc>
          <w:tcPr>
            <w:tcW w:w="1797" w:type="dxa"/>
            <w:vAlign w:val="center"/>
          </w:tcPr>
          <w:p w14:paraId="28A66A7D" w14:textId="77777777" w:rsidR="00492EB5" w:rsidRPr="006E193D" w:rsidRDefault="00492EB5" w:rsidP="00A95ADF">
            <w:pPr>
              <w:jc w:val="center"/>
              <w:rPr>
                <w:rFonts w:ascii="Century Gothic" w:hAnsi="Century Gothic" w:cs="Arial"/>
                <w:color w:val="365F91"/>
              </w:rPr>
            </w:pPr>
          </w:p>
        </w:tc>
      </w:tr>
      <w:tr w:rsidR="00492EB5" w:rsidRPr="006E193D" w14:paraId="0E73E1EC" w14:textId="77777777" w:rsidTr="00A95ADF">
        <w:tc>
          <w:tcPr>
            <w:tcW w:w="7257" w:type="dxa"/>
          </w:tcPr>
          <w:p w14:paraId="017670FD" w14:textId="77777777" w:rsidR="00492EB5" w:rsidRDefault="00492EB5" w:rsidP="00492EB5">
            <w:pPr>
              <w:numPr>
                <w:ilvl w:val="0"/>
                <w:numId w:val="3"/>
              </w:numPr>
              <w:spacing w:after="0" w:line="240" w:lineRule="auto"/>
              <w:jc w:val="both"/>
              <w:rPr>
                <w:rFonts w:ascii="Century Gothic" w:hAnsi="Century Gothic" w:cs="Arial"/>
                <w:color w:val="808080"/>
              </w:rPr>
            </w:pPr>
            <w:r w:rsidRPr="00E24AB9">
              <w:rPr>
                <w:rFonts w:ascii="Century Gothic" w:hAnsi="Century Gothic" w:cs="Arial"/>
                <w:color w:val="808080"/>
              </w:rPr>
              <w:t xml:space="preserve">Capacitación y desarrollo profesional. </w:t>
            </w:r>
          </w:p>
          <w:p w14:paraId="37D9472B" w14:textId="77777777" w:rsidR="00806933" w:rsidRDefault="00806933" w:rsidP="00806933">
            <w:pPr>
              <w:spacing w:after="0" w:line="240" w:lineRule="auto"/>
              <w:ind w:left="1004"/>
              <w:jc w:val="both"/>
              <w:rPr>
                <w:rFonts w:ascii="Century Gothic" w:hAnsi="Century Gothic" w:cs="Arial"/>
                <w:color w:val="808080"/>
              </w:rPr>
            </w:pPr>
          </w:p>
          <w:p w14:paraId="258C0B60" w14:textId="77777777" w:rsidR="00492EB5" w:rsidRPr="00F62D60" w:rsidRDefault="00492EB5" w:rsidP="00492EB5">
            <w:pPr>
              <w:numPr>
                <w:ilvl w:val="0"/>
                <w:numId w:val="3"/>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Otorgamiento de Becas y apoyos diversos.</w:t>
            </w:r>
          </w:p>
        </w:tc>
        <w:tc>
          <w:tcPr>
            <w:tcW w:w="1797" w:type="dxa"/>
            <w:vAlign w:val="center"/>
          </w:tcPr>
          <w:p w14:paraId="089D1D26" w14:textId="77777777" w:rsidR="00492EB5" w:rsidRPr="006E193D" w:rsidRDefault="00492EB5" w:rsidP="00A95ADF">
            <w:pPr>
              <w:jc w:val="center"/>
              <w:rPr>
                <w:rFonts w:ascii="Century Gothic" w:hAnsi="Century Gothic" w:cs="Arial"/>
                <w:color w:val="365F91"/>
              </w:rPr>
            </w:pPr>
          </w:p>
        </w:tc>
      </w:tr>
      <w:tr w:rsidR="00492EB5" w:rsidRPr="006E193D" w14:paraId="116E126E" w14:textId="77777777" w:rsidTr="00A95ADF">
        <w:tc>
          <w:tcPr>
            <w:tcW w:w="7257" w:type="dxa"/>
          </w:tcPr>
          <w:p w14:paraId="0EAEC72C" w14:textId="77777777" w:rsidR="00492EB5" w:rsidRDefault="00492EB5" w:rsidP="00A95ADF">
            <w:pPr>
              <w:ind w:left="1004"/>
              <w:jc w:val="both"/>
              <w:rPr>
                <w:rFonts w:ascii="Century Gothic" w:hAnsi="Century Gothic" w:cs="Arial"/>
                <w:color w:val="808080"/>
              </w:rPr>
            </w:pPr>
          </w:p>
          <w:p w14:paraId="55C1718D" w14:textId="77777777" w:rsidR="00F76CF1" w:rsidRDefault="00F76CF1" w:rsidP="00A95ADF">
            <w:pPr>
              <w:ind w:firstLine="993"/>
              <w:jc w:val="both"/>
              <w:rPr>
                <w:rFonts w:ascii="Century Gothic" w:hAnsi="Century Gothic" w:cs="Arial"/>
                <w:b/>
                <w:sz w:val="28"/>
              </w:rPr>
            </w:pPr>
            <w:r w:rsidRPr="00DE64E6">
              <w:rPr>
                <w:rFonts w:ascii="Century Gothic" w:hAnsi="Century Gothic" w:cs="Arial"/>
                <w:b/>
                <w:sz w:val="28"/>
              </w:rPr>
              <w:t>Sección</w:t>
            </w:r>
            <w:r>
              <w:rPr>
                <w:rFonts w:ascii="Century Gothic" w:hAnsi="Century Gothic" w:cs="Arial"/>
                <w:b/>
                <w:sz w:val="28"/>
              </w:rPr>
              <w:t xml:space="preserve"> D</w:t>
            </w:r>
          </w:p>
          <w:p w14:paraId="792DFF97" w14:textId="77777777" w:rsidR="00F76CF1" w:rsidRDefault="00F76CF1" w:rsidP="00A95ADF">
            <w:pPr>
              <w:ind w:firstLine="993"/>
              <w:jc w:val="both"/>
              <w:rPr>
                <w:rFonts w:ascii="Century Gothic" w:hAnsi="Century Gothic" w:cs="Arial"/>
                <w:b/>
              </w:rPr>
            </w:pPr>
            <w:r w:rsidRPr="00DE64E6">
              <w:rPr>
                <w:rFonts w:ascii="Century Gothic" w:hAnsi="Century Gothic" w:cs="Arial"/>
                <w:b/>
                <w:color w:val="000000"/>
              </w:rPr>
              <w:t>Políticas para la Aplicación de Recursos Propios</w:t>
            </w:r>
          </w:p>
          <w:p w14:paraId="74B34E18" w14:textId="77777777" w:rsidR="00492EB5" w:rsidRPr="00DE64E6" w:rsidRDefault="00492EB5" w:rsidP="00A95ADF">
            <w:pPr>
              <w:ind w:firstLine="993"/>
              <w:jc w:val="both"/>
              <w:rPr>
                <w:rFonts w:ascii="Century Gothic" w:hAnsi="Century Gothic" w:cs="Arial"/>
                <w:color w:val="808080"/>
              </w:rPr>
            </w:pPr>
            <w:r w:rsidRPr="00DE64E6">
              <w:rPr>
                <w:rFonts w:ascii="Century Gothic" w:hAnsi="Century Gothic" w:cs="Arial"/>
                <w:b/>
              </w:rPr>
              <w:t>Apartados</w:t>
            </w:r>
            <w:r w:rsidRPr="00DE64E6">
              <w:rPr>
                <w:rFonts w:ascii="Century Gothic" w:hAnsi="Century Gothic" w:cs="Arial"/>
                <w:color w:val="002060"/>
              </w:rPr>
              <w:t>.</w:t>
            </w:r>
          </w:p>
          <w:p w14:paraId="1DC7F3DE" w14:textId="77777777" w:rsidR="00492EB5" w:rsidRPr="00DE64E6" w:rsidRDefault="00492EB5" w:rsidP="00A95ADF">
            <w:pPr>
              <w:numPr>
                <w:ilvl w:val="0"/>
                <w:numId w:val="39"/>
              </w:numPr>
              <w:spacing w:after="0" w:line="240" w:lineRule="auto"/>
              <w:jc w:val="both"/>
              <w:rPr>
                <w:rFonts w:ascii="Century Gothic" w:hAnsi="Century Gothic" w:cs="Arial"/>
                <w:color w:val="808080"/>
              </w:rPr>
            </w:pPr>
            <w:r w:rsidRPr="00DE64E6">
              <w:rPr>
                <w:rFonts w:ascii="Century Gothic" w:hAnsi="Century Gothic" w:cs="Arial"/>
                <w:color w:val="808080"/>
              </w:rPr>
              <w:t>Disposiciones Generales.</w:t>
            </w:r>
          </w:p>
          <w:p w14:paraId="1AE35CF3" w14:textId="77777777" w:rsidR="00492EB5" w:rsidRPr="00DE64E6" w:rsidRDefault="00492EB5" w:rsidP="00A95ADF">
            <w:pPr>
              <w:numPr>
                <w:ilvl w:val="0"/>
                <w:numId w:val="39"/>
              </w:numPr>
              <w:spacing w:after="0" w:line="240" w:lineRule="auto"/>
              <w:jc w:val="both"/>
              <w:rPr>
                <w:rFonts w:ascii="Century Gothic" w:hAnsi="Century Gothic" w:cs="Arial"/>
                <w:color w:val="808080"/>
              </w:rPr>
            </w:pPr>
            <w:r w:rsidRPr="00DE64E6">
              <w:rPr>
                <w:rFonts w:ascii="Century Gothic" w:hAnsi="Century Gothic" w:cs="Arial"/>
                <w:color w:val="808080"/>
              </w:rPr>
              <w:t>Captación de los Recursos Propios.</w:t>
            </w:r>
          </w:p>
          <w:p w14:paraId="1F718CD4" w14:textId="77777777" w:rsidR="00492EB5" w:rsidRPr="00DE64E6" w:rsidRDefault="00492EB5" w:rsidP="00A95ADF">
            <w:pPr>
              <w:numPr>
                <w:ilvl w:val="0"/>
                <w:numId w:val="39"/>
              </w:numPr>
              <w:spacing w:after="0" w:line="240" w:lineRule="auto"/>
              <w:jc w:val="both"/>
              <w:rPr>
                <w:rFonts w:ascii="Century Gothic" w:hAnsi="Century Gothic" w:cs="Arial"/>
                <w:color w:val="808080"/>
              </w:rPr>
            </w:pPr>
            <w:r w:rsidRPr="00DE64E6">
              <w:rPr>
                <w:rFonts w:ascii="Century Gothic" w:hAnsi="Century Gothic" w:cs="Arial"/>
                <w:color w:val="808080"/>
              </w:rPr>
              <w:t>Administración, aplicación y ejercicio de los Recursos Propios.</w:t>
            </w:r>
          </w:p>
          <w:p w14:paraId="62345D7B" w14:textId="77777777" w:rsidR="00492EB5" w:rsidRPr="00DE64E6" w:rsidRDefault="00492EB5" w:rsidP="00A95ADF">
            <w:pPr>
              <w:numPr>
                <w:ilvl w:val="1"/>
                <w:numId w:val="39"/>
              </w:numPr>
              <w:spacing w:after="0" w:line="240" w:lineRule="auto"/>
              <w:jc w:val="both"/>
              <w:rPr>
                <w:rFonts w:ascii="Century Gothic" w:hAnsi="Century Gothic" w:cs="Arial"/>
                <w:color w:val="808080"/>
              </w:rPr>
            </w:pPr>
            <w:r w:rsidRPr="00DE64E6">
              <w:rPr>
                <w:rFonts w:ascii="Century Gothic" w:hAnsi="Century Gothic" w:cs="Arial"/>
                <w:color w:val="808080"/>
              </w:rPr>
              <w:t>Adquisición de activos.</w:t>
            </w:r>
          </w:p>
          <w:p w14:paraId="0DF327EE" w14:textId="77777777" w:rsidR="00492EB5" w:rsidRPr="00DE64E6" w:rsidRDefault="00492EB5" w:rsidP="00A95ADF">
            <w:pPr>
              <w:numPr>
                <w:ilvl w:val="1"/>
                <w:numId w:val="39"/>
              </w:numPr>
              <w:spacing w:after="0" w:line="240" w:lineRule="auto"/>
              <w:jc w:val="both"/>
              <w:rPr>
                <w:rFonts w:ascii="Century Gothic" w:hAnsi="Century Gothic" w:cs="Arial"/>
                <w:color w:val="808080"/>
              </w:rPr>
            </w:pPr>
            <w:r w:rsidRPr="00DE64E6">
              <w:rPr>
                <w:rFonts w:ascii="Century Gothic" w:hAnsi="Century Gothic" w:cs="Arial"/>
                <w:color w:val="808080"/>
              </w:rPr>
              <w:t>Apoyo a empresas.</w:t>
            </w:r>
          </w:p>
          <w:p w14:paraId="444F8CAF" w14:textId="77777777" w:rsidR="00492EB5" w:rsidRPr="00DE64E6" w:rsidRDefault="00492EB5" w:rsidP="00A95ADF">
            <w:pPr>
              <w:numPr>
                <w:ilvl w:val="1"/>
                <w:numId w:val="39"/>
              </w:numPr>
              <w:spacing w:after="0" w:line="240" w:lineRule="auto"/>
              <w:jc w:val="both"/>
              <w:rPr>
                <w:rFonts w:ascii="Century Gothic" w:hAnsi="Century Gothic" w:cs="Arial"/>
                <w:color w:val="808080"/>
              </w:rPr>
            </w:pPr>
            <w:r w:rsidRPr="00DE64E6">
              <w:rPr>
                <w:rFonts w:ascii="Century Gothic" w:hAnsi="Century Gothic" w:cs="Arial"/>
                <w:color w:val="808080"/>
              </w:rPr>
              <w:t>Estímulos al personal.</w:t>
            </w:r>
          </w:p>
          <w:p w14:paraId="3AD4EA65" w14:textId="77777777" w:rsidR="00492EB5" w:rsidRPr="00E24AB9" w:rsidRDefault="00492EB5" w:rsidP="00A95ADF">
            <w:pPr>
              <w:jc w:val="both"/>
              <w:rPr>
                <w:rFonts w:ascii="Century Gothic" w:hAnsi="Century Gothic" w:cs="Arial"/>
                <w:color w:val="808080"/>
              </w:rPr>
            </w:pPr>
          </w:p>
        </w:tc>
        <w:tc>
          <w:tcPr>
            <w:tcW w:w="1797" w:type="dxa"/>
            <w:vAlign w:val="center"/>
          </w:tcPr>
          <w:p w14:paraId="1530EFD9" w14:textId="77777777" w:rsidR="00492EB5" w:rsidRPr="006E193D" w:rsidRDefault="00492EB5" w:rsidP="00A95ADF">
            <w:pPr>
              <w:jc w:val="center"/>
              <w:rPr>
                <w:rFonts w:ascii="Century Gothic" w:hAnsi="Century Gothic" w:cs="Arial"/>
                <w:color w:val="365F91"/>
              </w:rPr>
            </w:pPr>
          </w:p>
        </w:tc>
      </w:tr>
      <w:tr w:rsidR="00492EB5" w:rsidRPr="006E193D" w14:paraId="6597EF67" w14:textId="77777777" w:rsidTr="00A95ADF">
        <w:tc>
          <w:tcPr>
            <w:tcW w:w="7257" w:type="dxa"/>
          </w:tcPr>
          <w:p w14:paraId="46C5BB16" w14:textId="77777777" w:rsidR="00492EB5" w:rsidRPr="006E193D" w:rsidRDefault="00492EB5" w:rsidP="00A95ADF">
            <w:pPr>
              <w:jc w:val="both"/>
              <w:rPr>
                <w:rFonts w:ascii="Century Gothic" w:hAnsi="Century Gothic" w:cs="Arial"/>
                <w:color w:val="215868"/>
              </w:rPr>
            </w:pPr>
          </w:p>
        </w:tc>
        <w:tc>
          <w:tcPr>
            <w:tcW w:w="1797" w:type="dxa"/>
            <w:vAlign w:val="center"/>
          </w:tcPr>
          <w:p w14:paraId="2AA70C84" w14:textId="77777777" w:rsidR="00492EB5" w:rsidRPr="006E193D" w:rsidRDefault="00492EB5" w:rsidP="00A95ADF">
            <w:pPr>
              <w:jc w:val="center"/>
              <w:rPr>
                <w:rFonts w:ascii="Century Gothic" w:hAnsi="Century Gothic" w:cs="Arial"/>
                <w:color w:val="215868"/>
              </w:rPr>
            </w:pPr>
          </w:p>
        </w:tc>
      </w:tr>
      <w:tr w:rsidR="00492EB5" w:rsidRPr="006E193D" w14:paraId="4980A1A2" w14:textId="77777777" w:rsidTr="00A95ADF">
        <w:tc>
          <w:tcPr>
            <w:tcW w:w="7257" w:type="dxa"/>
          </w:tcPr>
          <w:p w14:paraId="10C83F40" w14:textId="77777777" w:rsidR="00492EB5" w:rsidRPr="006E193D" w:rsidRDefault="00492EB5" w:rsidP="00A95ADF">
            <w:pPr>
              <w:jc w:val="both"/>
              <w:rPr>
                <w:rFonts w:ascii="Century Gothic" w:hAnsi="Century Gothic" w:cs="Arial"/>
                <w:b/>
                <w:sz w:val="32"/>
              </w:rPr>
            </w:pPr>
            <w:r w:rsidRPr="006E193D">
              <w:rPr>
                <w:rFonts w:ascii="Century Gothic" w:hAnsi="Century Gothic" w:cs="Arial"/>
                <w:b/>
                <w:sz w:val="32"/>
              </w:rPr>
              <w:t>Capítulo III</w:t>
            </w:r>
          </w:p>
        </w:tc>
        <w:tc>
          <w:tcPr>
            <w:tcW w:w="1797" w:type="dxa"/>
            <w:vAlign w:val="center"/>
          </w:tcPr>
          <w:p w14:paraId="6D2F4540" w14:textId="77777777" w:rsidR="00492EB5" w:rsidRPr="006E193D" w:rsidRDefault="00492EB5" w:rsidP="00A95ADF">
            <w:pPr>
              <w:jc w:val="both"/>
              <w:rPr>
                <w:rFonts w:ascii="Century Gothic" w:hAnsi="Century Gothic" w:cs="Arial"/>
                <w:b/>
                <w:sz w:val="32"/>
              </w:rPr>
            </w:pPr>
          </w:p>
        </w:tc>
      </w:tr>
      <w:tr w:rsidR="00492EB5" w:rsidRPr="006E193D" w14:paraId="64C6A369" w14:textId="77777777" w:rsidTr="00A95ADF">
        <w:tc>
          <w:tcPr>
            <w:tcW w:w="7257" w:type="dxa"/>
          </w:tcPr>
          <w:p w14:paraId="66C5A794" w14:textId="77777777" w:rsidR="00492EB5" w:rsidRPr="006E193D" w:rsidRDefault="00492EB5" w:rsidP="00A95ADF">
            <w:pPr>
              <w:jc w:val="both"/>
              <w:rPr>
                <w:rFonts w:ascii="Century Gothic" w:hAnsi="Century Gothic" w:cs="Arial"/>
                <w:color w:val="365F91"/>
              </w:rPr>
            </w:pPr>
          </w:p>
        </w:tc>
        <w:tc>
          <w:tcPr>
            <w:tcW w:w="1797" w:type="dxa"/>
            <w:vAlign w:val="center"/>
          </w:tcPr>
          <w:p w14:paraId="47BACFE7" w14:textId="77777777" w:rsidR="00492EB5" w:rsidRPr="006E193D" w:rsidRDefault="00492EB5" w:rsidP="00A95ADF">
            <w:pPr>
              <w:jc w:val="center"/>
              <w:rPr>
                <w:rFonts w:ascii="Century Gothic" w:hAnsi="Century Gothic" w:cs="Arial"/>
                <w:color w:val="365F91"/>
              </w:rPr>
            </w:pPr>
          </w:p>
        </w:tc>
      </w:tr>
      <w:tr w:rsidR="00492EB5" w:rsidRPr="00E24AB9" w14:paraId="16256D85" w14:textId="77777777" w:rsidTr="00A95ADF">
        <w:tc>
          <w:tcPr>
            <w:tcW w:w="7257" w:type="dxa"/>
          </w:tcPr>
          <w:p w14:paraId="3377F2D3" w14:textId="77777777" w:rsidR="00492EB5" w:rsidRPr="00E24AB9" w:rsidRDefault="00492EB5" w:rsidP="00A95ADF">
            <w:pPr>
              <w:ind w:left="284"/>
              <w:jc w:val="both"/>
              <w:rPr>
                <w:rFonts w:ascii="Century Gothic" w:hAnsi="Century Gothic" w:cs="Arial"/>
                <w:color w:val="808080"/>
              </w:rPr>
            </w:pPr>
            <w:r w:rsidRPr="00E24AB9">
              <w:rPr>
                <w:rFonts w:ascii="Century Gothic" w:hAnsi="Century Gothic" w:cs="Arial"/>
                <w:color w:val="808080"/>
              </w:rPr>
              <w:t>Referencias Normativas</w:t>
            </w:r>
          </w:p>
        </w:tc>
        <w:tc>
          <w:tcPr>
            <w:tcW w:w="1797" w:type="dxa"/>
            <w:vAlign w:val="center"/>
          </w:tcPr>
          <w:p w14:paraId="1BAB4FE9" w14:textId="77777777" w:rsidR="00492EB5" w:rsidRPr="00E24AB9" w:rsidRDefault="00492EB5" w:rsidP="00A95ADF">
            <w:pPr>
              <w:ind w:left="284"/>
              <w:jc w:val="both"/>
              <w:rPr>
                <w:rFonts w:ascii="Century Gothic" w:hAnsi="Century Gothic" w:cs="Arial"/>
                <w:color w:val="808080"/>
              </w:rPr>
            </w:pPr>
          </w:p>
        </w:tc>
      </w:tr>
      <w:tr w:rsidR="00492EB5" w:rsidRPr="00E24AB9" w14:paraId="1ECFC60E" w14:textId="77777777" w:rsidTr="00A95ADF">
        <w:tc>
          <w:tcPr>
            <w:tcW w:w="7257" w:type="dxa"/>
          </w:tcPr>
          <w:p w14:paraId="34E752EC" w14:textId="77777777" w:rsidR="00492EB5" w:rsidRPr="00E24AB9" w:rsidRDefault="00492EB5" w:rsidP="00A95ADF">
            <w:pPr>
              <w:ind w:left="284"/>
              <w:jc w:val="both"/>
              <w:rPr>
                <w:rFonts w:ascii="Century Gothic" w:hAnsi="Century Gothic" w:cs="Arial"/>
                <w:color w:val="808080"/>
              </w:rPr>
            </w:pPr>
            <w:r w:rsidRPr="00E24AB9">
              <w:rPr>
                <w:rFonts w:ascii="Century Gothic" w:hAnsi="Century Gothic" w:cs="Arial"/>
                <w:color w:val="808080"/>
              </w:rPr>
              <w:t>Anexos</w:t>
            </w:r>
          </w:p>
        </w:tc>
        <w:tc>
          <w:tcPr>
            <w:tcW w:w="1797" w:type="dxa"/>
            <w:vAlign w:val="center"/>
          </w:tcPr>
          <w:p w14:paraId="2964E5C7" w14:textId="77777777" w:rsidR="00492EB5" w:rsidRPr="00E24AB9" w:rsidRDefault="00492EB5" w:rsidP="00A95ADF">
            <w:pPr>
              <w:ind w:left="284"/>
              <w:jc w:val="both"/>
              <w:rPr>
                <w:rFonts w:ascii="Century Gothic" w:hAnsi="Century Gothic" w:cs="Arial"/>
                <w:color w:val="808080"/>
              </w:rPr>
            </w:pPr>
          </w:p>
        </w:tc>
      </w:tr>
      <w:tr w:rsidR="00492EB5" w:rsidRPr="00E24AB9" w14:paraId="38349ED0" w14:textId="77777777" w:rsidTr="00A95ADF">
        <w:tc>
          <w:tcPr>
            <w:tcW w:w="7257" w:type="dxa"/>
          </w:tcPr>
          <w:p w14:paraId="23EDDADC" w14:textId="77777777" w:rsidR="00492EB5" w:rsidRPr="00E24AB9" w:rsidRDefault="00492EB5" w:rsidP="00A95ADF">
            <w:pPr>
              <w:ind w:left="284"/>
              <w:jc w:val="both"/>
              <w:rPr>
                <w:rFonts w:ascii="Century Gothic" w:hAnsi="Century Gothic" w:cs="Arial"/>
                <w:color w:val="808080"/>
              </w:rPr>
            </w:pPr>
            <w:r w:rsidRPr="00E24AB9">
              <w:rPr>
                <w:rFonts w:ascii="Century Gothic" w:hAnsi="Century Gothic" w:cs="Arial"/>
                <w:color w:val="808080"/>
              </w:rPr>
              <w:t>Glosario de términos.</w:t>
            </w:r>
          </w:p>
        </w:tc>
        <w:tc>
          <w:tcPr>
            <w:tcW w:w="1797" w:type="dxa"/>
            <w:vAlign w:val="center"/>
          </w:tcPr>
          <w:p w14:paraId="76F1E03E" w14:textId="77777777" w:rsidR="00492EB5" w:rsidRPr="00E24AB9" w:rsidRDefault="00492EB5" w:rsidP="00A95ADF">
            <w:pPr>
              <w:ind w:left="284"/>
              <w:jc w:val="both"/>
              <w:rPr>
                <w:rFonts w:ascii="Century Gothic" w:hAnsi="Century Gothic" w:cs="Arial"/>
                <w:color w:val="808080"/>
              </w:rPr>
            </w:pPr>
          </w:p>
        </w:tc>
      </w:tr>
      <w:tr w:rsidR="00492EB5" w:rsidRPr="006E193D" w14:paraId="777E10FD" w14:textId="77777777" w:rsidTr="00A95ADF">
        <w:tc>
          <w:tcPr>
            <w:tcW w:w="7257" w:type="dxa"/>
          </w:tcPr>
          <w:p w14:paraId="55BD67CE" w14:textId="77777777" w:rsidR="00492EB5" w:rsidRPr="006E193D" w:rsidRDefault="00492EB5" w:rsidP="00A95ADF">
            <w:pPr>
              <w:jc w:val="both"/>
              <w:rPr>
                <w:rFonts w:ascii="Century Gothic" w:hAnsi="Century Gothic" w:cs="Arial"/>
                <w:color w:val="365F91"/>
              </w:rPr>
            </w:pPr>
          </w:p>
        </w:tc>
        <w:tc>
          <w:tcPr>
            <w:tcW w:w="1797" w:type="dxa"/>
            <w:vAlign w:val="center"/>
          </w:tcPr>
          <w:p w14:paraId="5E44264C" w14:textId="77777777" w:rsidR="00492EB5" w:rsidRPr="006E193D" w:rsidRDefault="00492EB5" w:rsidP="00A95ADF">
            <w:pPr>
              <w:jc w:val="center"/>
              <w:rPr>
                <w:rFonts w:ascii="Century Gothic" w:hAnsi="Century Gothic" w:cs="Arial"/>
                <w:color w:val="365F91"/>
              </w:rPr>
            </w:pPr>
          </w:p>
        </w:tc>
      </w:tr>
    </w:tbl>
    <w:p w14:paraId="3A5EC2E1" w14:textId="77777777" w:rsidR="00492EB5" w:rsidRPr="00250DC3" w:rsidRDefault="00492EB5" w:rsidP="00492EB5">
      <w:pPr>
        <w:rPr>
          <w:vanish/>
        </w:rPr>
      </w:pPr>
    </w:p>
    <w:tbl>
      <w:tblPr>
        <w:tblpPr w:leftFromText="141" w:rightFromText="141" w:vertAnchor="text" w:horzAnchor="margin" w:tblpY="-2934"/>
        <w:tblW w:w="0" w:type="auto"/>
        <w:tblLook w:val="04A0" w:firstRow="1" w:lastRow="0" w:firstColumn="1" w:lastColumn="0" w:noHBand="0" w:noVBand="1"/>
      </w:tblPr>
      <w:tblGrid>
        <w:gridCol w:w="7257"/>
      </w:tblGrid>
      <w:tr w:rsidR="00492EB5" w:rsidRPr="006E193D" w14:paraId="6C6D7BD9" w14:textId="77777777" w:rsidTr="00A95ADF">
        <w:tc>
          <w:tcPr>
            <w:tcW w:w="7257" w:type="dxa"/>
          </w:tcPr>
          <w:p w14:paraId="60670D13" w14:textId="77777777" w:rsidR="00492EB5" w:rsidRPr="00DE64E6" w:rsidRDefault="00492EB5" w:rsidP="00A95ADF">
            <w:pPr>
              <w:ind w:left="284"/>
              <w:jc w:val="both"/>
              <w:rPr>
                <w:rFonts w:ascii="Century Gothic" w:hAnsi="Century Gothic" w:cs="Arial"/>
                <w:sz w:val="28"/>
              </w:rPr>
            </w:pPr>
          </w:p>
        </w:tc>
      </w:tr>
      <w:tr w:rsidR="00492EB5" w:rsidRPr="006E193D" w14:paraId="762E599E" w14:textId="77777777" w:rsidTr="00A95ADF">
        <w:tc>
          <w:tcPr>
            <w:tcW w:w="7257" w:type="dxa"/>
          </w:tcPr>
          <w:p w14:paraId="3F352DE4" w14:textId="77777777" w:rsidR="00492EB5" w:rsidRPr="00DE64E6" w:rsidRDefault="00492EB5" w:rsidP="00A95ADF">
            <w:pPr>
              <w:ind w:left="284"/>
              <w:jc w:val="both"/>
              <w:rPr>
                <w:rFonts w:ascii="Century Gothic" w:hAnsi="Century Gothic" w:cs="Arial"/>
                <w:color w:val="002060"/>
              </w:rPr>
            </w:pPr>
          </w:p>
        </w:tc>
      </w:tr>
    </w:tbl>
    <w:p w14:paraId="6B3101C6" w14:textId="77777777" w:rsidR="00492EB5" w:rsidRPr="006E193D" w:rsidRDefault="00492EB5" w:rsidP="00492EB5">
      <w:pPr>
        <w:jc w:val="both"/>
        <w:rPr>
          <w:rFonts w:ascii="Century Gothic" w:hAnsi="Century Gothic" w:cs="Arial"/>
          <w:b/>
        </w:rPr>
      </w:pPr>
      <w:r w:rsidRPr="006E193D">
        <w:rPr>
          <w:rFonts w:ascii="Century Gothic" w:hAnsi="Century Gothic" w:cs="Arial"/>
          <w:b/>
        </w:rPr>
        <w:t>Capítulo I</w:t>
      </w:r>
    </w:p>
    <w:p w14:paraId="521E010A" w14:textId="77777777" w:rsidR="00492EB5" w:rsidRPr="00E24AB9" w:rsidRDefault="00492EB5" w:rsidP="00492EB5">
      <w:pPr>
        <w:jc w:val="both"/>
        <w:rPr>
          <w:rFonts w:ascii="Century Gothic" w:hAnsi="Century Gothic" w:cs="Arial"/>
          <w:color w:val="808080"/>
        </w:rPr>
      </w:pPr>
    </w:p>
    <w:p w14:paraId="641ABD10"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6E193D">
        <w:rPr>
          <w:rFonts w:ascii="Century Gothic" w:hAnsi="Century Gothic" w:cs="Arial"/>
          <w:b/>
        </w:rPr>
        <w:t>Inducción</w:t>
      </w:r>
      <w:r w:rsidRPr="002650C8">
        <w:rPr>
          <w:rFonts w:ascii="Century Gothic" w:hAnsi="Century Gothic" w:cs="Arial"/>
          <w:b/>
        </w:rPr>
        <w:t xml:space="preserve"> a la entidad.</w:t>
      </w:r>
    </w:p>
    <w:p w14:paraId="70D4063F" w14:textId="77777777" w:rsidR="00492EB5" w:rsidRPr="00E24AB9" w:rsidRDefault="00492EB5" w:rsidP="00492EB5">
      <w:pPr>
        <w:autoSpaceDE w:val="0"/>
        <w:autoSpaceDN w:val="0"/>
        <w:adjustRightInd w:val="0"/>
        <w:jc w:val="both"/>
        <w:rPr>
          <w:rFonts w:ascii="Century Gothic" w:hAnsi="Century Gothic" w:cs="Arial"/>
          <w:color w:val="808080"/>
        </w:rPr>
      </w:pPr>
    </w:p>
    <w:p w14:paraId="11008D42" w14:textId="77777777" w:rsidR="00492EB5" w:rsidRPr="00E24AB9" w:rsidRDefault="00492EB5" w:rsidP="00492EB5">
      <w:pPr>
        <w:autoSpaceDE w:val="0"/>
        <w:autoSpaceDN w:val="0"/>
        <w:adjustRightInd w:val="0"/>
        <w:ind w:firstLine="1134"/>
        <w:jc w:val="both"/>
        <w:rPr>
          <w:rFonts w:ascii="Century Gothic" w:hAnsi="Century Gothic" w:cs="Calibri"/>
          <w:color w:val="808080"/>
        </w:rPr>
      </w:pPr>
      <w:r w:rsidRPr="00E24AB9">
        <w:rPr>
          <w:rFonts w:ascii="Century Gothic" w:hAnsi="Century Gothic" w:cs="Calibri"/>
          <w:color w:val="808080"/>
        </w:rPr>
        <w:t xml:space="preserve">El 8 de mayo de 1992, mediante el Decreto Gubernativo número 10, se crea un organismo descentralizado con personalidad jurídica y patrimonio propio denominado “Coordinadora de Fomento al Comercio Exterior del Estado de Guanajuato, COFOCE”. </w:t>
      </w:r>
    </w:p>
    <w:p w14:paraId="5D37E5E1" w14:textId="77777777" w:rsidR="00492EB5" w:rsidRPr="00E24AB9" w:rsidRDefault="00492EB5" w:rsidP="00492EB5">
      <w:pPr>
        <w:autoSpaceDE w:val="0"/>
        <w:autoSpaceDN w:val="0"/>
        <w:adjustRightInd w:val="0"/>
        <w:jc w:val="both"/>
        <w:rPr>
          <w:rFonts w:ascii="Century Gothic" w:hAnsi="Century Gothic" w:cs="Arial"/>
          <w:color w:val="808080"/>
        </w:rPr>
      </w:pPr>
    </w:p>
    <w:p w14:paraId="447ADED3" w14:textId="77777777" w:rsidR="00492EB5" w:rsidRPr="00E24AB9" w:rsidRDefault="00492EB5" w:rsidP="00492EB5">
      <w:pPr>
        <w:autoSpaceDE w:val="0"/>
        <w:autoSpaceDN w:val="0"/>
        <w:adjustRightInd w:val="0"/>
        <w:jc w:val="both"/>
        <w:rPr>
          <w:rFonts w:ascii="Century Gothic" w:hAnsi="Century Gothic" w:cs="Arial"/>
          <w:color w:val="808080"/>
        </w:rPr>
      </w:pPr>
      <w:r w:rsidRPr="00E24AB9">
        <w:rPr>
          <w:rFonts w:ascii="Century Gothic" w:hAnsi="Century Gothic" w:cs="Arial"/>
          <w:color w:val="808080"/>
        </w:rPr>
        <w:t xml:space="preserve">El objeto fue el establecimiento de los mecanismos de coordinación entre el Gobierno del Estado y los sectores productivos, para con ello propiciar las acciones estratégicas que impulsaran el progreso del Estado de Guanajuato, identificando sus características comparativas y mediante el desarrollo de características competitivas ante la apertura de la economía nacional. </w:t>
      </w:r>
    </w:p>
    <w:p w14:paraId="38C328AF" w14:textId="77777777" w:rsidR="00492EB5" w:rsidRPr="00E24AB9" w:rsidRDefault="00492EB5" w:rsidP="00492EB5">
      <w:pPr>
        <w:autoSpaceDE w:val="0"/>
        <w:autoSpaceDN w:val="0"/>
        <w:adjustRightInd w:val="0"/>
        <w:jc w:val="both"/>
        <w:rPr>
          <w:rFonts w:ascii="Century Gothic" w:hAnsi="Century Gothic" w:cs="Arial"/>
          <w:color w:val="808080"/>
        </w:rPr>
      </w:pPr>
    </w:p>
    <w:p w14:paraId="31FC87DC" w14:textId="77777777" w:rsidR="00492EB5" w:rsidRPr="00E24AB9" w:rsidRDefault="00492EB5" w:rsidP="00492EB5">
      <w:pPr>
        <w:autoSpaceDE w:val="0"/>
        <w:autoSpaceDN w:val="0"/>
        <w:adjustRightInd w:val="0"/>
        <w:jc w:val="both"/>
        <w:rPr>
          <w:rFonts w:ascii="Century Gothic" w:hAnsi="Century Gothic" w:cs="Arial"/>
          <w:color w:val="808080"/>
        </w:rPr>
      </w:pPr>
      <w:r w:rsidRPr="00E24AB9">
        <w:rPr>
          <w:rFonts w:ascii="Century Gothic" w:hAnsi="Century Gothic" w:cs="Arial"/>
          <w:color w:val="808080"/>
        </w:rPr>
        <w:t xml:space="preserve">COFOCE surgió como respuesta a la demanda de los sectores productivos para participar activamente en la planeación y ejecución de los programas de desarrollo económico del Estado, y como un foro para discutir la problemática particular con los diferentes sectores de la economía guanajuatense con motivo de la profundización de la apertura comercial en el país y en su oportunidad, hacer los planteamientos necesarios ante las autoridades correspondientes. </w:t>
      </w:r>
    </w:p>
    <w:p w14:paraId="3FF4C4EF" w14:textId="77777777" w:rsidR="00492EB5" w:rsidRPr="00E24AB9" w:rsidRDefault="00492EB5" w:rsidP="00492EB5">
      <w:pPr>
        <w:autoSpaceDE w:val="0"/>
        <w:autoSpaceDN w:val="0"/>
        <w:adjustRightInd w:val="0"/>
        <w:jc w:val="both"/>
        <w:rPr>
          <w:rFonts w:ascii="Century Gothic" w:hAnsi="Century Gothic" w:cs="Arial"/>
          <w:color w:val="808080"/>
        </w:rPr>
      </w:pPr>
    </w:p>
    <w:p w14:paraId="2C33DFA4" w14:textId="77777777" w:rsidR="00492EB5" w:rsidRPr="00E24AB9" w:rsidRDefault="00492EB5" w:rsidP="00492EB5">
      <w:pPr>
        <w:autoSpaceDE w:val="0"/>
        <w:autoSpaceDN w:val="0"/>
        <w:adjustRightInd w:val="0"/>
        <w:jc w:val="both"/>
        <w:rPr>
          <w:rFonts w:ascii="Century Gothic" w:hAnsi="Century Gothic" w:cs="Arial"/>
          <w:color w:val="808080"/>
        </w:rPr>
      </w:pPr>
      <w:r w:rsidRPr="00E24AB9">
        <w:rPr>
          <w:rFonts w:ascii="Century Gothic" w:hAnsi="Century Gothic" w:cs="Arial"/>
          <w:color w:val="808080"/>
        </w:rPr>
        <w:t>El objetivo era de igual forma, contar con una coordinación especializada, un interlocutor calificado que pudiera identificar los sectores productivos de la entidad en lo relacionado al comercio exterior y, bajo una perspectiva visionaria preparar a la Entidad para la apertura económica que se consolidaría en 1992 con la firma del Tratado de Libre Comercio de América del Norte (TLCAN), el cual entraría en vigor el 1 de enero de 1994.</w:t>
      </w:r>
    </w:p>
    <w:p w14:paraId="5D174FBF"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6E193D">
        <w:rPr>
          <w:rFonts w:ascii="Century Gothic" w:hAnsi="Century Gothic" w:cs="Arial"/>
          <w:b/>
        </w:rPr>
        <w:lastRenderedPageBreak/>
        <w:t>Marco</w:t>
      </w:r>
      <w:r w:rsidRPr="002650C8">
        <w:rPr>
          <w:rFonts w:ascii="Century Gothic" w:hAnsi="Century Gothic" w:cs="Arial"/>
          <w:b/>
        </w:rPr>
        <w:t xml:space="preserve">  legal y normativo del Manual.</w:t>
      </w:r>
    </w:p>
    <w:p w14:paraId="625B42ED" w14:textId="77777777" w:rsidR="00492EB5" w:rsidRPr="00E24AB9" w:rsidRDefault="00492EB5" w:rsidP="00492EB5">
      <w:pPr>
        <w:autoSpaceDE w:val="0"/>
        <w:autoSpaceDN w:val="0"/>
        <w:adjustRightInd w:val="0"/>
        <w:jc w:val="both"/>
        <w:rPr>
          <w:rFonts w:ascii="Century Gothic" w:hAnsi="Century Gothic" w:cs="Arial"/>
          <w:color w:val="808080"/>
        </w:rPr>
      </w:pPr>
    </w:p>
    <w:p w14:paraId="6223778E" w14:textId="77777777" w:rsidR="00492EB5" w:rsidRPr="00E24AB9" w:rsidRDefault="00492EB5" w:rsidP="00492EB5">
      <w:pPr>
        <w:autoSpaceDE w:val="0"/>
        <w:autoSpaceDN w:val="0"/>
        <w:adjustRightInd w:val="0"/>
        <w:ind w:firstLine="1134"/>
        <w:jc w:val="both"/>
        <w:rPr>
          <w:rFonts w:ascii="Century Gothic" w:hAnsi="Century Gothic" w:cs="Arial"/>
          <w:color w:val="808080"/>
        </w:rPr>
      </w:pPr>
      <w:r w:rsidRPr="00E24AB9">
        <w:rPr>
          <w:rFonts w:ascii="Century Gothic" w:hAnsi="Century Gothic" w:cs="Arial"/>
          <w:color w:val="808080"/>
        </w:rPr>
        <w:t xml:space="preserve">En este Manual de Políticas y procedimientos Administrativos  y de Control Interno, se describe la manera en cómo COFOCE sin perjuicio de lo establecido por otros ordenamientos legales, podrá fortalecer el eficiente y eficaz ejercicio de los recursos públicos, así como establecer parámetros de control para la asignación, ejercicio, seguimiento y evaluación de las acciones que repercuten directa o indirectamente en la administración de su presupuesto. </w:t>
      </w:r>
    </w:p>
    <w:p w14:paraId="05AE6D4A" w14:textId="77777777" w:rsidR="00492EB5" w:rsidRPr="00E24AB9" w:rsidRDefault="00492EB5" w:rsidP="00492EB5">
      <w:pPr>
        <w:autoSpaceDE w:val="0"/>
        <w:autoSpaceDN w:val="0"/>
        <w:adjustRightInd w:val="0"/>
        <w:jc w:val="both"/>
        <w:rPr>
          <w:rFonts w:ascii="Century Gothic" w:hAnsi="Century Gothic" w:cs="Arial"/>
          <w:color w:val="808080"/>
        </w:rPr>
      </w:pPr>
    </w:p>
    <w:p w14:paraId="0FA3562D" w14:textId="77777777" w:rsidR="00492EB5" w:rsidRPr="00E24AB9" w:rsidRDefault="00492EB5" w:rsidP="00492EB5">
      <w:pPr>
        <w:autoSpaceDE w:val="0"/>
        <w:autoSpaceDN w:val="0"/>
        <w:adjustRightInd w:val="0"/>
        <w:jc w:val="both"/>
        <w:rPr>
          <w:rFonts w:ascii="Century Gothic" w:hAnsi="Century Gothic" w:cs="Arial"/>
          <w:color w:val="808080"/>
        </w:rPr>
      </w:pPr>
      <w:r w:rsidRPr="00E24AB9">
        <w:rPr>
          <w:rFonts w:ascii="Century Gothic" w:hAnsi="Century Gothic" w:cs="Arial"/>
          <w:color w:val="808080"/>
        </w:rPr>
        <w:t>La necesidad inevitable de que todas las dependencias y entidades del Gobierno del Estado de Guanajuato deban contar con un Manual de Políticas y Procedimientos Administrativos y de control Interno, se sustenta con base en los siguientes fundamentos:</w:t>
      </w:r>
    </w:p>
    <w:p w14:paraId="082DA8DC" w14:textId="77777777" w:rsidR="00492EB5" w:rsidRPr="00E24AB9" w:rsidRDefault="00492EB5" w:rsidP="00492EB5">
      <w:pPr>
        <w:autoSpaceDE w:val="0"/>
        <w:autoSpaceDN w:val="0"/>
        <w:adjustRightInd w:val="0"/>
        <w:jc w:val="both"/>
        <w:rPr>
          <w:rFonts w:ascii="Century Gothic" w:hAnsi="Century Gothic" w:cs="Arial"/>
          <w:color w:val="808080"/>
        </w:rPr>
      </w:pPr>
    </w:p>
    <w:p w14:paraId="5AB3AF5A" w14:textId="77777777" w:rsidR="00492EB5" w:rsidRPr="00E24AB9" w:rsidRDefault="00492EB5" w:rsidP="00492EB5">
      <w:pPr>
        <w:jc w:val="both"/>
        <w:rPr>
          <w:rFonts w:ascii="Century Gothic" w:hAnsi="Century Gothic" w:cs="Arial"/>
          <w:b/>
          <w:color w:val="808080"/>
        </w:rPr>
      </w:pPr>
      <w:r w:rsidRPr="00E24AB9">
        <w:rPr>
          <w:rFonts w:ascii="Century Gothic" w:hAnsi="Century Gothic" w:cs="Arial"/>
          <w:b/>
          <w:color w:val="808080"/>
        </w:rPr>
        <w:t xml:space="preserve">LEY ORGÁNICA DEL PODER EJECUTIVO PARA EL ESTADO DE GUANAJUATO </w:t>
      </w:r>
    </w:p>
    <w:p w14:paraId="3A5AE8B6"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TÍTULO SEGUNDO: De la Administración Pública Centralizada</w:t>
      </w:r>
    </w:p>
    <w:p w14:paraId="4C9E5FDD"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 xml:space="preserve">Capítulo Primero: Dependencias del Poder Ejecutivo. Artículo 22. </w:t>
      </w:r>
    </w:p>
    <w:p w14:paraId="72D081A4" w14:textId="77777777" w:rsidR="00492EB5" w:rsidRPr="00E24AB9" w:rsidRDefault="00492EB5" w:rsidP="00086811">
      <w:pPr>
        <w:ind w:left="709" w:hanging="709"/>
        <w:jc w:val="both"/>
        <w:rPr>
          <w:rFonts w:ascii="Century Gothic" w:hAnsi="Century Gothic" w:cs="Arial"/>
          <w:color w:val="808080"/>
        </w:rPr>
      </w:pPr>
    </w:p>
    <w:p w14:paraId="440A610C" w14:textId="77777777" w:rsidR="00492EB5" w:rsidRPr="00E24AB9" w:rsidRDefault="00492EB5" w:rsidP="00492EB5">
      <w:pPr>
        <w:jc w:val="both"/>
        <w:rPr>
          <w:rFonts w:ascii="Century Gothic" w:hAnsi="Century Gothic" w:cs="Arial"/>
          <w:b/>
          <w:color w:val="808080"/>
        </w:rPr>
      </w:pPr>
      <w:r w:rsidRPr="00E24AB9">
        <w:rPr>
          <w:rFonts w:ascii="Century Gothic" w:hAnsi="Century Gothic" w:cs="Arial"/>
          <w:b/>
          <w:color w:val="808080"/>
        </w:rPr>
        <w:t>LINEAMIENTOS GENERALES DE CONTROL INTERNO Y SUS NORMAS DE APLICACIÓN PARA LA ADMINISTRACIÓN PÚBLICA ESTATAL</w:t>
      </w:r>
    </w:p>
    <w:p w14:paraId="5D39D58F"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 xml:space="preserve">Capítulo </w:t>
      </w:r>
      <w:r>
        <w:rPr>
          <w:rFonts w:ascii="Century Gothic" w:hAnsi="Century Gothic" w:cs="Arial"/>
          <w:color w:val="808080"/>
        </w:rPr>
        <w:t>Primer</w:t>
      </w:r>
      <w:r w:rsidRPr="00E24AB9">
        <w:rPr>
          <w:rFonts w:ascii="Century Gothic" w:hAnsi="Century Gothic" w:cs="Arial"/>
          <w:color w:val="808080"/>
        </w:rPr>
        <w:t>o: Aplicación del Control Interno</w:t>
      </w:r>
      <w:r w:rsidRPr="00E24AB9">
        <w:rPr>
          <w:rFonts w:ascii="Century Gothic" w:hAnsi="Century Gothic"/>
          <w:color w:val="808080"/>
        </w:rPr>
        <w:t xml:space="preserve">. </w:t>
      </w:r>
      <w:r w:rsidRPr="00E24AB9">
        <w:rPr>
          <w:rFonts w:ascii="Century Gothic" w:hAnsi="Century Gothic" w:cs="Arial"/>
          <w:color w:val="808080"/>
        </w:rPr>
        <w:t>Artículo 5.</w:t>
      </w:r>
    </w:p>
    <w:p w14:paraId="0EC2C4BD"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 xml:space="preserve">Capítulo </w:t>
      </w:r>
      <w:r>
        <w:rPr>
          <w:rFonts w:ascii="Century Gothic" w:hAnsi="Century Gothic" w:cs="Arial"/>
          <w:color w:val="808080"/>
        </w:rPr>
        <w:t>Segund</w:t>
      </w:r>
      <w:r w:rsidRPr="00E24AB9">
        <w:rPr>
          <w:rFonts w:ascii="Century Gothic" w:hAnsi="Century Gothic" w:cs="Arial"/>
          <w:color w:val="808080"/>
        </w:rPr>
        <w:t>o: Normas Generales de Control Interno</w:t>
      </w:r>
      <w:r w:rsidRPr="00E24AB9">
        <w:rPr>
          <w:rFonts w:ascii="Century Gothic" w:hAnsi="Century Gothic"/>
          <w:color w:val="808080"/>
        </w:rPr>
        <w:t xml:space="preserve">. </w:t>
      </w:r>
      <w:r w:rsidRPr="00E24AB9">
        <w:rPr>
          <w:rFonts w:ascii="Century Gothic" w:hAnsi="Century Gothic" w:cs="Arial"/>
          <w:color w:val="808080"/>
        </w:rPr>
        <w:t>Artículo 14.</w:t>
      </w:r>
    </w:p>
    <w:p w14:paraId="61024ED0" w14:textId="77777777" w:rsidR="00492EB5" w:rsidRPr="00E24AB9" w:rsidRDefault="00492EB5" w:rsidP="00492EB5">
      <w:pPr>
        <w:jc w:val="both"/>
        <w:rPr>
          <w:rFonts w:ascii="Century Gothic" w:hAnsi="Century Gothic" w:cs="Arial"/>
          <w:color w:val="808080"/>
        </w:rPr>
      </w:pPr>
    </w:p>
    <w:p w14:paraId="30967EB2" w14:textId="77777777" w:rsidR="00492EB5" w:rsidRPr="00E24AB9" w:rsidRDefault="00492EB5" w:rsidP="00492EB5">
      <w:pPr>
        <w:jc w:val="both"/>
        <w:rPr>
          <w:rFonts w:ascii="Century Gothic" w:hAnsi="Century Gothic" w:cs="Arial"/>
          <w:b/>
          <w:color w:val="808080"/>
        </w:rPr>
      </w:pPr>
      <w:r w:rsidRPr="00E24AB9">
        <w:rPr>
          <w:rFonts w:ascii="Century Gothic" w:hAnsi="Century Gothic" w:cs="Arial"/>
          <w:b/>
          <w:color w:val="808080"/>
        </w:rPr>
        <w:lastRenderedPageBreak/>
        <w:t xml:space="preserve">LEY DEL PRESUPUESTO GENERAL DE EGRESOS DEL ESTADO DE GUANAJUATO </w:t>
      </w:r>
      <w:r>
        <w:rPr>
          <w:rFonts w:ascii="Century Gothic" w:hAnsi="Century Gothic" w:cs="Arial"/>
          <w:b/>
          <w:color w:val="808080"/>
        </w:rPr>
        <w:t>PARA EL EJERCICIO FISCAL CORRESPONDIENTE</w:t>
      </w:r>
    </w:p>
    <w:p w14:paraId="1887332E"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TÍTULO QUINTO: Ejercicio y control presupuestal del gasto público</w:t>
      </w:r>
    </w:p>
    <w:p w14:paraId="15C32E40"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 xml:space="preserve">Capítulo Único: Ejercicio del gasto público. Artículo 48. </w:t>
      </w:r>
    </w:p>
    <w:p w14:paraId="7BD20C1D" w14:textId="77777777" w:rsidR="00492EB5" w:rsidRPr="00E24AB9" w:rsidRDefault="00492EB5" w:rsidP="00492EB5">
      <w:pPr>
        <w:jc w:val="both"/>
        <w:rPr>
          <w:rFonts w:ascii="Century Gothic" w:hAnsi="Century Gothic" w:cs="Arial"/>
          <w:b/>
          <w:color w:val="808080"/>
        </w:rPr>
      </w:pPr>
      <w:r w:rsidRPr="00E24AB9">
        <w:rPr>
          <w:rFonts w:ascii="Century Gothic" w:hAnsi="Century Gothic" w:cs="Arial"/>
          <w:b/>
          <w:color w:val="808080"/>
        </w:rPr>
        <w:t>LEY PARA EL EJERCICIO Y CONTROL DE LOS RECURSOS PÚBLICOS PARA EL ESTADO Y LOS MUNICIPIOS DE GUANAJUATO</w:t>
      </w:r>
    </w:p>
    <w:p w14:paraId="44279D96"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 xml:space="preserve">TÍTULO PRIMERO: Disposiciones Generales </w:t>
      </w:r>
    </w:p>
    <w:p w14:paraId="3ED55072"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 xml:space="preserve">Capítulo Único: De las Disposiciones Generales. Artículo 10. </w:t>
      </w:r>
    </w:p>
    <w:p w14:paraId="187BEDCC"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TÍTULO CUARTO: De la Programación, Ejercicio y Evaluación del Gasto Público</w:t>
      </w:r>
    </w:p>
    <w:p w14:paraId="655E706B"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(Modificado en su denominación. P.O. 27 de diciembre de 2013)</w:t>
      </w:r>
    </w:p>
    <w:p w14:paraId="730B9362" w14:textId="77777777" w:rsidR="00492EB5" w:rsidRDefault="00492EB5" w:rsidP="00492EB5">
      <w:pPr>
        <w:jc w:val="both"/>
        <w:rPr>
          <w:rFonts w:ascii="Century Gothic" w:hAnsi="Century Gothic" w:cs="Arial"/>
          <w:color w:val="808080"/>
        </w:rPr>
      </w:pPr>
      <w:r w:rsidRPr="00E24AB9">
        <w:rPr>
          <w:rFonts w:ascii="Century Gothic" w:hAnsi="Century Gothic" w:cs="Arial"/>
          <w:color w:val="808080"/>
        </w:rPr>
        <w:t xml:space="preserve">Capítulo Primero: De las Disposiciones Generales. Artículo 55. </w:t>
      </w:r>
    </w:p>
    <w:p w14:paraId="1E2200A1" w14:textId="77777777" w:rsidR="000E59E4" w:rsidRPr="007F2957" w:rsidRDefault="000E59E4" w:rsidP="000E59E4">
      <w:pPr>
        <w:jc w:val="both"/>
        <w:rPr>
          <w:rFonts w:ascii="Century Gothic" w:hAnsi="Century Gothic" w:cs="Arial"/>
          <w:b/>
          <w:color w:val="808080"/>
        </w:rPr>
      </w:pPr>
      <w:r w:rsidRPr="007F2957">
        <w:rPr>
          <w:rFonts w:ascii="Century Gothic" w:hAnsi="Century Gothic" w:cs="Arial"/>
          <w:b/>
          <w:color w:val="808080"/>
        </w:rPr>
        <w:t xml:space="preserve">LEY DEL TRABAJO </w:t>
      </w:r>
      <w:r w:rsidR="00ED06C8" w:rsidRPr="007F2957">
        <w:rPr>
          <w:rFonts w:ascii="Century Gothic" w:hAnsi="Century Gothic" w:cs="Arial"/>
          <w:b/>
          <w:color w:val="808080"/>
        </w:rPr>
        <w:t>DE LOS SERVIDO</w:t>
      </w:r>
      <w:r w:rsidRPr="007F2957">
        <w:rPr>
          <w:rFonts w:ascii="Century Gothic" w:hAnsi="Century Gothic" w:cs="Arial"/>
          <w:b/>
          <w:color w:val="808080"/>
        </w:rPr>
        <w:t>RES PUBLICOS AL SERVICIO DEL ESTADO Y LOS MUNICIPIOS DE GUANAJUATO Y DE LOS MUNICIPIOS.</w:t>
      </w:r>
    </w:p>
    <w:p w14:paraId="197ED4DE" w14:textId="77777777" w:rsidR="000E59E4" w:rsidRPr="00E24AB9" w:rsidRDefault="000E59E4" w:rsidP="000E59E4">
      <w:pPr>
        <w:jc w:val="both"/>
        <w:rPr>
          <w:rFonts w:ascii="Century Gothic" w:hAnsi="Century Gothic" w:cs="Arial"/>
          <w:b/>
          <w:color w:val="808080"/>
        </w:rPr>
      </w:pPr>
      <w:r w:rsidRPr="007F2957">
        <w:rPr>
          <w:rFonts w:ascii="Century Gothic" w:hAnsi="Century Gothic" w:cs="Arial"/>
          <w:b/>
          <w:color w:val="808080"/>
        </w:rPr>
        <w:t>CONDICIONES GENERALES DE TRABAJO PARA LAS DEPENDENCIAS, ENTIDADES Y UNIDADES DE APOYO DE LA ADMINISTRACIÓN PÚBLICA DEL ESTADO DE GUANAJUATO.</w:t>
      </w:r>
    </w:p>
    <w:p w14:paraId="31B8FADA" w14:textId="77777777" w:rsidR="00492EB5" w:rsidRPr="00E24AB9" w:rsidRDefault="00492EB5" w:rsidP="00492EB5">
      <w:pPr>
        <w:autoSpaceDE w:val="0"/>
        <w:autoSpaceDN w:val="0"/>
        <w:adjustRightInd w:val="0"/>
        <w:jc w:val="both"/>
        <w:rPr>
          <w:rFonts w:ascii="Century Gothic" w:hAnsi="Century Gothic" w:cs="Arial"/>
          <w:color w:val="808080"/>
        </w:rPr>
      </w:pPr>
    </w:p>
    <w:p w14:paraId="207C4B7F"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6E193D">
        <w:rPr>
          <w:rFonts w:ascii="Century Gothic" w:hAnsi="Century Gothic" w:cs="Arial"/>
          <w:b/>
        </w:rPr>
        <w:t>Alcance</w:t>
      </w:r>
      <w:r w:rsidRPr="002650C8">
        <w:rPr>
          <w:rFonts w:ascii="Century Gothic" w:hAnsi="Century Gothic" w:cs="Arial"/>
          <w:b/>
        </w:rPr>
        <w:t>, Difusión y revisión del Manual.</w:t>
      </w:r>
    </w:p>
    <w:p w14:paraId="5B6919DB" w14:textId="77777777" w:rsidR="00492EB5" w:rsidRPr="00E24AB9" w:rsidRDefault="00492EB5" w:rsidP="00492EB5">
      <w:pPr>
        <w:autoSpaceDE w:val="0"/>
        <w:autoSpaceDN w:val="0"/>
        <w:adjustRightInd w:val="0"/>
        <w:jc w:val="both"/>
        <w:rPr>
          <w:rFonts w:ascii="Century Gothic" w:hAnsi="Century Gothic" w:cs="Arial"/>
          <w:color w:val="808080"/>
        </w:rPr>
      </w:pPr>
    </w:p>
    <w:p w14:paraId="6A11D4C7" w14:textId="77777777" w:rsidR="00492EB5" w:rsidRPr="00E24AB9" w:rsidRDefault="00492EB5" w:rsidP="00492EB5">
      <w:pPr>
        <w:autoSpaceDE w:val="0"/>
        <w:autoSpaceDN w:val="0"/>
        <w:adjustRightInd w:val="0"/>
        <w:ind w:firstLine="1134"/>
        <w:jc w:val="both"/>
        <w:rPr>
          <w:rFonts w:ascii="Century Gothic" w:hAnsi="Century Gothic" w:cs="Arial"/>
          <w:color w:val="808080"/>
        </w:rPr>
      </w:pPr>
      <w:r w:rsidRPr="00E24AB9">
        <w:rPr>
          <w:rFonts w:ascii="Century Gothic" w:hAnsi="Century Gothic" w:cs="Arial"/>
          <w:color w:val="808080"/>
        </w:rPr>
        <w:t>El alcance de este Manual se circunscribe hacia todas las unidades administrativas que conforman la estructura Interna de la Coordinadora de Fomento al Comercio Exterior del Estado de Guanajuato y es aplicable a todos los servidores públicos adscritos a estas unidades administrativas.</w:t>
      </w:r>
    </w:p>
    <w:p w14:paraId="491CB78D" w14:textId="77777777" w:rsidR="00492EB5" w:rsidRPr="00E24AB9" w:rsidRDefault="00492EB5" w:rsidP="00492EB5">
      <w:pPr>
        <w:autoSpaceDE w:val="0"/>
        <w:autoSpaceDN w:val="0"/>
        <w:adjustRightInd w:val="0"/>
        <w:jc w:val="both"/>
        <w:rPr>
          <w:rFonts w:ascii="Century Gothic" w:hAnsi="Century Gothic" w:cs="Arial"/>
          <w:color w:val="808080"/>
        </w:rPr>
      </w:pPr>
    </w:p>
    <w:p w14:paraId="6DBA6D38" w14:textId="77777777" w:rsidR="00492EB5" w:rsidRPr="00E24AB9" w:rsidRDefault="00492EB5" w:rsidP="00492EB5">
      <w:pPr>
        <w:autoSpaceDE w:val="0"/>
        <w:autoSpaceDN w:val="0"/>
        <w:adjustRightInd w:val="0"/>
        <w:jc w:val="both"/>
        <w:rPr>
          <w:rFonts w:ascii="Century Gothic" w:hAnsi="Century Gothic" w:cs="Arial"/>
          <w:color w:val="808080"/>
        </w:rPr>
      </w:pPr>
      <w:r w:rsidRPr="00E24AB9">
        <w:rPr>
          <w:rFonts w:ascii="Century Gothic" w:hAnsi="Century Gothic" w:cs="Arial"/>
          <w:color w:val="808080"/>
        </w:rPr>
        <w:t>La implementación, difusión, capacitación y mantenimiento de este Manual, será  responsabilidad de la Dirección Financiera y de  Administración (DFA).</w:t>
      </w:r>
    </w:p>
    <w:p w14:paraId="37E04057" w14:textId="77777777" w:rsidR="00492EB5" w:rsidRPr="00E24AB9" w:rsidRDefault="00492EB5" w:rsidP="00492EB5">
      <w:pPr>
        <w:autoSpaceDE w:val="0"/>
        <w:autoSpaceDN w:val="0"/>
        <w:adjustRightInd w:val="0"/>
        <w:jc w:val="both"/>
        <w:rPr>
          <w:rFonts w:ascii="Century Gothic" w:hAnsi="Century Gothic" w:cs="Arial"/>
          <w:color w:val="808080"/>
        </w:rPr>
      </w:pPr>
      <w:r w:rsidRPr="00E24AB9">
        <w:rPr>
          <w:rFonts w:ascii="Century Gothic" w:hAnsi="Century Gothic" w:cs="Arial"/>
          <w:color w:val="808080"/>
        </w:rPr>
        <w:t xml:space="preserve">Este Manual podrá ser sujeto a </w:t>
      </w:r>
      <w:proofErr w:type="gramStart"/>
      <w:r w:rsidRPr="00E24AB9">
        <w:rPr>
          <w:rFonts w:ascii="Century Gothic" w:hAnsi="Century Gothic" w:cs="Arial"/>
          <w:color w:val="808080"/>
        </w:rPr>
        <w:t>revisión  al</w:t>
      </w:r>
      <w:proofErr w:type="gramEnd"/>
      <w:r w:rsidRPr="00E24AB9">
        <w:rPr>
          <w:rFonts w:ascii="Century Gothic" w:hAnsi="Century Gothic" w:cs="Arial"/>
          <w:color w:val="808080"/>
        </w:rPr>
        <w:t xml:space="preserve"> menos a una vez al año con el fin de su actualización y al mismo tiempo, para que permita la incursión de las nuevas reformas establecidas en los instrumentos normativos vigentes, garantizando la mejora continua, sin que para ello represente </w:t>
      </w:r>
      <w:proofErr w:type="gramStart"/>
      <w:r w:rsidRPr="00E24AB9">
        <w:rPr>
          <w:rFonts w:ascii="Century Gothic" w:hAnsi="Century Gothic" w:cs="Arial"/>
          <w:color w:val="808080"/>
        </w:rPr>
        <w:t>necesariamente  una</w:t>
      </w:r>
      <w:proofErr w:type="gramEnd"/>
      <w:r w:rsidRPr="00E24AB9">
        <w:rPr>
          <w:rFonts w:ascii="Century Gothic" w:hAnsi="Century Gothic" w:cs="Arial"/>
          <w:color w:val="808080"/>
        </w:rPr>
        <w:t xml:space="preserve"> emisión nueva de este documento.</w:t>
      </w:r>
    </w:p>
    <w:p w14:paraId="311111FD" w14:textId="77777777" w:rsidR="00492EB5" w:rsidRPr="00E24AB9" w:rsidRDefault="00492EB5" w:rsidP="00492EB5">
      <w:pPr>
        <w:autoSpaceDE w:val="0"/>
        <w:autoSpaceDN w:val="0"/>
        <w:adjustRightInd w:val="0"/>
        <w:jc w:val="both"/>
        <w:rPr>
          <w:rFonts w:ascii="Century Gothic" w:hAnsi="Century Gothic" w:cs="Arial"/>
          <w:color w:val="808080"/>
        </w:rPr>
      </w:pPr>
    </w:p>
    <w:p w14:paraId="76EBDC37"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Objetivos del Manual.</w:t>
      </w:r>
    </w:p>
    <w:p w14:paraId="516C2ADB" w14:textId="77777777" w:rsidR="00492EB5" w:rsidRPr="00E24AB9" w:rsidRDefault="00492EB5" w:rsidP="00492EB5">
      <w:pPr>
        <w:autoSpaceDE w:val="0"/>
        <w:autoSpaceDN w:val="0"/>
        <w:adjustRightInd w:val="0"/>
        <w:jc w:val="both"/>
        <w:rPr>
          <w:rFonts w:ascii="Century Gothic" w:hAnsi="Century Gothic" w:cs="Arial"/>
          <w:color w:val="808080"/>
        </w:rPr>
      </w:pPr>
    </w:p>
    <w:p w14:paraId="3DB4FD95" w14:textId="77777777" w:rsidR="00492EB5" w:rsidRPr="00E24AB9" w:rsidRDefault="00492EB5" w:rsidP="00492EB5">
      <w:pPr>
        <w:autoSpaceDE w:val="0"/>
        <w:autoSpaceDN w:val="0"/>
        <w:adjustRightInd w:val="0"/>
        <w:ind w:firstLine="1134"/>
        <w:jc w:val="both"/>
        <w:rPr>
          <w:rFonts w:ascii="Century Gothic" w:hAnsi="Century Gothic" w:cs="Arial"/>
          <w:color w:val="808080"/>
        </w:rPr>
      </w:pPr>
      <w:r w:rsidRPr="00E24AB9">
        <w:rPr>
          <w:rFonts w:ascii="Century Gothic" w:hAnsi="Century Gothic" w:cs="Arial"/>
          <w:color w:val="808080"/>
        </w:rPr>
        <w:t>El presente manual se emite con la finalidad de:</w:t>
      </w:r>
    </w:p>
    <w:p w14:paraId="637117CA" w14:textId="77777777" w:rsidR="00492EB5" w:rsidRPr="00E24AB9" w:rsidRDefault="00492EB5" w:rsidP="00492EB5">
      <w:pPr>
        <w:autoSpaceDE w:val="0"/>
        <w:autoSpaceDN w:val="0"/>
        <w:adjustRightInd w:val="0"/>
        <w:jc w:val="both"/>
        <w:rPr>
          <w:rFonts w:ascii="Century Gothic" w:hAnsi="Century Gothic" w:cs="Arial"/>
          <w:color w:val="808080"/>
        </w:rPr>
      </w:pPr>
    </w:p>
    <w:p w14:paraId="04AA9859" w14:textId="77777777" w:rsidR="00492EB5" w:rsidRPr="00E24AB9" w:rsidRDefault="00492EB5" w:rsidP="00A95ADF">
      <w:pPr>
        <w:numPr>
          <w:ilvl w:val="0"/>
          <w:numId w:val="19"/>
        </w:numPr>
        <w:spacing w:after="0" w:line="240" w:lineRule="auto"/>
        <w:jc w:val="both"/>
        <w:rPr>
          <w:rFonts w:ascii="Century Gothic" w:hAnsi="Century Gothic" w:cs="Arial"/>
          <w:color w:val="808080"/>
        </w:rPr>
      </w:pPr>
      <w:r w:rsidRPr="00E24AB9">
        <w:rPr>
          <w:rFonts w:ascii="Century Gothic" w:hAnsi="Century Gothic" w:cs="Arial"/>
          <w:color w:val="808080"/>
        </w:rPr>
        <w:t xml:space="preserve">Asegurar el correcto ejercicio y control de los recursos públicos y la confiabilidad e integridad de la información. </w:t>
      </w:r>
    </w:p>
    <w:p w14:paraId="1FA33A64" w14:textId="77777777" w:rsidR="00492EB5" w:rsidRPr="00E24AB9" w:rsidRDefault="00492EB5" w:rsidP="00A95ADF">
      <w:pPr>
        <w:numPr>
          <w:ilvl w:val="0"/>
          <w:numId w:val="19"/>
        </w:numPr>
        <w:spacing w:after="0" w:line="240" w:lineRule="auto"/>
        <w:jc w:val="both"/>
        <w:rPr>
          <w:rFonts w:ascii="Century Gothic" w:hAnsi="Century Gothic" w:cs="Arial"/>
          <w:color w:val="808080"/>
        </w:rPr>
      </w:pPr>
      <w:r w:rsidRPr="00E24AB9">
        <w:rPr>
          <w:rFonts w:ascii="Century Gothic" w:hAnsi="Century Gothic" w:cs="Arial"/>
          <w:color w:val="808080"/>
        </w:rPr>
        <w:t xml:space="preserve">Cumplir con las políticas, planes, procedimientos, leyes y regulaciones. </w:t>
      </w:r>
    </w:p>
    <w:p w14:paraId="5403E0AC" w14:textId="77777777" w:rsidR="00492EB5" w:rsidRPr="00E24AB9" w:rsidRDefault="00492EB5" w:rsidP="00A95ADF">
      <w:pPr>
        <w:numPr>
          <w:ilvl w:val="0"/>
          <w:numId w:val="19"/>
        </w:numPr>
        <w:spacing w:after="0" w:line="240" w:lineRule="auto"/>
        <w:jc w:val="both"/>
        <w:rPr>
          <w:rFonts w:ascii="Century Gothic" w:hAnsi="Century Gothic" w:cs="Arial"/>
          <w:color w:val="808080"/>
        </w:rPr>
      </w:pPr>
      <w:r w:rsidRPr="00E24AB9">
        <w:rPr>
          <w:rFonts w:ascii="Century Gothic" w:hAnsi="Century Gothic" w:cs="Arial"/>
          <w:color w:val="808080"/>
        </w:rPr>
        <w:t xml:space="preserve">La salvaguarda de los bienes. </w:t>
      </w:r>
    </w:p>
    <w:p w14:paraId="33CF183A" w14:textId="77777777" w:rsidR="00492EB5" w:rsidRPr="00E24AB9" w:rsidRDefault="00492EB5" w:rsidP="00A95ADF">
      <w:pPr>
        <w:numPr>
          <w:ilvl w:val="0"/>
          <w:numId w:val="19"/>
        </w:numPr>
        <w:spacing w:after="0" w:line="240" w:lineRule="auto"/>
        <w:jc w:val="both"/>
        <w:rPr>
          <w:rFonts w:ascii="Century Gothic" w:hAnsi="Century Gothic" w:cs="Arial"/>
          <w:color w:val="808080"/>
        </w:rPr>
      </w:pPr>
      <w:r w:rsidRPr="00E24AB9">
        <w:rPr>
          <w:rFonts w:ascii="Century Gothic" w:hAnsi="Century Gothic" w:cs="Arial"/>
          <w:color w:val="808080"/>
        </w:rPr>
        <w:t xml:space="preserve">Mantener el uso eficiente y eficaz de los recursos y el cumplimiento de objetivos establecidos y metas de operaciones y programas. </w:t>
      </w:r>
    </w:p>
    <w:p w14:paraId="2AE13892" w14:textId="77777777" w:rsidR="00492EB5" w:rsidRPr="00E24AB9" w:rsidRDefault="00492EB5" w:rsidP="00A95ADF">
      <w:pPr>
        <w:numPr>
          <w:ilvl w:val="0"/>
          <w:numId w:val="19"/>
        </w:numPr>
        <w:spacing w:after="0" w:line="240" w:lineRule="auto"/>
        <w:jc w:val="both"/>
        <w:rPr>
          <w:rFonts w:ascii="Century Gothic" w:hAnsi="Century Gothic" w:cs="Arial"/>
          <w:color w:val="808080"/>
        </w:rPr>
      </w:pPr>
      <w:r w:rsidRPr="00E24AB9">
        <w:rPr>
          <w:rFonts w:ascii="Century Gothic" w:hAnsi="Century Gothic" w:cs="Arial"/>
          <w:color w:val="808080"/>
        </w:rPr>
        <w:t>Garantizar Finanzas Públicas Sanas.</w:t>
      </w:r>
    </w:p>
    <w:p w14:paraId="1D44082A" w14:textId="77777777" w:rsidR="00492EB5" w:rsidRPr="00E24AB9" w:rsidRDefault="00492EB5" w:rsidP="00A95ADF">
      <w:pPr>
        <w:numPr>
          <w:ilvl w:val="0"/>
          <w:numId w:val="19"/>
        </w:numPr>
        <w:spacing w:after="0" w:line="240" w:lineRule="auto"/>
        <w:jc w:val="both"/>
        <w:rPr>
          <w:rFonts w:ascii="Century Gothic" w:hAnsi="Century Gothic" w:cs="Arial"/>
          <w:color w:val="808080"/>
        </w:rPr>
      </w:pPr>
      <w:r w:rsidRPr="00E24AB9">
        <w:rPr>
          <w:rFonts w:ascii="Century Gothic" w:hAnsi="Century Gothic" w:cs="Arial"/>
          <w:color w:val="808080"/>
        </w:rPr>
        <w:t>Establecer controles internos que eviten el dispendio de los recursos y atiendan a las disposiciones normativas aplicables en el ejercicio vigente.</w:t>
      </w:r>
    </w:p>
    <w:p w14:paraId="55FA05E7" w14:textId="77777777" w:rsidR="00492EB5" w:rsidRPr="00E24AB9" w:rsidRDefault="00492EB5" w:rsidP="00A95ADF">
      <w:pPr>
        <w:numPr>
          <w:ilvl w:val="0"/>
          <w:numId w:val="19"/>
        </w:numPr>
        <w:spacing w:after="0" w:line="240" w:lineRule="auto"/>
        <w:jc w:val="both"/>
        <w:rPr>
          <w:rFonts w:ascii="Century Gothic" w:hAnsi="Century Gothic" w:cs="Arial"/>
          <w:color w:val="808080"/>
        </w:rPr>
      </w:pPr>
      <w:r w:rsidRPr="00E24AB9">
        <w:rPr>
          <w:rFonts w:ascii="Century Gothic" w:hAnsi="Century Gothic" w:cs="Arial"/>
          <w:color w:val="808080"/>
        </w:rPr>
        <w:t>Contar con soporte técnico y normativo de las acciones realizadas.</w:t>
      </w:r>
    </w:p>
    <w:p w14:paraId="73C1562B" w14:textId="77777777" w:rsidR="00492EB5" w:rsidRPr="00E24AB9" w:rsidRDefault="00492EB5" w:rsidP="00A95ADF">
      <w:pPr>
        <w:numPr>
          <w:ilvl w:val="0"/>
          <w:numId w:val="19"/>
        </w:numPr>
        <w:spacing w:after="0" w:line="240" w:lineRule="auto"/>
        <w:jc w:val="both"/>
        <w:rPr>
          <w:rFonts w:ascii="Century Gothic" w:hAnsi="Century Gothic" w:cs="Arial"/>
          <w:color w:val="808080"/>
        </w:rPr>
      </w:pPr>
      <w:r w:rsidRPr="00E24AB9">
        <w:rPr>
          <w:rFonts w:ascii="Century Gothic" w:hAnsi="Century Gothic" w:cs="Arial"/>
          <w:color w:val="808080"/>
        </w:rPr>
        <w:t>Contar con una herramienta formal que respalde el grado de responsabilidad hacia la cual los Directores Generales y los responsables directos involucrados en la autorización, afectación o ejercicio de los recursos, conllevan en su actuar dentro del desarrollo de sus funciones.</w:t>
      </w:r>
    </w:p>
    <w:p w14:paraId="5B1394FF" w14:textId="77777777" w:rsidR="00492EB5" w:rsidRPr="00E24AB9" w:rsidRDefault="00492EB5" w:rsidP="00A95ADF">
      <w:pPr>
        <w:numPr>
          <w:ilvl w:val="0"/>
          <w:numId w:val="19"/>
        </w:numPr>
        <w:spacing w:after="0" w:line="240" w:lineRule="auto"/>
        <w:jc w:val="both"/>
        <w:rPr>
          <w:rFonts w:ascii="Century Gothic" w:hAnsi="Century Gothic" w:cs="Arial"/>
          <w:color w:val="808080"/>
        </w:rPr>
      </w:pPr>
      <w:r w:rsidRPr="00E24AB9">
        <w:rPr>
          <w:rFonts w:ascii="Century Gothic" w:hAnsi="Century Gothic" w:cs="Arial"/>
          <w:color w:val="808080"/>
        </w:rPr>
        <w:t>Respaldar al Manual de Organización y el resto de instrumentos vigentes de la entidad.</w:t>
      </w:r>
    </w:p>
    <w:p w14:paraId="1947F1B3" w14:textId="77777777" w:rsidR="00492EB5" w:rsidRPr="00E24AB9" w:rsidRDefault="00492EB5" w:rsidP="00A95ADF">
      <w:pPr>
        <w:numPr>
          <w:ilvl w:val="0"/>
          <w:numId w:val="19"/>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Contar con una plataforma que soporte y atienda al entorno sistémico que conlleva la implantación de un Sistema de Gestión de Calidad.</w:t>
      </w:r>
    </w:p>
    <w:p w14:paraId="78102B8D" w14:textId="77777777" w:rsidR="00492EB5" w:rsidRPr="00E24AB9" w:rsidRDefault="00492EB5" w:rsidP="00492EB5">
      <w:pPr>
        <w:jc w:val="both"/>
        <w:rPr>
          <w:rFonts w:ascii="Century Gothic" w:hAnsi="Century Gothic" w:cs="Arial"/>
          <w:color w:val="808080"/>
        </w:rPr>
      </w:pPr>
    </w:p>
    <w:p w14:paraId="1F63C406" w14:textId="77777777" w:rsidR="00492EB5" w:rsidRPr="006E193D" w:rsidRDefault="00492EB5" w:rsidP="00492EB5">
      <w:pPr>
        <w:jc w:val="both"/>
        <w:rPr>
          <w:rFonts w:ascii="Century Gothic" w:hAnsi="Century Gothic" w:cs="Arial"/>
          <w:b/>
        </w:rPr>
      </w:pPr>
      <w:r w:rsidRPr="006E193D">
        <w:rPr>
          <w:rFonts w:ascii="Century Gothic" w:hAnsi="Century Gothic" w:cs="Arial"/>
          <w:b/>
        </w:rPr>
        <w:t>Capítulo II: Contenido.</w:t>
      </w:r>
    </w:p>
    <w:p w14:paraId="5163E123" w14:textId="77777777" w:rsidR="00492EB5" w:rsidRPr="006E193D" w:rsidRDefault="00492EB5" w:rsidP="00492EB5">
      <w:pPr>
        <w:jc w:val="both"/>
        <w:rPr>
          <w:rFonts w:ascii="Century Gothic" w:hAnsi="Century Gothic" w:cs="Arial"/>
          <w:b/>
          <w:color w:val="000000"/>
        </w:rPr>
      </w:pPr>
      <w:r w:rsidRPr="006E193D">
        <w:rPr>
          <w:rFonts w:ascii="Century Gothic" w:hAnsi="Century Gothic" w:cs="Arial"/>
          <w:b/>
          <w:color w:val="000000"/>
        </w:rPr>
        <w:t>Sección A</w:t>
      </w:r>
    </w:p>
    <w:p w14:paraId="7FC0D613" w14:textId="77777777" w:rsidR="00492EB5" w:rsidRDefault="00492EB5" w:rsidP="00492EB5">
      <w:pPr>
        <w:pStyle w:val="Prrafodelista"/>
        <w:autoSpaceDE w:val="0"/>
        <w:autoSpaceDN w:val="0"/>
        <w:adjustRightInd w:val="0"/>
        <w:ind w:left="0"/>
        <w:jc w:val="both"/>
        <w:rPr>
          <w:rFonts w:ascii="Century Gothic" w:hAnsi="Century Gothic" w:cs="Arial"/>
          <w:b/>
          <w:color w:val="000000"/>
        </w:rPr>
      </w:pPr>
      <w:r w:rsidRPr="006E193D">
        <w:rPr>
          <w:rFonts w:ascii="Century Gothic" w:hAnsi="Century Gothic" w:cs="Arial"/>
          <w:b/>
        </w:rPr>
        <w:t>Políticas</w:t>
      </w:r>
      <w:r w:rsidRPr="006E193D">
        <w:rPr>
          <w:rFonts w:ascii="Century Gothic" w:hAnsi="Century Gothic" w:cs="Arial"/>
          <w:b/>
          <w:color w:val="000000"/>
        </w:rPr>
        <w:t xml:space="preserve"> para Administrar los Recursos Financieros y Presupuestales</w:t>
      </w:r>
    </w:p>
    <w:p w14:paraId="23E1995B" w14:textId="77777777" w:rsidR="00492EB5" w:rsidRPr="006E193D" w:rsidRDefault="00492EB5" w:rsidP="00492EB5">
      <w:pPr>
        <w:pStyle w:val="Prrafodelista"/>
        <w:autoSpaceDE w:val="0"/>
        <w:autoSpaceDN w:val="0"/>
        <w:adjustRightInd w:val="0"/>
        <w:ind w:left="0"/>
        <w:jc w:val="both"/>
        <w:rPr>
          <w:rFonts w:ascii="Century Gothic" w:hAnsi="Century Gothic" w:cs="Arial"/>
          <w:b/>
          <w:color w:val="000000"/>
        </w:rPr>
      </w:pPr>
    </w:p>
    <w:p w14:paraId="20C4F4AE" w14:textId="77777777" w:rsidR="00492EB5"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1.- Control de Fondos Fijos Revolventes</w:t>
      </w:r>
      <w:r>
        <w:rPr>
          <w:rFonts w:ascii="Century Gothic" w:hAnsi="Century Gothic" w:cs="Arial"/>
          <w:b/>
        </w:rPr>
        <w:t xml:space="preserve"> / Caja Chica</w:t>
      </w:r>
      <w:r w:rsidRPr="002650C8">
        <w:rPr>
          <w:rFonts w:ascii="Century Gothic" w:hAnsi="Century Gothic" w:cs="Arial"/>
          <w:b/>
        </w:rPr>
        <w:t>.</w:t>
      </w:r>
    </w:p>
    <w:p w14:paraId="3EEB68AA" w14:textId="77777777" w:rsidR="00492EB5" w:rsidRPr="00E24AB9" w:rsidRDefault="00492EB5" w:rsidP="00492EB5">
      <w:pPr>
        <w:autoSpaceDE w:val="0"/>
        <w:autoSpaceDN w:val="0"/>
        <w:adjustRightInd w:val="0"/>
        <w:jc w:val="both"/>
        <w:rPr>
          <w:rFonts w:ascii="Century Gothic" w:hAnsi="Century Gothic"/>
          <w:color w:val="808080"/>
        </w:rPr>
      </w:pPr>
    </w:p>
    <w:p w14:paraId="681B1719" w14:textId="77777777" w:rsidR="00492EB5" w:rsidRDefault="00492EB5" w:rsidP="00A95ADF">
      <w:pPr>
        <w:numPr>
          <w:ilvl w:val="0"/>
          <w:numId w:val="9"/>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Los conceptos que pueden ser cubiertos con recursos del fondo corresponden a los compromisos de carácter urgente o de poca cuantía, derivados del ejercicio de sus funciones, programas y presupuestos autorizados, a excepción de l</w:t>
      </w:r>
      <w:r w:rsidR="006C18AA">
        <w:rPr>
          <w:rFonts w:ascii="Century Gothic" w:hAnsi="Century Gothic" w:cs="Arial"/>
          <w:color w:val="808080"/>
        </w:rPr>
        <w:t>os restringidos en</w:t>
      </w:r>
      <w:r w:rsidRPr="00E24AB9">
        <w:rPr>
          <w:rFonts w:ascii="Century Gothic" w:hAnsi="Century Gothic" w:cs="Arial"/>
          <w:color w:val="808080"/>
        </w:rPr>
        <w:t xml:space="preserve"> los lineamientos de austeridad, racionalidad y disciplina presupuestal, y deberá observar lo siguiente:</w:t>
      </w:r>
    </w:p>
    <w:p w14:paraId="72521603" w14:textId="77777777" w:rsidR="00492EB5" w:rsidRPr="00E24AB9" w:rsidRDefault="00492EB5" w:rsidP="00492EB5">
      <w:pPr>
        <w:jc w:val="both"/>
        <w:rPr>
          <w:rFonts w:ascii="Century Gothic" w:hAnsi="Century Gothic" w:cs="Arial"/>
          <w:color w:val="808080"/>
        </w:rPr>
      </w:pPr>
    </w:p>
    <w:p w14:paraId="52235B90" w14:textId="77777777" w:rsidR="00492EB5" w:rsidRDefault="00492EB5" w:rsidP="00A95ADF">
      <w:pPr>
        <w:pStyle w:val="Prrafodelista"/>
        <w:numPr>
          <w:ilvl w:val="0"/>
          <w:numId w:val="22"/>
        </w:numPr>
        <w:autoSpaceDE w:val="0"/>
        <w:autoSpaceDN w:val="0"/>
        <w:adjustRightInd w:val="0"/>
        <w:spacing w:after="0" w:line="240" w:lineRule="auto"/>
        <w:jc w:val="both"/>
        <w:rPr>
          <w:rFonts w:ascii="Century Gothic" w:hAnsi="Century Gothic"/>
          <w:color w:val="808080"/>
        </w:rPr>
      </w:pPr>
      <w:r w:rsidRPr="00E24AB9">
        <w:rPr>
          <w:rFonts w:ascii="Century Gothic" w:hAnsi="Century Gothic"/>
          <w:color w:val="808080"/>
        </w:rPr>
        <w:t>Las erogaciones deberán ajustarse al presupuesto autorizado.</w:t>
      </w:r>
    </w:p>
    <w:p w14:paraId="317C8180" w14:textId="77777777" w:rsidR="00492EB5" w:rsidRPr="00E24AB9" w:rsidRDefault="00492EB5" w:rsidP="00492EB5">
      <w:pPr>
        <w:pStyle w:val="Prrafodelista"/>
        <w:autoSpaceDE w:val="0"/>
        <w:autoSpaceDN w:val="0"/>
        <w:adjustRightInd w:val="0"/>
        <w:ind w:left="1066"/>
        <w:jc w:val="both"/>
        <w:rPr>
          <w:rFonts w:ascii="Century Gothic" w:hAnsi="Century Gothic"/>
          <w:color w:val="808080"/>
        </w:rPr>
      </w:pPr>
    </w:p>
    <w:p w14:paraId="1080CB58" w14:textId="77777777" w:rsidR="00492EB5" w:rsidRDefault="00492EB5" w:rsidP="00A95ADF">
      <w:pPr>
        <w:pStyle w:val="Prrafodelista"/>
        <w:numPr>
          <w:ilvl w:val="0"/>
          <w:numId w:val="22"/>
        </w:numPr>
        <w:autoSpaceDE w:val="0"/>
        <w:autoSpaceDN w:val="0"/>
        <w:adjustRightInd w:val="0"/>
        <w:spacing w:after="0" w:line="240" w:lineRule="auto"/>
        <w:jc w:val="both"/>
        <w:rPr>
          <w:rFonts w:ascii="Century Gothic" w:hAnsi="Century Gothic"/>
          <w:color w:val="808080"/>
        </w:rPr>
      </w:pPr>
      <w:r w:rsidRPr="00E24AB9">
        <w:rPr>
          <w:rFonts w:ascii="Century Gothic" w:hAnsi="Century Gothic"/>
          <w:color w:val="808080"/>
        </w:rPr>
        <w:t>Los comprobantes deberán ser rubricados por la persona que realizó la erogación y deberá estar autorizada por el Titular de la unidad Responsable o de quien autorice ésta.</w:t>
      </w:r>
    </w:p>
    <w:p w14:paraId="38059927" w14:textId="77777777" w:rsidR="00492EB5" w:rsidRPr="00E24AB9" w:rsidRDefault="00492EB5" w:rsidP="00492EB5">
      <w:pPr>
        <w:pStyle w:val="Prrafodelista"/>
        <w:autoSpaceDE w:val="0"/>
        <w:autoSpaceDN w:val="0"/>
        <w:adjustRightInd w:val="0"/>
        <w:ind w:left="0"/>
        <w:jc w:val="both"/>
        <w:rPr>
          <w:rFonts w:ascii="Century Gothic" w:hAnsi="Century Gothic"/>
          <w:color w:val="808080"/>
        </w:rPr>
      </w:pPr>
    </w:p>
    <w:p w14:paraId="49D1511F" w14:textId="77777777" w:rsidR="00492EB5" w:rsidRDefault="00492EB5" w:rsidP="00A95ADF">
      <w:pPr>
        <w:pStyle w:val="Prrafodelista"/>
        <w:numPr>
          <w:ilvl w:val="0"/>
          <w:numId w:val="22"/>
        </w:numPr>
        <w:autoSpaceDE w:val="0"/>
        <w:autoSpaceDN w:val="0"/>
        <w:adjustRightInd w:val="0"/>
        <w:spacing w:after="0" w:line="240" w:lineRule="auto"/>
        <w:jc w:val="both"/>
        <w:rPr>
          <w:rFonts w:ascii="Century Gothic" w:hAnsi="Century Gothic"/>
          <w:color w:val="808080"/>
        </w:rPr>
      </w:pPr>
      <w:r w:rsidRPr="00E24AB9">
        <w:rPr>
          <w:rFonts w:ascii="Century Gothic" w:hAnsi="Century Gothic"/>
          <w:color w:val="808080"/>
        </w:rPr>
        <w:t>El comprobante deberá estar debidamente justificado.</w:t>
      </w:r>
    </w:p>
    <w:p w14:paraId="7E21F7F0" w14:textId="77777777" w:rsidR="00492EB5" w:rsidRPr="00E24AB9" w:rsidRDefault="00492EB5" w:rsidP="00492EB5">
      <w:pPr>
        <w:pStyle w:val="Prrafodelista"/>
        <w:autoSpaceDE w:val="0"/>
        <w:autoSpaceDN w:val="0"/>
        <w:adjustRightInd w:val="0"/>
        <w:ind w:left="0"/>
        <w:jc w:val="both"/>
        <w:rPr>
          <w:rFonts w:ascii="Century Gothic" w:hAnsi="Century Gothic"/>
          <w:color w:val="808080"/>
        </w:rPr>
      </w:pPr>
    </w:p>
    <w:p w14:paraId="78319EAE" w14:textId="77777777" w:rsidR="00492EB5" w:rsidRDefault="00492EB5" w:rsidP="00A95ADF">
      <w:pPr>
        <w:pStyle w:val="Prrafodelista"/>
        <w:numPr>
          <w:ilvl w:val="0"/>
          <w:numId w:val="22"/>
        </w:numPr>
        <w:autoSpaceDE w:val="0"/>
        <w:autoSpaceDN w:val="0"/>
        <w:adjustRightInd w:val="0"/>
        <w:spacing w:after="0" w:line="240" w:lineRule="auto"/>
        <w:jc w:val="both"/>
        <w:rPr>
          <w:rFonts w:ascii="Century Gothic" w:hAnsi="Century Gothic"/>
          <w:color w:val="808080"/>
        </w:rPr>
      </w:pPr>
      <w:r w:rsidRPr="00E24AB9">
        <w:rPr>
          <w:rFonts w:ascii="Century Gothic" w:hAnsi="Century Gothic"/>
          <w:color w:val="808080"/>
        </w:rPr>
        <w:t>Cumplir con los requisitos fiscales establecidos en el artículo 29-A del CFF.</w:t>
      </w:r>
    </w:p>
    <w:p w14:paraId="22A17A04" w14:textId="77777777" w:rsidR="00492EB5" w:rsidRPr="00E24AB9" w:rsidRDefault="00492EB5" w:rsidP="00492EB5">
      <w:pPr>
        <w:pStyle w:val="Prrafodelista"/>
        <w:autoSpaceDE w:val="0"/>
        <w:autoSpaceDN w:val="0"/>
        <w:adjustRightInd w:val="0"/>
        <w:ind w:left="0"/>
        <w:jc w:val="both"/>
        <w:rPr>
          <w:rFonts w:ascii="Century Gothic" w:hAnsi="Century Gothic"/>
          <w:color w:val="808080"/>
        </w:rPr>
      </w:pPr>
    </w:p>
    <w:p w14:paraId="27D2A839" w14:textId="77777777" w:rsidR="00492EB5" w:rsidRDefault="00492EB5" w:rsidP="00A95ADF">
      <w:pPr>
        <w:pStyle w:val="Prrafodelista"/>
        <w:numPr>
          <w:ilvl w:val="0"/>
          <w:numId w:val="22"/>
        </w:numPr>
        <w:autoSpaceDE w:val="0"/>
        <w:autoSpaceDN w:val="0"/>
        <w:adjustRightInd w:val="0"/>
        <w:spacing w:after="0" w:line="240" w:lineRule="auto"/>
        <w:jc w:val="both"/>
        <w:rPr>
          <w:rFonts w:ascii="Century Gothic" w:hAnsi="Century Gothic"/>
          <w:color w:val="808080"/>
        </w:rPr>
      </w:pPr>
      <w:r w:rsidRPr="00E24AB9">
        <w:rPr>
          <w:rFonts w:ascii="Century Gothic" w:hAnsi="Century Gothic"/>
          <w:color w:val="808080"/>
        </w:rPr>
        <w:t>Para el caso de gastos de representación, se deberá adjuntar el formato correspondiente debidamente rubricado por quien realizó la erogación, así como por el Titular de la unidad Responsable o de quien autorice ésta.</w:t>
      </w:r>
    </w:p>
    <w:p w14:paraId="578C5218" w14:textId="77777777" w:rsidR="00492EB5" w:rsidRPr="00E24AB9" w:rsidRDefault="00492EB5" w:rsidP="00492EB5">
      <w:pPr>
        <w:pStyle w:val="Prrafodelista"/>
        <w:autoSpaceDE w:val="0"/>
        <w:autoSpaceDN w:val="0"/>
        <w:adjustRightInd w:val="0"/>
        <w:ind w:left="0"/>
        <w:jc w:val="both"/>
        <w:rPr>
          <w:rFonts w:ascii="Century Gothic" w:hAnsi="Century Gothic"/>
          <w:color w:val="808080"/>
        </w:rPr>
      </w:pPr>
    </w:p>
    <w:p w14:paraId="3D36562F" w14:textId="77777777" w:rsidR="00492EB5" w:rsidRDefault="00492EB5" w:rsidP="00A95ADF">
      <w:pPr>
        <w:pStyle w:val="Prrafodelista"/>
        <w:numPr>
          <w:ilvl w:val="0"/>
          <w:numId w:val="22"/>
        </w:numPr>
        <w:autoSpaceDE w:val="0"/>
        <w:autoSpaceDN w:val="0"/>
        <w:adjustRightInd w:val="0"/>
        <w:spacing w:after="0" w:line="240" w:lineRule="auto"/>
        <w:jc w:val="both"/>
        <w:rPr>
          <w:rFonts w:ascii="Century Gothic" w:hAnsi="Century Gothic"/>
          <w:color w:val="808080"/>
        </w:rPr>
      </w:pPr>
      <w:r w:rsidRPr="00E24AB9">
        <w:rPr>
          <w:rFonts w:ascii="Century Gothic" w:hAnsi="Century Gothic"/>
          <w:color w:val="808080"/>
        </w:rPr>
        <w:lastRenderedPageBreak/>
        <w:t>Previo al reembolso o comprobación a que haya lugar, se deberá enviar a la Dirección administrativa los archivos electrónicos de los comprobantes correspondientes.</w:t>
      </w:r>
    </w:p>
    <w:p w14:paraId="68951F64" w14:textId="77777777" w:rsidR="00492EB5" w:rsidRDefault="00492EB5" w:rsidP="00492EB5">
      <w:pPr>
        <w:pStyle w:val="Prrafodelista"/>
        <w:rPr>
          <w:rFonts w:ascii="Century Gothic" w:hAnsi="Century Gothic"/>
          <w:color w:val="808080"/>
        </w:rPr>
      </w:pPr>
    </w:p>
    <w:p w14:paraId="3BE222C2" w14:textId="77777777" w:rsidR="00492EB5" w:rsidRPr="00E24AB9" w:rsidRDefault="00492EB5" w:rsidP="00492EB5">
      <w:pPr>
        <w:pStyle w:val="Prrafodelista"/>
        <w:autoSpaceDE w:val="0"/>
        <w:autoSpaceDN w:val="0"/>
        <w:adjustRightInd w:val="0"/>
        <w:ind w:left="1066"/>
        <w:jc w:val="both"/>
        <w:rPr>
          <w:rFonts w:ascii="Century Gothic" w:hAnsi="Century Gothic"/>
          <w:color w:val="808080"/>
        </w:rPr>
      </w:pPr>
    </w:p>
    <w:p w14:paraId="6D5C47BD" w14:textId="77777777" w:rsidR="00492EB5"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2.- Pago a Proveedores.</w:t>
      </w:r>
    </w:p>
    <w:p w14:paraId="083900A5"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p>
    <w:p w14:paraId="0DDA6B79" w14:textId="77777777" w:rsidR="00492EB5" w:rsidRDefault="00492EB5" w:rsidP="00A95ADF">
      <w:pPr>
        <w:numPr>
          <w:ilvl w:val="0"/>
          <w:numId w:val="10"/>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Cualquier gasto que se pretenda ejercer, deberá estar ampliamente fundado y motivado, además de contar con suficiencia presupuestal.</w:t>
      </w:r>
    </w:p>
    <w:p w14:paraId="0F59B6E9" w14:textId="77777777" w:rsidR="00492EB5" w:rsidRPr="00E24AB9" w:rsidRDefault="00492EB5" w:rsidP="00492EB5">
      <w:pPr>
        <w:ind w:left="709"/>
        <w:jc w:val="both"/>
        <w:rPr>
          <w:rFonts w:ascii="Century Gothic" w:hAnsi="Century Gothic" w:cs="Arial"/>
          <w:color w:val="808080"/>
        </w:rPr>
      </w:pPr>
    </w:p>
    <w:p w14:paraId="7FCAB3BA" w14:textId="77777777" w:rsidR="00492EB5" w:rsidRPr="00AE6B7A" w:rsidRDefault="00492EB5" w:rsidP="00A95ADF">
      <w:pPr>
        <w:numPr>
          <w:ilvl w:val="0"/>
          <w:numId w:val="10"/>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Toda solicitud de pago deberá acompañarse del FUC correspondiente y los comprobantes que cumplan con los requisitos fiscales, debiendo enviar a la DFA los archivos electrónicos de las facturas sujetas a pago. Dichos comprobantes </w:t>
      </w:r>
      <w:r w:rsidRPr="00E24AB9">
        <w:rPr>
          <w:rFonts w:ascii="Century Gothic" w:hAnsi="Century Gothic"/>
          <w:color w:val="808080"/>
        </w:rPr>
        <w:t>deberán estar rubricados y justificados por quien realizó la erogación, así como por el Titular de la unidad Responsable o de quien autorice ésta.</w:t>
      </w:r>
    </w:p>
    <w:p w14:paraId="1E5DD16C" w14:textId="77777777" w:rsidR="00492EB5" w:rsidRPr="00AE6B7A" w:rsidRDefault="00492EB5" w:rsidP="00492EB5">
      <w:pPr>
        <w:jc w:val="both"/>
        <w:rPr>
          <w:rFonts w:ascii="Century Gothic" w:hAnsi="Century Gothic" w:cs="Arial"/>
          <w:color w:val="808080"/>
        </w:rPr>
      </w:pPr>
    </w:p>
    <w:p w14:paraId="1037D09D" w14:textId="77777777" w:rsidR="00492EB5" w:rsidRDefault="00492EB5" w:rsidP="00A95ADF">
      <w:pPr>
        <w:numPr>
          <w:ilvl w:val="0"/>
          <w:numId w:val="10"/>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Todos los anticipos que sean otorgados a proveedores que celebren contratos por la prestación de algún servicio, deberán entregar al organismo cheque certificado por el importe total de dicho anticipo y deberá ser emitido por el prestador del servicio a fin de garantizar dicho monto.</w:t>
      </w:r>
    </w:p>
    <w:p w14:paraId="484AC93D" w14:textId="77777777" w:rsidR="00492EB5" w:rsidRPr="00E24AB9" w:rsidRDefault="00492EB5" w:rsidP="00492EB5">
      <w:pPr>
        <w:jc w:val="both"/>
        <w:rPr>
          <w:rFonts w:ascii="Century Gothic" w:hAnsi="Century Gothic" w:cs="Arial"/>
          <w:color w:val="808080"/>
        </w:rPr>
      </w:pPr>
    </w:p>
    <w:p w14:paraId="7816F775" w14:textId="77777777" w:rsidR="00492EB5" w:rsidRDefault="00492EB5" w:rsidP="00492EB5">
      <w:pPr>
        <w:ind w:left="709"/>
        <w:jc w:val="both"/>
        <w:rPr>
          <w:rFonts w:ascii="Century Gothic" w:hAnsi="Century Gothic" w:cs="Arial"/>
          <w:color w:val="808080"/>
          <w:sz w:val="20"/>
        </w:rPr>
      </w:pPr>
      <w:r w:rsidRPr="00E24AB9">
        <w:rPr>
          <w:rFonts w:ascii="Century Gothic" w:hAnsi="Century Gothic" w:cs="Arial"/>
          <w:color w:val="808080"/>
          <w:sz w:val="20"/>
        </w:rPr>
        <w:t xml:space="preserve">SALVEDAD: En pagos por concepto de servicios contratados para la realización de algún evento en los que se pague anticipadamente a fin de que COFOCE obtenga algún beneficio (ferias, giras y exposiciones, etc.). </w:t>
      </w:r>
    </w:p>
    <w:p w14:paraId="24203C97" w14:textId="77777777" w:rsidR="00492EB5" w:rsidRPr="00E24AB9" w:rsidRDefault="00492EB5" w:rsidP="00492EB5">
      <w:pPr>
        <w:ind w:left="709"/>
        <w:jc w:val="both"/>
        <w:rPr>
          <w:rFonts w:ascii="Century Gothic" w:hAnsi="Century Gothic" w:cs="Arial"/>
          <w:color w:val="808080"/>
          <w:sz w:val="20"/>
        </w:rPr>
      </w:pPr>
    </w:p>
    <w:p w14:paraId="03C134B7" w14:textId="77777777" w:rsidR="00492EB5" w:rsidRDefault="00492EB5" w:rsidP="00A95ADF">
      <w:pPr>
        <w:numPr>
          <w:ilvl w:val="0"/>
          <w:numId w:val="10"/>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Toda solicitud de pago de bienes y servicios (no aplica a Servicios Básicos y Generales de Operación) deberá preferentemente contar con el Formato de Carta Satisfacción.</w:t>
      </w:r>
    </w:p>
    <w:p w14:paraId="26100B60" w14:textId="77777777" w:rsidR="00492EB5" w:rsidRPr="00E24AB9" w:rsidRDefault="00492EB5" w:rsidP="00492EB5">
      <w:pPr>
        <w:ind w:left="709"/>
        <w:jc w:val="both"/>
        <w:rPr>
          <w:rFonts w:ascii="Century Gothic" w:hAnsi="Century Gothic" w:cs="Arial"/>
          <w:color w:val="808080"/>
        </w:rPr>
      </w:pPr>
    </w:p>
    <w:p w14:paraId="509132DF" w14:textId="77777777" w:rsidR="00492EB5" w:rsidRDefault="00492EB5" w:rsidP="00A95ADF">
      <w:pPr>
        <w:numPr>
          <w:ilvl w:val="0"/>
          <w:numId w:val="10"/>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Adjuntar el contrato con el prestador previamente  firmado o convenio según sea el caso,  para aquellos casos en los que sea requerido y necesario.</w:t>
      </w:r>
    </w:p>
    <w:p w14:paraId="1D06BB76" w14:textId="77777777" w:rsidR="00492EB5" w:rsidRPr="00617541" w:rsidRDefault="00492EB5" w:rsidP="00A95ADF">
      <w:pPr>
        <w:numPr>
          <w:ilvl w:val="0"/>
          <w:numId w:val="10"/>
        </w:numPr>
        <w:spacing w:after="0" w:line="240" w:lineRule="auto"/>
        <w:ind w:left="709" w:hanging="349"/>
        <w:jc w:val="both"/>
        <w:rPr>
          <w:rFonts w:ascii="Century Gothic" w:hAnsi="Century Gothic" w:cs="Arial"/>
          <w:color w:val="808080"/>
        </w:rPr>
      </w:pPr>
      <w:r w:rsidRPr="00617541">
        <w:rPr>
          <w:rFonts w:ascii="Century Gothic" w:hAnsi="Century Gothic" w:cs="Arial"/>
          <w:color w:val="808080"/>
        </w:rPr>
        <w:lastRenderedPageBreak/>
        <w:t>El horario de recepción de documentos será de 9:00 a 14:00 Hrs.</w:t>
      </w:r>
    </w:p>
    <w:p w14:paraId="26526653" w14:textId="77777777" w:rsidR="00492EB5" w:rsidRPr="00E24AB9" w:rsidRDefault="00492EB5" w:rsidP="00492EB5">
      <w:pPr>
        <w:jc w:val="both"/>
        <w:rPr>
          <w:rFonts w:ascii="Century Gothic" w:hAnsi="Century Gothic" w:cs="Arial"/>
          <w:color w:val="808080"/>
        </w:rPr>
      </w:pPr>
    </w:p>
    <w:p w14:paraId="422C4A6E" w14:textId="77777777" w:rsidR="00492EB5" w:rsidRDefault="00492EB5" w:rsidP="00A95ADF">
      <w:pPr>
        <w:numPr>
          <w:ilvl w:val="0"/>
          <w:numId w:val="10"/>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Todo requerimiento de pago deberá ingresarse de preferencia con al menos 3 días hábiles anteriores a la fecha en la que se ejecutará el gasto, debiendo cumplir con todos los requisitos para su erogación.</w:t>
      </w:r>
    </w:p>
    <w:p w14:paraId="3830345B" w14:textId="77777777" w:rsidR="00492EB5" w:rsidRDefault="00492EB5" w:rsidP="00492EB5">
      <w:pPr>
        <w:pStyle w:val="Prrafodelista"/>
        <w:rPr>
          <w:rFonts w:ascii="Century Gothic" w:hAnsi="Century Gothic" w:cs="Arial"/>
          <w:color w:val="808080"/>
        </w:rPr>
      </w:pPr>
    </w:p>
    <w:p w14:paraId="2C554B18" w14:textId="77777777" w:rsidR="00492EB5" w:rsidRPr="00617541" w:rsidRDefault="00492EB5" w:rsidP="00A95ADF">
      <w:pPr>
        <w:numPr>
          <w:ilvl w:val="0"/>
          <w:numId w:val="10"/>
        </w:numPr>
        <w:spacing w:after="0" w:line="240" w:lineRule="auto"/>
        <w:ind w:left="709" w:hanging="349"/>
        <w:jc w:val="both"/>
        <w:rPr>
          <w:rFonts w:ascii="Century Gothic" w:hAnsi="Century Gothic" w:cs="Arial"/>
          <w:color w:val="808080"/>
        </w:rPr>
      </w:pPr>
      <w:r w:rsidRPr="00617541">
        <w:rPr>
          <w:rFonts w:ascii="Century Gothic" w:hAnsi="Century Gothic" w:cs="Arial"/>
          <w:color w:val="808080"/>
        </w:rPr>
        <w:t xml:space="preserve">Todos los proveedores de bienes y/o servicios que se contraten deberán estar inscritos y vigentes sus registros en el Padrón de Proveedores de la Administración Pública Estatal, por lo que preferentemente será necesario indicar el número de proveedor en las facturas físicas anexas al trámite de pago correspondiente. Quedan exceptuados aquellos pagos por la contratación de bienes y servicios señalados en el artículo 7 de la Ley de Contrataciones Públicas para el Estado de Guanajuato, </w:t>
      </w:r>
      <w:r>
        <w:rPr>
          <w:rFonts w:ascii="Century Gothic" w:hAnsi="Century Gothic" w:cs="Arial"/>
          <w:color w:val="808080"/>
        </w:rPr>
        <w:t>así como</w:t>
      </w:r>
      <w:r w:rsidRPr="00617541">
        <w:rPr>
          <w:rFonts w:ascii="Century Gothic" w:hAnsi="Century Gothic" w:cs="Arial"/>
          <w:color w:val="808080"/>
        </w:rPr>
        <w:t xml:space="preserve"> en </w:t>
      </w:r>
      <w:r>
        <w:rPr>
          <w:rFonts w:ascii="Century Gothic" w:hAnsi="Century Gothic" w:cs="Arial"/>
          <w:color w:val="808080"/>
        </w:rPr>
        <w:t xml:space="preserve">las </w:t>
      </w:r>
      <w:r w:rsidRPr="00617541">
        <w:rPr>
          <w:rFonts w:ascii="Century Gothic" w:hAnsi="Century Gothic" w:cs="Arial"/>
          <w:color w:val="808080"/>
        </w:rPr>
        <w:t xml:space="preserve">contrataciones con recursos del fondo revolvente (caja chica). </w:t>
      </w:r>
    </w:p>
    <w:p w14:paraId="5F2EAEDC" w14:textId="77777777" w:rsidR="00492EB5" w:rsidRDefault="00492EB5" w:rsidP="00492EB5">
      <w:pPr>
        <w:ind w:left="709"/>
        <w:jc w:val="both"/>
        <w:rPr>
          <w:rFonts w:ascii="Century Gothic" w:hAnsi="Century Gothic" w:cs="Arial"/>
          <w:color w:val="808080"/>
        </w:rPr>
      </w:pPr>
    </w:p>
    <w:p w14:paraId="1CF71147" w14:textId="77777777" w:rsidR="00492EB5" w:rsidRDefault="00492EB5" w:rsidP="00492EB5">
      <w:pPr>
        <w:jc w:val="both"/>
        <w:rPr>
          <w:rFonts w:ascii="Century Gothic" w:hAnsi="Century Gothic" w:cs="Arial"/>
          <w:b/>
        </w:rPr>
      </w:pPr>
      <w:r w:rsidRPr="002650C8">
        <w:rPr>
          <w:rFonts w:ascii="Century Gothic" w:hAnsi="Century Gothic" w:cs="Arial"/>
          <w:b/>
        </w:rPr>
        <w:t>Apartado 3.- Gastos a Reserva de Comprobar.</w:t>
      </w:r>
    </w:p>
    <w:p w14:paraId="4D5EA516" w14:textId="77777777" w:rsidR="00492EB5" w:rsidRPr="00E24AB9" w:rsidRDefault="00492EB5" w:rsidP="00492EB5">
      <w:pPr>
        <w:pStyle w:val="Prrafodelista"/>
        <w:autoSpaceDE w:val="0"/>
        <w:autoSpaceDN w:val="0"/>
        <w:adjustRightInd w:val="0"/>
        <w:ind w:left="0"/>
        <w:jc w:val="both"/>
        <w:rPr>
          <w:rFonts w:ascii="Century Gothic" w:hAnsi="Century Gothic" w:cs="Arial"/>
          <w:b/>
          <w:color w:val="808080"/>
        </w:rPr>
      </w:pPr>
    </w:p>
    <w:p w14:paraId="42F02418" w14:textId="77777777" w:rsidR="00492EB5" w:rsidRPr="00E24AB9" w:rsidRDefault="00492EB5" w:rsidP="00492EB5">
      <w:pPr>
        <w:autoSpaceDE w:val="0"/>
        <w:autoSpaceDN w:val="0"/>
        <w:adjustRightInd w:val="0"/>
        <w:ind w:firstLine="1134"/>
        <w:jc w:val="both"/>
        <w:rPr>
          <w:rFonts w:ascii="Century Gothic" w:hAnsi="Century Gothic" w:cs="Arial"/>
          <w:color w:val="808080"/>
        </w:rPr>
      </w:pPr>
      <w:r w:rsidRPr="00E24AB9">
        <w:rPr>
          <w:rFonts w:ascii="Century Gothic" w:hAnsi="Century Gothic" w:cs="Arial"/>
          <w:color w:val="808080"/>
        </w:rPr>
        <w:t>Recursos que se otorgan a las Dependencias y Entidades para la realización de eventos y comisiones relacionadas con el cumplimiento de sus funciones, cuya comprobación no debe de exceder los plazos preestablecidos, los cuales se sujetarán a lo siguiente:</w:t>
      </w:r>
    </w:p>
    <w:p w14:paraId="11A5842A" w14:textId="77777777" w:rsidR="00492EB5" w:rsidRPr="00E24AB9" w:rsidRDefault="00492EB5" w:rsidP="00492EB5">
      <w:pPr>
        <w:jc w:val="both"/>
        <w:rPr>
          <w:rFonts w:ascii="Century Gothic" w:hAnsi="Century Gothic" w:cs="Arial"/>
          <w:color w:val="808080"/>
        </w:rPr>
      </w:pPr>
    </w:p>
    <w:p w14:paraId="15CBF1C3" w14:textId="77777777" w:rsidR="00492EB5" w:rsidRDefault="00492EB5" w:rsidP="00A95ADF">
      <w:pPr>
        <w:numPr>
          <w:ilvl w:val="0"/>
          <w:numId w:val="11"/>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Cualquier gasto de esta naturaleza que se pretenda ejercer, deberá contar previamente con suficiencia presupuestal.</w:t>
      </w:r>
    </w:p>
    <w:p w14:paraId="4C0689A6" w14:textId="77777777" w:rsidR="00492EB5" w:rsidRPr="00E24AB9" w:rsidRDefault="00492EB5" w:rsidP="00492EB5">
      <w:pPr>
        <w:ind w:left="709"/>
        <w:jc w:val="both"/>
        <w:rPr>
          <w:rFonts w:ascii="Century Gothic" w:hAnsi="Century Gothic" w:cs="Arial"/>
          <w:color w:val="808080"/>
        </w:rPr>
      </w:pPr>
    </w:p>
    <w:p w14:paraId="31DB8DE8" w14:textId="77777777" w:rsidR="00492EB5" w:rsidRPr="00876081" w:rsidRDefault="00492EB5" w:rsidP="00A95ADF">
      <w:pPr>
        <w:numPr>
          <w:ilvl w:val="0"/>
          <w:numId w:val="11"/>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Las cuentas por comprobar pueden generarse por la solicitud de recursos para cubrir gastos por concepto de viáticos nacionales o internacionales </w:t>
      </w:r>
      <w:r w:rsidRPr="00E24AB9">
        <w:rPr>
          <w:rFonts w:ascii="Century Gothic" w:hAnsi="Century Gothic"/>
          <w:color w:val="808080"/>
        </w:rPr>
        <w:t xml:space="preserve">o cualquier otro gasto que por su naturaleza así se justifique. </w:t>
      </w:r>
    </w:p>
    <w:p w14:paraId="4EDFC6A3" w14:textId="77777777" w:rsidR="00492EB5" w:rsidRPr="00E24AB9" w:rsidRDefault="00492EB5" w:rsidP="00492EB5">
      <w:pPr>
        <w:jc w:val="both"/>
        <w:rPr>
          <w:rFonts w:ascii="Century Gothic" w:hAnsi="Century Gothic" w:cs="Arial"/>
          <w:color w:val="808080"/>
        </w:rPr>
      </w:pPr>
    </w:p>
    <w:p w14:paraId="79D42E62" w14:textId="77777777" w:rsidR="00492EB5" w:rsidRDefault="00492EB5" w:rsidP="00A95ADF">
      <w:pPr>
        <w:numPr>
          <w:ilvl w:val="0"/>
          <w:numId w:val="11"/>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importe determinado como “autorizado” para gastos por concepto de viáticos nacionales, será el establecido en los tabuladores emitidos por la Secretaría de Finanzas, Inversión y Administración –</w:t>
      </w:r>
      <w:r w:rsidRPr="00E24AB9">
        <w:rPr>
          <w:rFonts w:ascii="Century Gothic" w:hAnsi="Century Gothic" w:cs="Arial"/>
          <w:color w:val="808080"/>
          <w:sz w:val="20"/>
        </w:rPr>
        <w:t xml:space="preserve">la DFA podrá autorizar montos superiores </w:t>
      </w:r>
      <w:r w:rsidRPr="00E24AB9">
        <w:rPr>
          <w:rFonts w:ascii="Century Gothic" w:hAnsi="Century Gothic" w:cs="Arial"/>
          <w:color w:val="808080"/>
          <w:sz w:val="20"/>
        </w:rPr>
        <w:lastRenderedPageBreak/>
        <w:t>siempre y cuando se cuente previamente con el visto Bueno de la Dirección General de COFOCE-</w:t>
      </w:r>
      <w:r w:rsidRPr="00E24AB9">
        <w:rPr>
          <w:rFonts w:ascii="Century Gothic" w:hAnsi="Century Gothic" w:cs="Arial"/>
          <w:color w:val="808080"/>
        </w:rPr>
        <w:t xml:space="preserve">  y para viáticos internacionales será el que dé a conocer a la DFA, mediante oficio o en su defecto lo autorizado mediante el OMVE-1.</w:t>
      </w:r>
    </w:p>
    <w:p w14:paraId="5C045744" w14:textId="77777777" w:rsidR="00492EB5" w:rsidRPr="00E24AB9" w:rsidRDefault="00492EB5" w:rsidP="00492EB5">
      <w:pPr>
        <w:jc w:val="both"/>
        <w:rPr>
          <w:rFonts w:ascii="Century Gothic" w:hAnsi="Century Gothic" w:cs="Arial"/>
          <w:color w:val="808080"/>
        </w:rPr>
      </w:pPr>
    </w:p>
    <w:p w14:paraId="2D94BAAC" w14:textId="77777777" w:rsidR="00492EB5" w:rsidRDefault="00492EB5" w:rsidP="00A95ADF">
      <w:pPr>
        <w:numPr>
          <w:ilvl w:val="0"/>
          <w:numId w:val="11"/>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Las solicitudes, deberán mostrar información completa y suficiente del motivo que origina el requerimiento de recurso. </w:t>
      </w:r>
    </w:p>
    <w:p w14:paraId="3DCA32B3" w14:textId="77777777" w:rsidR="00492EB5" w:rsidRPr="00E24AB9" w:rsidRDefault="00492EB5" w:rsidP="00492EB5">
      <w:pPr>
        <w:jc w:val="both"/>
        <w:rPr>
          <w:rFonts w:ascii="Century Gothic" w:hAnsi="Century Gothic" w:cs="Arial"/>
          <w:color w:val="808080"/>
        </w:rPr>
      </w:pPr>
    </w:p>
    <w:p w14:paraId="1107CB2E" w14:textId="77777777" w:rsidR="00492EB5" w:rsidRDefault="00492EB5" w:rsidP="00A95ADF">
      <w:pPr>
        <w:numPr>
          <w:ilvl w:val="0"/>
          <w:numId w:val="11"/>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No se entregarán recursos de solicitudes cuando exista saldo a cargo del servidor público por gastos no comprobados de recursos entregados con anterioridad, a excepción de aquellas que cuenten con previa justificación por parte del responsable y visto bueno de la DFA.</w:t>
      </w:r>
    </w:p>
    <w:p w14:paraId="730A687E" w14:textId="77777777" w:rsidR="00492EB5" w:rsidRPr="00E24AB9" w:rsidRDefault="00492EB5" w:rsidP="00492EB5">
      <w:pPr>
        <w:jc w:val="both"/>
        <w:rPr>
          <w:rFonts w:ascii="Century Gothic" w:hAnsi="Century Gothic" w:cs="Arial"/>
          <w:color w:val="808080"/>
        </w:rPr>
      </w:pPr>
    </w:p>
    <w:p w14:paraId="7157A03B" w14:textId="77777777" w:rsidR="00492EB5" w:rsidRDefault="00492EB5" w:rsidP="00A95ADF">
      <w:pPr>
        <w:numPr>
          <w:ilvl w:val="0"/>
          <w:numId w:val="11"/>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El personal comisionado solicitará a la DFA los recursos con tres días hábiles de anticipación a la fecha de inicio de su comisión preferentemente. La DFA no se hace responsable de la NO dotación de recursos cuando la solicitud se tramite en forma extemporánea sin causa justificada. </w:t>
      </w:r>
    </w:p>
    <w:p w14:paraId="49AAFE61" w14:textId="77777777" w:rsidR="00492EB5" w:rsidRPr="00E24AB9" w:rsidRDefault="00492EB5" w:rsidP="00492EB5">
      <w:pPr>
        <w:jc w:val="both"/>
        <w:rPr>
          <w:rFonts w:ascii="Century Gothic" w:hAnsi="Century Gothic" w:cs="Arial"/>
          <w:color w:val="808080"/>
        </w:rPr>
      </w:pPr>
    </w:p>
    <w:p w14:paraId="3FEDAE53" w14:textId="77777777" w:rsidR="00492EB5" w:rsidRDefault="00492EB5" w:rsidP="00A95ADF">
      <w:pPr>
        <w:numPr>
          <w:ilvl w:val="0"/>
          <w:numId w:val="11"/>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 El plazo de comprobación será de cinco días hábiles posteriores a la conclusión de la comisión dentro del país y/o en el extranjero.</w:t>
      </w:r>
    </w:p>
    <w:p w14:paraId="2E6F05ED" w14:textId="77777777" w:rsidR="00492EB5" w:rsidRPr="00E24AB9" w:rsidRDefault="00492EB5" w:rsidP="00492EB5">
      <w:pPr>
        <w:jc w:val="both"/>
        <w:rPr>
          <w:rFonts w:ascii="Century Gothic" w:hAnsi="Century Gothic" w:cs="Arial"/>
          <w:color w:val="808080"/>
        </w:rPr>
      </w:pPr>
    </w:p>
    <w:p w14:paraId="7443172E" w14:textId="77777777" w:rsidR="00492EB5" w:rsidRPr="00876081" w:rsidRDefault="00492EB5" w:rsidP="00A95ADF">
      <w:pPr>
        <w:numPr>
          <w:ilvl w:val="0"/>
          <w:numId w:val="11"/>
        </w:numPr>
        <w:spacing w:after="0" w:line="240" w:lineRule="auto"/>
        <w:jc w:val="both"/>
        <w:rPr>
          <w:rFonts w:ascii="Century Gothic" w:hAnsi="Century Gothic" w:cs="Arial"/>
          <w:color w:val="808080"/>
        </w:rPr>
      </w:pPr>
      <w:r w:rsidRPr="00E24AB9">
        <w:rPr>
          <w:rFonts w:ascii="Century Gothic" w:hAnsi="Century Gothic" w:cs="Arial"/>
          <w:color w:val="808080"/>
        </w:rPr>
        <w:t xml:space="preserve">  Cuando existan remanentes por recursos no ejercidos derivados de un gasto a reserva de comprobar, estos deberán ser depositados dentro de los primeros cinco días hábiles posteriores al término de la comprobación para viáticos nacionales </w:t>
      </w:r>
      <w:proofErr w:type="gramStart"/>
      <w:r w:rsidRPr="00E24AB9">
        <w:rPr>
          <w:rFonts w:ascii="Century Gothic" w:hAnsi="Century Gothic" w:cs="Arial"/>
          <w:color w:val="808080"/>
        </w:rPr>
        <w:t>e  internacionales</w:t>
      </w:r>
      <w:proofErr w:type="gramEnd"/>
      <w:r w:rsidRPr="00E24AB9">
        <w:rPr>
          <w:rFonts w:ascii="Century Gothic" w:hAnsi="Century Gothic" w:cs="Arial"/>
          <w:color w:val="808080"/>
        </w:rPr>
        <w:t>.</w:t>
      </w:r>
    </w:p>
    <w:p w14:paraId="4CDD47DB" w14:textId="77777777" w:rsidR="00492EB5" w:rsidRPr="00E24AB9" w:rsidRDefault="00492EB5" w:rsidP="00492EB5">
      <w:pPr>
        <w:jc w:val="both"/>
        <w:rPr>
          <w:rFonts w:ascii="Century Gothic" w:hAnsi="Century Gothic" w:cs="Arial"/>
          <w:color w:val="808080"/>
        </w:rPr>
      </w:pPr>
    </w:p>
    <w:p w14:paraId="601A780B" w14:textId="77777777" w:rsidR="00492EB5" w:rsidRDefault="00492EB5" w:rsidP="00A95ADF">
      <w:pPr>
        <w:numPr>
          <w:ilvl w:val="0"/>
          <w:numId w:val="11"/>
        </w:numPr>
        <w:spacing w:after="0" w:line="240" w:lineRule="auto"/>
        <w:jc w:val="both"/>
        <w:rPr>
          <w:rFonts w:ascii="Century Gothic" w:hAnsi="Century Gothic" w:cs="Arial"/>
          <w:color w:val="808080"/>
        </w:rPr>
      </w:pPr>
      <w:r w:rsidRPr="00E24AB9">
        <w:rPr>
          <w:rFonts w:ascii="Century Gothic" w:hAnsi="Century Gothic" w:cs="Arial"/>
          <w:color w:val="808080"/>
        </w:rPr>
        <w:t xml:space="preserve">  Para que una cancelación de la cuenta por comprobar sea procedente, los comprobantes deberán cumplir con los requisitos establecidos en el CFF, debiendo enviar a la DFA los archivos electrónicos de los comprobantes en cuestión. Dichos comprobantes </w:t>
      </w:r>
      <w:r w:rsidRPr="00876081">
        <w:rPr>
          <w:rFonts w:ascii="Century Gothic" w:hAnsi="Century Gothic" w:cs="Arial"/>
          <w:color w:val="808080"/>
        </w:rPr>
        <w:t>deberán estar rubricados por quien realizó la erogación y/o por el Titular de la unidad Responsable o de quien autorice ésta.</w:t>
      </w:r>
    </w:p>
    <w:p w14:paraId="727C35E1" w14:textId="77777777" w:rsidR="00492EB5" w:rsidRPr="00E24AB9" w:rsidRDefault="00492EB5" w:rsidP="00492EB5">
      <w:pPr>
        <w:jc w:val="both"/>
        <w:rPr>
          <w:rFonts w:ascii="Century Gothic" w:hAnsi="Century Gothic" w:cs="Arial"/>
          <w:color w:val="808080"/>
        </w:rPr>
      </w:pPr>
    </w:p>
    <w:p w14:paraId="222BEA8E" w14:textId="77777777" w:rsidR="00492EB5" w:rsidRPr="00E24AB9" w:rsidRDefault="00492EB5" w:rsidP="00A95ADF">
      <w:pPr>
        <w:numPr>
          <w:ilvl w:val="0"/>
          <w:numId w:val="11"/>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lastRenderedPageBreak/>
        <w:t>Todo Gasto de Representación deberá atender los criterios  de austeridad y racionalidad y deberá estar ampliamente justificado mediante el formato emitido por la DFA para tal efecto.</w:t>
      </w:r>
    </w:p>
    <w:p w14:paraId="09D22022" w14:textId="77777777" w:rsidR="00492EB5" w:rsidRPr="00E24AB9" w:rsidRDefault="00492EB5" w:rsidP="00492EB5">
      <w:pPr>
        <w:pStyle w:val="Prrafodelista"/>
        <w:autoSpaceDE w:val="0"/>
        <w:autoSpaceDN w:val="0"/>
        <w:adjustRightInd w:val="0"/>
        <w:ind w:left="851"/>
        <w:jc w:val="both"/>
        <w:rPr>
          <w:rFonts w:ascii="Century Gothic" w:hAnsi="Century Gothic" w:cs="Arial"/>
          <w:b/>
          <w:color w:val="808080"/>
        </w:rPr>
      </w:pPr>
    </w:p>
    <w:p w14:paraId="5D2763F5" w14:textId="77777777" w:rsidR="001D5DE9" w:rsidRDefault="001D5DE9" w:rsidP="00492EB5">
      <w:pPr>
        <w:pStyle w:val="Prrafodelista"/>
        <w:autoSpaceDE w:val="0"/>
        <w:autoSpaceDN w:val="0"/>
        <w:adjustRightInd w:val="0"/>
        <w:ind w:left="0"/>
        <w:jc w:val="both"/>
        <w:rPr>
          <w:rFonts w:ascii="Century Gothic" w:hAnsi="Century Gothic" w:cs="Arial"/>
          <w:b/>
        </w:rPr>
      </w:pPr>
    </w:p>
    <w:p w14:paraId="4B32A344"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4.- Viáticos  Nacionales y en el Extranjero.</w:t>
      </w:r>
    </w:p>
    <w:p w14:paraId="70AE4BCE" w14:textId="77777777" w:rsidR="00492EB5" w:rsidRPr="00E24AB9" w:rsidRDefault="00492EB5" w:rsidP="00492EB5">
      <w:pPr>
        <w:pStyle w:val="Prrafodelista"/>
        <w:autoSpaceDE w:val="0"/>
        <w:autoSpaceDN w:val="0"/>
        <w:adjustRightInd w:val="0"/>
        <w:ind w:left="0"/>
        <w:jc w:val="both"/>
        <w:rPr>
          <w:rFonts w:ascii="Century Gothic" w:hAnsi="Century Gothic" w:cs="Arial"/>
          <w:b/>
          <w:color w:val="808080"/>
        </w:rPr>
      </w:pPr>
    </w:p>
    <w:p w14:paraId="699F1173"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Cualquier gasto de esta naturaleza que se pretenda ejercer, deberá contar previamente con suficiencia presupuestal.</w:t>
      </w:r>
    </w:p>
    <w:p w14:paraId="166D4D1C" w14:textId="77777777" w:rsidR="00492EB5" w:rsidRPr="00E24AB9" w:rsidRDefault="00492EB5" w:rsidP="00492EB5">
      <w:pPr>
        <w:ind w:left="709"/>
        <w:jc w:val="both"/>
        <w:rPr>
          <w:rFonts w:ascii="Century Gothic" w:hAnsi="Century Gothic" w:cs="Arial"/>
          <w:color w:val="808080"/>
        </w:rPr>
      </w:pPr>
    </w:p>
    <w:p w14:paraId="7A33E6F6"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importe autorizado para gastos por concepto de Viáticos Nacionales será el establecido en los tabuladores emitidos por la Secretaría de Finanzas, Inversión y Administración –</w:t>
      </w:r>
      <w:r w:rsidRPr="00E24AB9">
        <w:rPr>
          <w:rFonts w:ascii="Century Gothic" w:hAnsi="Century Gothic" w:cs="Arial"/>
          <w:color w:val="808080"/>
          <w:sz w:val="20"/>
        </w:rPr>
        <w:t>la DFA podrá autorizar montos superiores siempre y cuando se cuente previamente con el visto Bueno de la Dirección General de COFOCE-</w:t>
      </w:r>
      <w:r w:rsidRPr="00E24AB9">
        <w:rPr>
          <w:rFonts w:ascii="Century Gothic" w:hAnsi="Century Gothic" w:cs="Arial"/>
          <w:color w:val="808080"/>
        </w:rPr>
        <w:t xml:space="preserve">  y para viáticos internacionales será el que dé a conocer a la DFA, mediante oficio o en su defecto lo autorizado mediante el OMVE-1.</w:t>
      </w:r>
    </w:p>
    <w:p w14:paraId="3430699F" w14:textId="77777777" w:rsidR="00492EB5" w:rsidRPr="00E24AB9" w:rsidRDefault="00492EB5" w:rsidP="00492EB5">
      <w:pPr>
        <w:jc w:val="both"/>
        <w:rPr>
          <w:rFonts w:ascii="Century Gothic" w:hAnsi="Century Gothic" w:cs="Arial"/>
          <w:color w:val="808080"/>
        </w:rPr>
      </w:pPr>
    </w:p>
    <w:p w14:paraId="4050D526"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pago de viáticos nacionales procederá siempre y cuando el gasto se aplique fuera del municipio de adscripción del ejecutor del gasto.</w:t>
      </w:r>
    </w:p>
    <w:p w14:paraId="780DEB38" w14:textId="77777777" w:rsidR="00492EB5" w:rsidRPr="00E24AB9" w:rsidRDefault="00492EB5" w:rsidP="00492EB5">
      <w:pPr>
        <w:jc w:val="both"/>
        <w:rPr>
          <w:rFonts w:ascii="Century Gothic" w:hAnsi="Century Gothic" w:cs="Arial"/>
          <w:color w:val="808080"/>
        </w:rPr>
      </w:pPr>
    </w:p>
    <w:p w14:paraId="4905AA12"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Todo Gasto de Representación deberá atender los criterios de austeridad y racionalidad y deberá adjuntar el formato establecido para tal efecto por la DFA.</w:t>
      </w:r>
    </w:p>
    <w:p w14:paraId="795A4F93" w14:textId="77777777" w:rsidR="00492EB5" w:rsidRPr="00E24AB9" w:rsidRDefault="00492EB5" w:rsidP="00492EB5">
      <w:pPr>
        <w:jc w:val="both"/>
        <w:rPr>
          <w:rFonts w:ascii="Century Gothic" w:hAnsi="Century Gothic" w:cs="Arial"/>
          <w:color w:val="808080"/>
        </w:rPr>
      </w:pPr>
    </w:p>
    <w:p w14:paraId="18ABAED8"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gasto en territorio nacional aplicará cuando se realice en jornadas fuera o con excedentes en  el horario de trabajo.</w:t>
      </w:r>
    </w:p>
    <w:p w14:paraId="0D5F5270" w14:textId="77777777" w:rsidR="00492EB5" w:rsidRPr="00E24AB9" w:rsidRDefault="00492EB5" w:rsidP="00492EB5">
      <w:pPr>
        <w:jc w:val="both"/>
        <w:rPr>
          <w:rFonts w:ascii="Century Gothic" w:hAnsi="Century Gothic" w:cs="Arial"/>
          <w:color w:val="808080"/>
        </w:rPr>
      </w:pPr>
    </w:p>
    <w:p w14:paraId="1CEA4E7C"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La razonabilidad del gasto así como la justificación del mismo ante la Dirección General, será responsabilidad del ejecutor. </w:t>
      </w:r>
    </w:p>
    <w:p w14:paraId="63D19C93" w14:textId="77777777" w:rsidR="00492EB5" w:rsidRPr="00E24AB9" w:rsidRDefault="00492EB5" w:rsidP="00492EB5">
      <w:pPr>
        <w:jc w:val="both"/>
        <w:rPr>
          <w:rFonts w:ascii="Century Gothic" w:hAnsi="Century Gothic" w:cs="Arial"/>
          <w:color w:val="808080"/>
        </w:rPr>
      </w:pPr>
    </w:p>
    <w:p w14:paraId="7B708FB6"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lastRenderedPageBreak/>
        <w:t>No se autoriza el pago de bebidas alcohólicas para el servidor público ni cargos por servicios al cuarto, a excepción de aquellos casos justificados y razonables.</w:t>
      </w:r>
    </w:p>
    <w:p w14:paraId="284630EE" w14:textId="77777777" w:rsidR="00492EB5" w:rsidRPr="00E24AB9" w:rsidRDefault="00492EB5" w:rsidP="00492EB5">
      <w:pPr>
        <w:jc w:val="both"/>
        <w:rPr>
          <w:rFonts w:ascii="Century Gothic" w:hAnsi="Century Gothic" w:cs="Arial"/>
          <w:color w:val="808080"/>
        </w:rPr>
      </w:pPr>
    </w:p>
    <w:p w14:paraId="27CFDF06"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No se autorizará la compra de boletos de avión en primera clase, de negocios o su equivalente, salvo por cuestiones de seguridad, debidamente justificadas por el ejecutor del gasto, y en aquellos casos en que no exista otra opción de vuelo, debiendo en este último caso comprobarse ésta circunstancia. Tampoco se autorizarán pagos de servicios de lavandería a excepción de </w:t>
      </w:r>
      <w:r w:rsidRPr="002F6856">
        <w:rPr>
          <w:rFonts w:ascii="Century Gothic" w:hAnsi="Century Gothic" w:cs="Arial"/>
          <w:color w:val="808080"/>
        </w:rPr>
        <w:t>aquellas comisiones que por su naturaleza se extiendan o para aquellos casos en los que el ejecutivo realicé dos comisiones consecutivas.</w:t>
      </w:r>
    </w:p>
    <w:p w14:paraId="6CABA45F" w14:textId="77777777" w:rsidR="00492EB5" w:rsidRPr="002F6856" w:rsidRDefault="00492EB5" w:rsidP="00492EB5">
      <w:pPr>
        <w:jc w:val="both"/>
        <w:rPr>
          <w:rFonts w:ascii="Century Gothic" w:hAnsi="Century Gothic" w:cs="Arial"/>
          <w:color w:val="808080"/>
        </w:rPr>
      </w:pPr>
    </w:p>
    <w:p w14:paraId="0FCDBD63"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D06807">
        <w:rPr>
          <w:rFonts w:ascii="Century Gothic" w:hAnsi="Century Gothic" w:cs="Arial"/>
          <w:color w:val="808080"/>
        </w:rPr>
        <w:t xml:space="preserve">Se podrá autorizar la compra de boletos de avión dentro del territorio nacional cuando la comisión encomendada al servidor público, le implique riesgos personales o de trabajo y que su seguridad e integridad sea expuesta bajo alguna circunstancia en específico, o bien; incluso cuando la naturaleza de la comisión misma así lo amerite Bajo estos supuestos, el ejecutor del gasto y/o servidor público comisionado; deberá justificar estas circunstancias y contar con el visto bueno del Director Financiero y de Administración. </w:t>
      </w:r>
    </w:p>
    <w:p w14:paraId="62E72F97" w14:textId="77777777" w:rsidR="00492EB5" w:rsidRPr="00D06807" w:rsidRDefault="00492EB5" w:rsidP="00492EB5">
      <w:pPr>
        <w:jc w:val="both"/>
        <w:rPr>
          <w:rFonts w:ascii="Century Gothic" w:hAnsi="Century Gothic" w:cs="Arial"/>
          <w:color w:val="808080"/>
        </w:rPr>
      </w:pPr>
    </w:p>
    <w:p w14:paraId="5A19AFA3"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Para el caso de los Directores que tengan bajo su resguardo tarjetas corporativas, su uso será preferentemente  para el pago de servicios de hospedaje, transporte, alimentos y demás gastos que resulten como parte de las comisiones encomendadas por el organismo.</w:t>
      </w:r>
    </w:p>
    <w:p w14:paraId="2673DCC1" w14:textId="77777777" w:rsidR="00492EB5" w:rsidRPr="00E24AB9" w:rsidRDefault="00492EB5" w:rsidP="00492EB5">
      <w:pPr>
        <w:jc w:val="both"/>
        <w:rPr>
          <w:rFonts w:ascii="Century Gothic" w:hAnsi="Century Gothic" w:cs="Arial"/>
          <w:color w:val="808080"/>
        </w:rPr>
      </w:pPr>
    </w:p>
    <w:p w14:paraId="45E8981A" w14:textId="77777777" w:rsidR="00492EB5" w:rsidRDefault="00492EB5" w:rsidP="00A95ADF">
      <w:pPr>
        <w:numPr>
          <w:ilvl w:val="0"/>
          <w:numId w:val="12"/>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Una causa justificada prioritaria sobre otras existentes, se propicia  cuando en una comisión  se infiera un riesgo en contra de la seguridad de las y los servidores públicos. </w:t>
      </w:r>
    </w:p>
    <w:p w14:paraId="071FFBEF" w14:textId="77777777" w:rsidR="00492EB5" w:rsidRDefault="00492EB5" w:rsidP="00492EB5">
      <w:pPr>
        <w:pStyle w:val="Prrafodelista"/>
        <w:rPr>
          <w:rFonts w:ascii="Century Gothic" w:hAnsi="Century Gothic" w:cs="Arial"/>
          <w:color w:val="808080"/>
        </w:rPr>
      </w:pPr>
    </w:p>
    <w:p w14:paraId="7110B52C" w14:textId="77777777" w:rsidR="00806933" w:rsidRDefault="00806933" w:rsidP="00492EB5">
      <w:pPr>
        <w:pStyle w:val="Prrafodelista"/>
        <w:autoSpaceDE w:val="0"/>
        <w:autoSpaceDN w:val="0"/>
        <w:adjustRightInd w:val="0"/>
        <w:ind w:left="0"/>
        <w:jc w:val="both"/>
        <w:rPr>
          <w:rFonts w:ascii="Century Gothic" w:hAnsi="Century Gothic" w:cs="Arial"/>
          <w:b/>
        </w:rPr>
      </w:pPr>
    </w:p>
    <w:p w14:paraId="29033F6A" w14:textId="77777777" w:rsidR="00806933" w:rsidRDefault="00806933" w:rsidP="00492EB5">
      <w:pPr>
        <w:pStyle w:val="Prrafodelista"/>
        <w:autoSpaceDE w:val="0"/>
        <w:autoSpaceDN w:val="0"/>
        <w:adjustRightInd w:val="0"/>
        <w:ind w:left="0"/>
        <w:jc w:val="both"/>
        <w:rPr>
          <w:rFonts w:ascii="Century Gothic" w:hAnsi="Century Gothic" w:cs="Arial"/>
          <w:b/>
        </w:rPr>
      </w:pPr>
    </w:p>
    <w:p w14:paraId="6E132BB1" w14:textId="77777777" w:rsidR="00A702CC" w:rsidRDefault="00A702CC" w:rsidP="00492EB5">
      <w:pPr>
        <w:pStyle w:val="Prrafodelista"/>
        <w:autoSpaceDE w:val="0"/>
        <w:autoSpaceDN w:val="0"/>
        <w:adjustRightInd w:val="0"/>
        <w:ind w:left="0"/>
        <w:jc w:val="both"/>
        <w:rPr>
          <w:rFonts w:ascii="Century Gothic" w:hAnsi="Century Gothic" w:cs="Arial"/>
          <w:b/>
        </w:rPr>
      </w:pPr>
    </w:p>
    <w:p w14:paraId="7E6260A9" w14:textId="77777777" w:rsidR="00A702CC" w:rsidRDefault="00A702CC" w:rsidP="00492EB5">
      <w:pPr>
        <w:pStyle w:val="Prrafodelista"/>
        <w:autoSpaceDE w:val="0"/>
        <w:autoSpaceDN w:val="0"/>
        <w:adjustRightInd w:val="0"/>
        <w:ind w:left="0"/>
        <w:jc w:val="both"/>
        <w:rPr>
          <w:rFonts w:ascii="Century Gothic" w:hAnsi="Century Gothic" w:cs="Arial"/>
          <w:b/>
        </w:rPr>
      </w:pPr>
    </w:p>
    <w:p w14:paraId="22B91AC4" w14:textId="77777777" w:rsidR="00A702CC" w:rsidRDefault="00A702CC" w:rsidP="00492EB5">
      <w:pPr>
        <w:pStyle w:val="Prrafodelista"/>
        <w:autoSpaceDE w:val="0"/>
        <w:autoSpaceDN w:val="0"/>
        <w:adjustRightInd w:val="0"/>
        <w:ind w:left="0"/>
        <w:jc w:val="both"/>
        <w:rPr>
          <w:rFonts w:ascii="Century Gothic" w:hAnsi="Century Gothic" w:cs="Arial"/>
          <w:b/>
        </w:rPr>
      </w:pPr>
    </w:p>
    <w:p w14:paraId="0A74AF72" w14:textId="77777777" w:rsidR="00A702CC" w:rsidRDefault="00A702CC" w:rsidP="00492EB5">
      <w:pPr>
        <w:pStyle w:val="Prrafodelista"/>
        <w:autoSpaceDE w:val="0"/>
        <w:autoSpaceDN w:val="0"/>
        <w:adjustRightInd w:val="0"/>
        <w:ind w:left="0"/>
        <w:jc w:val="both"/>
        <w:rPr>
          <w:rFonts w:ascii="Century Gothic" w:hAnsi="Century Gothic" w:cs="Arial"/>
          <w:b/>
        </w:rPr>
      </w:pPr>
    </w:p>
    <w:p w14:paraId="7CA484AB" w14:textId="32448A26"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lastRenderedPageBreak/>
        <w:t xml:space="preserve">Apartado 5.- Gastos de Representación </w:t>
      </w:r>
    </w:p>
    <w:p w14:paraId="4E82990B" w14:textId="77777777" w:rsidR="00492EB5" w:rsidRPr="00E24AB9" w:rsidRDefault="00492EB5" w:rsidP="00492EB5">
      <w:pPr>
        <w:ind w:left="1065"/>
        <w:jc w:val="both"/>
        <w:rPr>
          <w:rFonts w:ascii="Century Gothic" w:hAnsi="Century Gothic" w:cs="Arial"/>
          <w:color w:val="808080"/>
        </w:rPr>
      </w:pPr>
    </w:p>
    <w:p w14:paraId="03361DD5" w14:textId="77777777" w:rsidR="00492EB5" w:rsidRPr="00E24AB9" w:rsidRDefault="00492EB5" w:rsidP="00A95ADF">
      <w:pPr>
        <w:numPr>
          <w:ilvl w:val="0"/>
          <w:numId w:val="13"/>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Cualquier gasto de esta naturaleza que se pretenda ejercer, deberá contar previamente con suficiencia presupuestal.</w:t>
      </w:r>
    </w:p>
    <w:p w14:paraId="4E2317E5" w14:textId="77777777" w:rsidR="00492EB5" w:rsidRPr="00E24AB9" w:rsidRDefault="00492EB5" w:rsidP="00492EB5">
      <w:pPr>
        <w:ind w:left="709"/>
        <w:jc w:val="both"/>
        <w:rPr>
          <w:rFonts w:ascii="Century Gothic" w:hAnsi="Century Gothic" w:cs="Arial"/>
          <w:color w:val="808080"/>
        </w:rPr>
      </w:pPr>
    </w:p>
    <w:p w14:paraId="335889C8" w14:textId="77777777" w:rsidR="00492EB5" w:rsidRDefault="00492EB5" w:rsidP="00A95ADF">
      <w:pPr>
        <w:numPr>
          <w:ilvl w:val="0"/>
          <w:numId w:val="13"/>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Todo Gasto de Representación deberá atender los criterios  de austeridad y racionalidad.</w:t>
      </w:r>
    </w:p>
    <w:p w14:paraId="66AA831D" w14:textId="77777777" w:rsidR="00492EB5" w:rsidRPr="00E24AB9" w:rsidRDefault="00492EB5" w:rsidP="00492EB5">
      <w:pPr>
        <w:jc w:val="both"/>
        <w:rPr>
          <w:rFonts w:ascii="Century Gothic" w:hAnsi="Century Gothic" w:cs="Arial"/>
          <w:color w:val="808080"/>
        </w:rPr>
      </w:pPr>
    </w:p>
    <w:p w14:paraId="3674D7FC" w14:textId="77777777" w:rsidR="00492EB5" w:rsidRDefault="00492EB5" w:rsidP="00A95ADF">
      <w:pPr>
        <w:numPr>
          <w:ilvl w:val="0"/>
          <w:numId w:val="13"/>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La razonabilidad del gasto así como la justificación del mismo ante la Dirección correspondiente, será responsabilidad del ejecutor.</w:t>
      </w:r>
    </w:p>
    <w:p w14:paraId="3B8EC054" w14:textId="77777777" w:rsidR="00492EB5" w:rsidRPr="00E24AB9" w:rsidRDefault="00492EB5" w:rsidP="00492EB5">
      <w:pPr>
        <w:jc w:val="both"/>
        <w:rPr>
          <w:rFonts w:ascii="Century Gothic" w:hAnsi="Century Gothic" w:cs="Arial"/>
          <w:color w:val="808080"/>
        </w:rPr>
      </w:pPr>
    </w:p>
    <w:p w14:paraId="6E7531ED" w14:textId="77777777" w:rsidR="00492EB5" w:rsidRDefault="00492EB5" w:rsidP="00A95ADF">
      <w:pPr>
        <w:numPr>
          <w:ilvl w:val="0"/>
          <w:numId w:val="13"/>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No se autoriza el pago de bebidas alcohólicas para las y los servidores públicos.</w:t>
      </w:r>
    </w:p>
    <w:p w14:paraId="21094204" w14:textId="77777777" w:rsidR="00492EB5" w:rsidRPr="00E24AB9" w:rsidRDefault="00492EB5" w:rsidP="00492EB5">
      <w:pPr>
        <w:ind w:left="360"/>
        <w:jc w:val="both"/>
        <w:rPr>
          <w:rFonts w:ascii="Century Gothic" w:hAnsi="Century Gothic" w:cs="Arial"/>
          <w:color w:val="808080"/>
        </w:rPr>
      </w:pPr>
    </w:p>
    <w:p w14:paraId="7B366319" w14:textId="77777777" w:rsidR="00492EB5" w:rsidRDefault="00492EB5" w:rsidP="00A95ADF">
      <w:pPr>
        <w:numPr>
          <w:ilvl w:val="0"/>
          <w:numId w:val="13"/>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El pago de propinas aplicará exclusivamente por concepto de consumo de alimentos en territorio nacional como internacional y tendrá un tope de hasta </w:t>
      </w:r>
      <w:r w:rsidRPr="007F2957">
        <w:rPr>
          <w:rFonts w:ascii="Century Gothic" w:hAnsi="Century Gothic" w:cs="Arial"/>
          <w:color w:val="808080"/>
        </w:rPr>
        <w:t>el 1</w:t>
      </w:r>
      <w:r w:rsidR="00033769" w:rsidRPr="007F2957">
        <w:rPr>
          <w:rFonts w:ascii="Century Gothic" w:hAnsi="Century Gothic" w:cs="Arial"/>
          <w:color w:val="808080"/>
        </w:rPr>
        <w:t>0</w:t>
      </w:r>
      <w:r w:rsidRPr="007F2957">
        <w:rPr>
          <w:rFonts w:ascii="Century Gothic" w:hAnsi="Century Gothic" w:cs="Arial"/>
          <w:color w:val="808080"/>
        </w:rPr>
        <w:t>%</w:t>
      </w:r>
      <w:r w:rsidR="00033769" w:rsidRPr="007F2957">
        <w:rPr>
          <w:rFonts w:ascii="Century Gothic" w:hAnsi="Century Gothic" w:cs="Arial"/>
          <w:color w:val="808080"/>
        </w:rPr>
        <w:t xml:space="preserve"> </w:t>
      </w:r>
      <w:r w:rsidRPr="007F2957">
        <w:rPr>
          <w:rFonts w:ascii="Century Gothic" w:hAnsi="Century Gothic" w:cs="Arial"/>
          <w:color w:val="808080"/>
        </w:rPr>
        <w:t>sobre</w:t>
      </w:r>
      <w:r w:rsidRPr="00E24AB9">
        <w:rPr>
          <w:rFonts w:ascii="Century Gothic" w:hAnsi="Century Gothic" w:cs="Arial"/>
          <w:color w:val="808080"/>
        </w:rPr>
        <w:t xml:space="preserve"> el importe bruto del consumo, a </w:t>
      </w:r>
      <w:r w:rsidR="007F2957" w:rsidRPr="00E24AB9">
        <w:rPr>
          <w:rFonts w:ascii="Century Gothic" w:hAnsi="Century Gothic" w:cs="Arial"/>
          <w:color w:val="808080"/>
        </w:rPr>
        <w:t>excepción de</w:t>
      </w:r>
      <w:r w:rsidRPr="00E24AB9">
        <w:rPr>
          <w:rFonts w:ascii="Century Gothic" w:hAnsi="Century Gothic" w:cs="Arial"/>
          <w:color w:val="808080"/>
        </w:rPr>
        <w:t xml:space="preserve"> los casos justificables que cuenten con el visto bueno de la DFA. </w:t>
      </w:r>
    </w:p>
    <w:p w14:paraId="7084B981" w14:textId="77777777" w:rsidR="00492EB5" w:rsidRPr="00E24AB9" w:rsidRDefault="00492EB5" w:rsidP="00492EB5">
      <w:pPr>
        <w:jc w:val="both"/>
        <w:rPr>
          <w:rFonts w:ascii="Century Gothic" w:hAnsi="Century Gothic" w:cs="Arial"/>
          <w:color w:val="808080"/>
        </w:rPr>
      </w:pPr>
    </w:p>
    <w:p w14:paraId="2ECD7AC8" w14:textId="77777777" w:rsidR="00492EB5" w:rsidRDefault="00492EB5" w:rsidP="00A95ADF">
      <w:pPr>
        <w:numPr>
          <w:ilvl w:val="0"/>
          <w:numId w:val="13"/>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Si a juicio de la DFA se observa que un gasto se presenta fuera de los estándares de racionalidad y austeridad señalados o bien no está relacionado con los objetivos y metas del organismo, podrá solicitar al responsable del mismo una justificación adicional y en su caso, determinar la no procedencia del monto o motivo que origina el gasto, tomando las acciones que para el efecto considere convenientes.</w:t>
      </w:r>
    </w:p>
    <w:p w14:paraId="1BEC1A4F" w14:textId="77777777" w:rsidR="00492EB5" w:rsidRPr="00E24AB9" w:rsidRDefault="00492EB5" w:rsidP="00492EB5">
      <w:pPr>
        <w:jc w:val="both"/>
        <w:rPr>
          <w:rFonts w:ascii="Century Gothic" w:hAnsi="Century Gothic" w:cs="Arial"/>
          <w:color w:val="808080"/>
        </w:rPr>
      </w:pPr>
    </w:p>
    <w:p w14:paraId="4BB9FF66" w14:textId="77777777" w:rsidR="00492EB5" w:rsidRDefault="00492EB5" w:rsidP="00A95ADF">
      <w:pPr>
        <w:numPr>
          <w:ilvl w:val="0"/>
          <w:numId w:val="13"/>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La solicitud de recursos para el ejercicio de gastos de representación, podrá generarse vía solicitud de anticipo o bien; obtener el recurso a reembolso.</w:t>
      </w:r>
    </w:p>
    <w:p w14:paraId="3987B676" w14:textId="77777777" w:rsidR="00492EB5" w:rsidRPr="00E24AB9" w:rsidRDefault="00492EB5" w:rsidP="00492EB5">
      <w:pPr>
        <w:jc w:val="both"/>
        <w:rPr>
          <w:rFonts w:ascii="Century Gothic" w:hAnsi="Century Gothic" w:cs="Arial"/>
          <w:color w:val="808080"/>
        </w:rPr>
      </w:pPr>
    </w:p>
    <w:p w14:paraId="266F8E82" w14:textId="77777777" w:rsidR="00492EB5" w:rsidRPr="00E24AB9" w:rsidRDefault="00492EB5" w:rsidP="00A95ADF">
      <w:pPr>
        <w:numPr>
          <w:ilvl w:val="0"/>
          <w:numId w:val="13"/>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lastRenderedPageBreak/>
        <w:t xml:space="preserve">Los gastos de Representación deberán estar ampliamente justificados mediante el formato que para el efecto emita la DFA y deberá estar rubricado </w:t>
      </w:r>
      <w:r w:rsidRPr="00E24AB9">
        <w:rPr>
          <w:rFonts w:ascii="Century Gothic" w:hAnsi="Century Gothic"/>
          <w:color w:val="808080"/>
        </w:rPr>
        <w:t xml:space="preserve">por quien realizó la </w:t>
      </w:r>
      <w:proofErr w:type="gramStart"/>
      <w:r w:rsidRPr="00E24AB9">
        <w:rPr>
          <w:rFonts w:ascii="Century Gothic" w:hAnsi="Century Gothic"/>
          <w:color w:val="808080"/>
        </w:rPr>
        <w:t>erogación</w:t>
      </w:r>
      <w:proofErr w:type="gramEnd"/>
      <w:r w:rsidRPr="00E24AB9">
        <w:rPr>
          <w:rFonts w:ascii="Century Gothic" w:hAnsi="Century Gothic"/>
          <w:color w:val="808080"/>
        </w:rPr>
        <w:t xml:space="preserve"> así como por el Titular de la unidad Responsable o de quien autorice ésta.</w:t>
      </w:r>
      <w:r w:rsidRPr="00E24AB9">
        <w:rPr>
          <w:rFonts w:ascii="Century Gothic" w:hAnsi="Century Gothic" w:cs="Arial"/>
          <w:color w:val="808080"/>
        </w:rPr>
        <w:t xml:space="preserve"> </w:t>
      </w:r>
    </w:p>
    <w:p w14:paraId="20BAC933" w14:textId="77777777" w:rsidR="0048694C" w:rsidRDefault="0048694C" w:rsidP="00492EB5">
      <w:pPr>
        <w:jc w:val="both"/>
        <w:rPr>
          <w:rFonts w:ascii="Century Gothic" w:hAnsi="Century Gothic" w:cs="Arial"/>
          <w:color w:val="808080"/>
        </w:rPr>
      </w:pPr>
    </w:p>
    <w:p w14:paraId="0A7EB3A5"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6.- Control Presupuestal.</w:t>
      </w:r>
    </w:p>
    <w:p w14:paraId="39BE7F48" w14:textId="77777777" w:rsidR="00492EB5" w:rsidRPr="00E24AB9" w:rsidRDefault="00492EB5" w:rsidP="00492EB5">
      <w:pPr>
        <w:jc w:val="both"/>
        <w:rPr>
          <w:rFonts w:ascii="Century Gothic" w:hAnsi="Century Gothic" w:cs="Arial"/>
          <w:color w:val="808080"/>
        </w:rPr>
      </w:pPr>
    </w:p>
    <w:p w14:paraId="5C25CBCA" w14:textId="77777777" w:rsidR="00492EB5" w:rsidRPr="00E24AB9" w:rsidRDefault="00492EB5" w:rsidP="00492EB5">
      <w:pPr>
        <w:autoSpaceDE w:val="0"/>
        <w:autoSpaceDN w:val="0"/>
        <w:adjustRightInd w:val="0"/>
        <w:ind w:firstLine="1134"/>
        <w:jc w:val="both"/>
        <w:rPr>
          <w:rFonts w:ascii="Century Gothic" w:hAnsi="Century Gothic" w:cs="Arial"/>
          <w:color w:val="808080"/>
        </w:rPr>
      </w:pPr>
      <w:r w:rsidRPr="00E24AB9">
        <w:rPr>
          <w:rFonts w:ascii="Century Gothic" w:hAnsi="Century Gothic" w:cs="Arial"/>
          <w:color w:val="808080"/>
        </w:rPr>
        <w:t>El ejercicio del gasto público deberá realizarse con sujeción a la Ley del Presupuestal General de Egresos del Estado de Guanajuato, a la Ley para el Ejercicio y Control de los Recursos Públicos para el Estado y los Municipios de Guanajuato y a las demás disposiciones normativas aplicables en la materia, así como aquéllas que al efecto emita la Secretaría de Finanzas, Inversión y Administración en el ámbito de la administración pública estatal y a ésta política de Control Interno conforme a lo siguiente:</w:t>
      </w:r>
    </w:p>
    <w:p w14:paraId="3107EE08" w14:textId="77777777" w:rsidR="00492EB5" w:rsidRPr="00E24AB9" w:rsidRDefault="00492EB5" w:rsidP="00492EB5">
      <w:pPr>
        <w:jc w:val="both"/>
        <w:rPr>
          <w:rFonts w:ascii="Century Gothic" w:hAnsi="Century Gothic" w:cs="Arial"/>
          <w:color w:val="808080"/>
        </w:rPr>
      </w:pPr>
    </w:p>
    <w:p w14:paraId="18438718" w14:textId="77777777" w:rsidR="00492EB5"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La administración y ejecución del presupuesto deberá realizarse con sujeción a los resultados acorde a los planes y programas de gobierno autorizados.</w:t>
      </w:r>
    </w:p>
    <w:p w14:paraId="71A2638E" w14:textId="77777777" w:rsidR="00492EB5" w:rsidRPr="00E24AB9" w:rsidRDefault="00492EB5" w:rsidP="00492EB5">
      <w:pPr>
        <w:ind w:left="709"/>
        <w:jc w:val="both"/>
        <w:rPr>
          <w:rFonts w:ascii="Century Gothic" w:hAnsi="Century Gothic" w:cs="Arial"/>
          <w:color w:val="808080"/>
        </w:rPr>
      </w:pPr>
    </w:p>
    <w:p w14:paraId="7DD2357E" w14:textId="77777777" w:rsidR="00492EB5"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ejercicio del gasto público se apegará a los principios de eficiencia, eficacia, economía, transparencia y honradez para satisfacer los objetivos a los que están destinados.</w:t>
      </w:r>
    </w:p>
    <w:p w14:paraId="045B2D2C" w14:textId="77777777" w:rsidR="00492EB5" w:rsidRPr="00E24AB9" w:rsidRDefault="00492EB5" w:rsidP="00492EB5">
      <w:pPr>
        <w:jc w:val="both"/>
        <w:rPr>
          <w:rFonts w:ascii="Century Gothic" w:hAnsi="Century Gothic" w:cs="Arial"/>
          <w:color w:val="808080"/>
        </w:rPr>
      </w:pPr>
    </w:p>
    <w:p w14:paraId="38E090FB" w14:textId="77777777" w:rsidR="00492EB5"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Las y los servidores públicos de COFOCE que intervengan en la autorización, afectación o ejercicio de asignaciones presupuestales o de ingresos propios, serán responsables de los mismos y de su control presupuestal.</w:t>
      </w:r>
    </w:p>
    <w:p w14:paraId="1A26B62B" w14:textId="77777777" w:rsidR="00492EB5" w:rsidRPr="00E24AB9" w:rsidRDefault="00492EB5" w:rsidP="00492EB5">
      <w:pPr>
        <w:jc w:val="both"/>
        <w:rPr>
          <w:rFonts w:ascii="Century Gothic" w:hAnsi="Century Gothic" w:cs="Arial"/>
          <w:color w:val="808080"/>
        </w:rPr>
      </w:pPr>
    </w:p>
    <w:p w14:paraId="5A273FF3" w14:textId="77777777" w:rsidR="00492EB5"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Las áreas de COFOCE en el ejercicio de su presupuesto aprobado, serán directamente responsables de ejercer sus asignaciones presupuestales respectivas, sus adecuaciones e ingresos propios, con la finalidad de lograr los resultados </w:t>
      </w:r>
      <w:r w:rsidRPr="00E24AB9">
        <w:rPr>
          <w:rFonts w:ascii="Century Gothic" w:hAnsi="Century Gothic" w:cs="Arial"/>
          <w:color w:val="808080"/>
        </w:rPr>
        <w:lastRenderedPageBreak/>
        <w:t>acorde a los objetivos, indicadores y metas en la ejecución de sus programas presupuestarios aprobados, por consiguiente no se deberán adquirir compromisos distintos a los estipulados en el presupuesto aprobado.</w:t>
      </w:r>
    </w:p>
    <w:p w14:paraId="2ECD2D30" w14:textId="77777777" w:rsidR="00492EB5" w:rsidRPr="00E24AB9" w:rsidRDefault="00492EB5" w:rsidP="00492EB5">
      <w:pPr>
        <w:jc w:val="both"/>
        <w:rPr>
          <w:rFonts w:ascii="Century Gothic" w:hAnsi="Century Gothic" w:cs="Arial"/>
          <w:color w:val="808080"/>
        </w:rPr>
      </w:pPr>
    </w:p>
    <w:p w14:paraId="104B5119" w14:textId="77777777" w:rsidR="00492EB5"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Para la autorización de adecuaciones presupuestales, las áreas responsables deberán enviar formato y justificación de la solicitud de traspaso a la DFA, los cuales a su vez serán remitidos a la Secretaría de Finanzas, Inversión y Administración para su validación.</w:t>
      </w:r>
    </w:p>
    <w:p w14:paraId="3472EA93" w14:textId="77777777" w:rsidR="00492EB5" w:rsidRDefault="00492EB5" w:rsidP="00492EB5">
      <w:pPr>
        <w:jc w:val="both"/>
        <w:rPr>
          <w:rFonts w:ascii="Century Gothic" w:hAnsi="Century Gothic" w:cs="Arial"/>
          <w:color w:val="808080"/>
        </w:rPr>
      </w:pPr>
    </w:p>
    <w:p w14:paraId="379DCF9C" w14:textId="77777777" w:rsidR="00492EB5"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Las áreas de COFOCE se sujetarán a la calendarización que determine la Secretaría de Finanzas, Inversión y Administración para el ejercicio de los recursos.</w:t>
      </w:r>
    </w:p>
    <w:p w14:paraId="3C327514" w14:textId="77777777" w:rsidR="00492EB5" w:rsidRPr="00E24AB9" w:rsidRDefault="00492EB5" w:rsidP="00492EB5">
      <w:pPr>
        <w:ind w:left="709"/>
        <w:jc w:val="both"/>
        <w:rPr>
          <w:rFonts w:ascii="Century Gothic" w:hAnsi="Century Gothic" w:cs="Arial"/>
          <w:color w:val="808080"/>
        </w:rPr>
      </w:pPr>
    </w:p>
    <w:p w14:paraId="76C25F32" w14:textId="77777777" w:rsidR="00492EB5"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Los cierres presupuestales mensuales, físicos y financieros, de COFOCE durante el ejercicio fiscal, se efectuarán dentro de los primeros cinco días hábiles posteriores al mes que concluye. Los avances físicos corresponden a los indicadores y metas contenidos en el Sistema de Evaluación al Desempeño (SED); dicho sistema estará disponible para el registro correspondiente durante los primeros diez días hábiles posteriores al mes que concluye.</w:t>
      </w:r>
    </w:p>
    <w:p w14:paraId="19CB06B0" w14:textId="77777777" w:rsidR="00492EB5" w:rsidRPr="00E24AB9" w:rsidRDefault="00492EB5" w:rsidP="00492EB5">
      <w:pPr>
        <w:jc w:val="both"/>
        <w:rPr>
          <w:rFonts w:ascii="Century Gothic" w:hAnsi="Century Gothic" w:cs="Arial"/>
          <w:color w:val="808080"/>
        </w:rPr>
      </w:pPr>
    </w:p>
    <w:p w14:paraId="1CCC5BCA" w14:textId="77777777" w:rsidR="00492EB5"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El anteproyecto del presupuesto de egresos para el año posterior, se debe presentar por parte de las unidades responsables ante la DFA para su revisión y gestión. </w:t>
      </w:r>
    </w:p>
    <w:p w14:paraId="66EA23A8" w14:textId="77777777" w:rsidR="00492EB5" w:rsidRPr="00E24AB9" w:rsidRDefault="00492EB5" w:rsidP="00492EB5">
      <w:pPr>
        <w:jc w:val="both"/>
        <w:rPr>
          <w:rFonts w:ascii="Century Gothic" w:hAnsi="Century Gothic" w:cs="Arial"/>
          <w:color w:val="808080"/>
        </w:rPr>
      </w:pPr>
    </w:p>
    <w:p w14:paraId="3F66C49D" w14:textId="77777777" w:rsidR="00492EB5"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Es responsabilidad de la DFA tener la disponibilidad de asesoría y apoyo a las unidades responsables durante la elaboración del anteproyecto.</w:t>
      </w:r>
    </w:p>
    <w:p w14:paraId="64919A0B" w14:textId="77777777" w:rsidR="00492EB5" w:rsidRPr="00E24AB9" w:rsidRDefault="00492EB5" w:rsidP="00492EB5">
      <w:pPr>
        <w:jc w:val="both"/>
        <w:rPr>
          <w:rFonts w:ascii="Century Gothic" w:hAnsi="Century Gothic" w:cs="Arial"/>
          <w:color w:val="808080"/>
        </w:rPr>
      </w:pPr>
    </w:p>
    <w:p w14:paraId="40CF7E20" w14:textId="77777777" w:rsidR="00492EB5"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presupuesto de egresos autorizado es anual y se refiere a la cantidad financiera máxima disponible para aplicarse en el gasto de cada una de las unidades responsables del organismo.</w:t>
      </w:r>
    </w:p>
    <w:p w14:paraId="73265B34" w14:textId="77777777" w:rsidR="00492EB5" w:rsidRPr="00E24AB9" w:rsidRDefault="00492EB5" w:rsidP="00492EB5">
      <w:pPr>
        <w:jc w:val="both"/>
        <w:rPr>
          <w:rFonts w:ascii="Century Gothic" w:hAnsi="Century Gothic" w:cs="Arial"/>
          <w:color w:val="808080"/>
        </w:rPr>
      </w:pPr>
    </w:p>
    <w:p w14:paraId="2185C1F8" w14:textId="77777777" w:rsidR="00492EB5" w:rsidRPr="00E24AB9"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Es responsabilidad del titular de la unidad responsable verificar la suficiencia presupuestal antes de solicitar la aplicación de los recursos.</w:t>
      </w:r>
    </w:p>
    <w:p w14:paraId="754A30CB" w14:textId="77777777" w:rsidR="00492EB5" w:rsidRPr="00E24AB9" w:rsidRDefault="00492EB5" w:rsidP="00A95ADF">
      <w:pPr>
        <w:numPr>
          <w:ilvl w:val="0"/>
          <w:numId w:val="14"/>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lastRenderedPageBreak/>
        <w:t>El Titular del área DFA no autorizará pago alguno que no cuente con suficiencia presupuestal, sino hasta que se realicen los trámites correspondientes.</w:t>
      </w:r>
    </w:p>
    <w:p w14:paraId="3A3EC6AB" w14:textId="77777777" w:rsidR="001D5DE9" w:rsidRDefault="001D5DE9" w:rsidP="00492EB5">
      <w:pPr>
        <w:pStyle w:val="Prrafodelista"/>
        <w:autoSpaceDE w:val="0"/>
        <w:autoSpaceDN w:val="0"/>
        <w:adjustRightInd w:val="0"/>
        <w:ind w:left="0"/>
        <w:jc w:val="both"/>
        <w:rPr>
          <w:rFonts w:ascii="Century Gothic" w:hAnsi="Century Gothic" w:cs="Arial"/>
          <w:b/>
        </w:rPr>
      </w:pPr>
    </w:p>
    <w:p w14:paraId="15586FC1" w14:textId="77777777" w:rsidR="001D5DE9" w:rsidRDefault="001D5DE9" w:rsidP="00492EB5">
      <w:pPr>
        <w:pStyle w:val="Prrafodelista"/>
        <w:autoSpaceDE w:val="0"/>
        <w:autoSpaceDN w:val="0"/>
        <w:adjustRightInd w:val="0"/>
        <w:ind w:left="0"/>
        <w:jc w:val="both"/>
        <w:rPr>
          <w:rFonts w:ascii="Century Gothic" w:hAnsi="Century Gothic" w:cs="Arial"/>
          <w:b/>
        </w:rPr>
      </w:pPr>
    </w:p>
    <w:p w14:paraId="7CC40C96"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7.- Comprobación de recursos.</w:t>
      </w:r>
    </w:p>
    <w:p w14:paraId="0823CFA8" w14:textId="77777777" w:rsidR="00492EB5" w:rsidRPr="00E24AB9" w:rsidRDefault="00492EB5" w:rsidP="00492EB5">
      <w:pPr>
        <w:jc w:val="both"/>
        <w:rPr>
          <w:rFonts w:ascii="Century Gothic" w:hAnsi="Century Gothic" w:cs="Arial"/>
          <w:color w:val="808080"/>
        </w:rPr>
      </w:pPr>
    </w:p>
    <w:p w14:paraId="60E20891" w14:textId="77777777" w:rsidR="00492EB5" w:rsidRDefault="00492EB5" w:rsidP="00A95ADF">
      <w:pPr>
        <w:numPr>
          <w:ilvl w:val="0"/>
          <w:numId w:val="15"/>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titular de la unidad responsable o la persona que éste designe, verificará la suficiencia presupuestal del proyecto y partida que afectarán, relacionados en la solicitud al momento de la comprobación.</w:t>
      </w:r>
    </w:p>
    <w:p w14:paraId="5A6F86C7" w14:textId="77777777" w:rsidR="00492EB5" w:rsidRPr="00E24AB9" w:rsidRDefault="00492EB5" w:rsidP="00492EB5">
      <w:pPr>
        <w:ind w:left="709"/>
        <w:jc w:val="both"/>
        <w:rPr>
          <w:rFonts w:ascii="Century Gothic" w:hAnsi="Century Gothic" w:cs="Arial"/>
          <w:color w:val="808080"/>
        </w:rPr>
      </w:pPr>
    </w:p>
    <w:p w14:paraId="039273E9" w14:textId="77777777" w:rsidR="00492EB5" w:rsidRDefault="00492EB5" w:rsidP="00A95ADF">
      <w:pPr>
        <w:numPr>
          <w:ilvl w:val="0"/>
          <w:numId w:val="15"/>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Toda documentación que se presente para trámite de pago deberá ajustarse en lo conducente, a la normatividad fiscal aplicable, excepto en aquellos casos en que por circunstancias extraordinarias, ajenas a los ejecutores del gasto, no se pueda contar con la documentación comprobatoria fiscalmente requisitada, en este supuesto, será responsabilidad exclusiva del ejecutor del gasto, justificar y documentar fehacientemente el pago respectivo ante la DFA, siendo facultad de éste autorizar o no, que la comprobación del gasto se efectúe por este medio.</w:t>
      </w:r>
    </w:p>
    <w:p w14:paraId="24756F8A" w14:textId="77777777" w:rsidR="00492EB5" w:rsidRPr="00E24AB9" w:rsidRDefault="00492EB5" w:rsidP="00492EB5">
      <w:pPr>
        <w:jc w:val="both"/>
        <w:rPr>
          <w:rFonts w:ascii="Century Gothic" w:hAnsi="Century Gothic" w:cs="Arial"/>
          <w:color w:val="808080"/>
        </w:rPr>
      </w:pPr>
    </w:p>
    <w:p w14:paraId="4844B5F5" w14:textId="77777777" w:rsidR="00492EB5" w:rsidRDefault="00492EB5" w:rsidP="00A95ADF">
      <w:pPr>
        <w:numPr>
          <w:ilvl w:val="0"/>
          <w:numId w:val="15"/>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Para que la comprobación del gasto sea procedente, los documentos deberán cumplir con los requisitos establecidos en el CFF.</w:t>
      </w:r>
    </w:p>
    <w:p w14:paraId="0F055405" w14:textId="77777777" w:rsidR="00492EB5" w:rsidRPr="00E24AB9" w:rsidRDefault="00492EB5" w:rsidP="00492EB5">
      <w:pPr>
        <w:jc w:val="both"/>
        <w:rPr>
          <w:rFonts w:ascii="Century Gothic" w:hAnsi="Century Gothic" w:cs="Arial"/>
          <w:color w:val="808080"/>
        </w:rPr>
      </w:pPr>
    </w:p>
    <w:p w14:paraId="5A74F964" w14:textId="77777777" w:rsidR="00492EB5" w:rsidRDefault="00492EB5" w:rsidP="00A95ADF">
      <w:pPr>
        <w:numPr>
          <w:ilvl w:val="0"/>
          <w:numId w:val="15"/>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La documentación para trámite de pago no deberá exceder de sesenta días naturales transcurridos con respecto a su fecha de expedición o de la prestación del servicio.</w:t>
      </w:r>
    </w:p>
    <w:p w14:paraId="5490464C" w14:textId="77777777" w:rsidR="00492EB5" w:rsidRPr="00E24AB9" w:rsidRDefault="00492EB5" w:rsidP="00492EB5">
      <w:pPr>
        <w:jc w:val="both"/>
        <w:rPr>
          <w:rFonts w:ascii="Century Gothic" w:hAnsi="Century Gothic" w:cs="Arial"/>
          <w:color w:val="808080"/>
        </w:rPr>
      </w:pPr>
    </w:p>
    <w:p w14:paraId="3DE5AAB3" w14:textId="77777777" w:rsidR="00492EB5" w:rsidRDefault="00492EB5" w:rsidP="00A95ADF">
      <w:pPr>
        <w:numPr>
          <w:ilvl w:val="0"/>
          <w:numId w:val="15"/>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Los servidores públicos que realicen agendas o citas fuera del estado e incurran en la aplicación de viáticos y/o pasajes nacionales o internacionales, deberán adjuntar a su comprobación respectiva el “Informe de Actividades” en el que detallen las acciones derivadas de la comisión.</w:t>
      </w:r>
    </w:p>
    <w:p w14:paraId="2ED26DBE" w14:textId="77777777" w:rsidR="00492EB5" w:rsidRPr="00E24AB9" w:rsidRDefault="00492EB5" w:rsidP="00492EB5">
      <w:pPr>
        <w:jc w:val="both"/>
        <w:rPr>
          <w:rFonts w:ascii="Century Gothic" w:hAnsi="Century Gothic" w:cs="Arial"/>
          <w:color w:val="808080"/>
        </w:rPr>
      </w:pPr>
    </w:p>
    <w:p w14:paraId="59C8EE42" w14:textId="77777777" w:rsidR="00492EB5" w:rsidRDefault="00492EB5" w:rsidP="00A95ADF">
      <w:pPr>
        <w:numPr>
          <w:ilvl w:val="0"/>
          <w:numId w:val="15"/>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Son corresponsables solidarios de la comprobación de gastos de los deudores, sus jefes inmediatos.</w:t>
      </w:r>
    </w:p>
    <w:p w14:paraId="3E6822E5" w14:textId="77777777" w:rsidR="00492EB5" w:rsidRDefault="00492EB5" w:rsidP="00A95ADF">
      <w:pPr>
        <w:numPr>
          <w:ilvl w:val="0"/>
          <w:numId w:val="15"/>
        </w:numPr>
        <w:spacing w:after="0" w:line="240" w:lineRule="auto"/>
        <w:ind w:left="709" w:hanging="349"/>
        <w:jc w:val="both"/>
        <w:rPr>
          <w:rFonts w:ascii="Century Gothic" w:hAnsi="Century Gothic" w:cs="Arial"/>
          <w:color w:val="808080"/>
        </w:rPr>
      </w:pPr>
      <w:r w:rsidRPr="00D06807">
        <w:rPr>
          <w:rFonts w:ascii="Century Gothic" w:hAnsi="Century Gothic" w:cs="Arial"/>
          <w:color w:val="808080"/>
        </w:rPr>
        <w:lastRenderedPageBreak/>
        <w:t xml:space="preserve">Los plazos de comprobación que se establecen serán de cinco días hábiles siguientes a la culminación de la comisión para gastos en territorio nacional y extranjero. </w:t>
      </w:r>
    </w:p>
    <w:p w14:paraId="3C0F8568" w14:textId="77777777" w:rsidR="00492EB5" w:rsidRDefault="00492EB5" w:rsidP="00A95ADF">
      <w:pPr>
        <w:numPr>
          <w:ilvl w:val="0"/>
          <w:numId w:val="15"/>
        </w:numPr>
        <w:spacing w:after="0" w:line="240" w:lineRule="auto"/>
        <w:ind w:left="709" w:hanging="349"/>
        <w:jc w:val="both"/>
        <w:rPr>
          <w:rFonts w:ascii="Century Gothic" w:hAnsi="Century Gothic" w:cs="Arial"/>
          <w:color w:val="808080"/>
        </w:rPr>
      </w:pPr>
      <w:r w:rsidRPr="00716071">
        <w:rPr>
          <w:rFonts w:ascii="Century Gothic" w:hAnsi="Century Gothic" w:cs="Arial"/>
          <w:color w:val="808080"/>
        </w:rPr>
        <w:t xml:space="preserve">La DFA podrá autorizar una prórroga para la entrega de la documentación comprobatoria  posterior a estos 5 dias hábiles, cuando la agenda del ejecutivo se prolongue y esté imposibilitado a realizarla, o bien;  cuando sea comisionado a otras actividades en el inter de su comisión actual. Para estos casos deberá manifestar los argumentos y/o soportes documentales que refuercen la petición, misma que deberá realizar por escrito, a fin de contar  con la aprobación para el aplazamiento de dicha comprobación por parte de la  Dirección Financiera y de Administración. </w:t>
      </w:r>
    </w:p>
    <w:p w14:paraId="3A7DB4EF" w14:textId="77777777" w:rsidR="00492EB5" w:rsidRPr="00716071" w:rsidRDefault="00492EB5" w:rsidP="00492EB5">
      <w:pPr>
        <w:ind w:left="709"/>
        <w:jc w:val="both"/>
        <w:rPr>
          <w:rFonts w:ascii="Century Gothic" w:hAnsi="Century Gothic" w:cs="Arial"/>
          <w:color w:val="808080"/>
        </w:rPr>
      </w:pPr>
    </w:p>
    <w:p w14:paraId="0392F99D" w14:textId="77777777" w:rsidR="00492EB5" w:rsidRPr="00876081" w:rsidRDefault="00492EB5" w:rsidP="00A95ADF">
      <w:pPr>
        <w:numPr>
          <w:ilvl w:val="0"/>
          <w:numId w:val="15"/>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Tratándose de comprobantes por consumos en restaurantes con la participación de terceros (Gastos de Representación), el ejecutivo deberá adjuntar a su comprobación, la agenda del día en la que plasme dicho compromiso cuando aplique, además deberá adjuntar Formato de Justificación de Gastos  Reserva de Comprobar debidamente rubricado </w:t>
      </w:r>
      <w:r w:rsidRPr="00E24AB9">
        <w:rPr>
          <w:rFonts w:ascii="Century Gothic" w:hAnsi="Century Gothic"/>
          <w:color w:val="808080"/>
        </w:rPr>
        <w:t>por quien realizó la erogación.</w:t>
      </w:r>
    </w:p>
    <w:p w14:paraId="387EA5C5" w14:textId="77777777" w:rsidR="00492EB5" w:rsidRPr="00E24AB9" w:rsidRDefault="00492EB5" w:rsidP="00492EB5">
      <w:pPr>
        <w:jc w:val="both"/>
        <w:rPr>
          <w:rFonts w:ascii="Century Gothic" w:hAnsi="Century Gothic" w:cs="Arial"/>
          <w:color w:val="808080"/>
        </w:rPr>
      </w:pPr>
    </w:p>
    <w:p w14:paraId="6DAA5712" w14:textId="77777777" w:rsidR="00492EB5" w:rsidRDefault="00492EB5" w:rsidP="00A95ADF">
      <w:pPr>
        <w:numPr>
          <w:ilvl w:val="0"/>
          <w:numId w:val="15"/>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En caso de que la comprobación no cumpla con algún(os) requisitos solicitados, no será posible la cancelación de la cuenta por comprobar.</w:t>
      </w:r>
    </w:p>
    <w:p w14:paraId="3ADB4BF2" w14:textId="77777777" w:rsidR="00492EB5" w:rsidRDefault="00492EB5" w:rsidP="00492EB5">
      <w:pPr>
        <w:jc w:val="both"/>
        <w:rPr>
          <w:rFonts w:ascii="Century Gothic" w:hAnsi="Century Gothic" w:cs="Arial"/>
          <w:color w:val="808080"/>
        </w:rPr>
      </w:pPr>
    </w:p>
    <w:p w14:paraId="09FD46E1" w14:textId="77777777" w:rsidR="00492EB5" w:rsidRPr="00876081" w:rsidRDefault="00492EB5" w:rsidP="00A95ADF">
      <w:pPr>
        <w:numPr>
          <w:ilvl w:val="0"/>
          <w:numId w:val="15"/>
        </w:numPr>
        <w:spacing w:after="0" w:line="240" w:lineRule="auto"/>
        <w:ind w:left="709" w:hanging="349"/>
        <w:jc w:val="both"/>
        <w:rPr>
          <w:rFonts w:ascii="Century Gothic" w:hAnsi="Century Gothic" w:cs="Arial"/>
          <w:color w:val="808080"/>
        </w:rPr>
      </w:pPr>
      <w:r w:rsidRPr="00313BAD">
        <w:rPr>
          <w:rFonts w:ascii="Century Gothic" w:hAnsi="Century Gothic" w:cs="Arial"/>
          <w:color w:val="808080"/>
        </w:rPr>
        <w:t>En caso de no contar con comprobante fiscal digital para la comprobación de</w:t>
      </w:r>
      <w:r>
        <w:rPr>
          <w:rFonts w:ascii="Century Gothic" w:hAnsi="Century Gothic" w:cs="Arial"/>
          <w:color w:val="808080"/>
        </w:rPr>
        <w:t xml:space="preserve"> </w:t>
      </w:r>
      <w:r w:rsidRPr="00313BAD">
        <w:rPr>
          <w:rFonts w:ascii="Century Gothic" w:hAnsi="Century Gothic" w:cs="Arial"/>
          <w:color w:val="808080"/>
        </w:rPr>
        <w:t xml:space="preserve">algún gasto generado dentro de la comisión, el servidor público deberá adjuntar el  “Formato de Justificación sin Comprobante Fiscal” debidamente rubricado </w:t>
      </w:r>
      <w:r w:rsidRPr="00313BAD">
        <w:rPr>
          <w:rFonts w:ascii="Century Gothic" w:hAnsi="Century Gothic"/>
          <w:color w:val="808080"/>
        </w:rPr>
        <w:t>por quien realizó la erogación, su jefe inmediato autorizando el ejercicio del recurso y el Director Financiero y de Administración en aprobación del documento.</w:t>
      </w:r>
    </w:p>
    <w:p w14:paraId="6BEB1555" w14:textId="77777777" w:rsidR="00492EB5" w:rsidRDefault="00492EB5" w:rsidP="00A95ADF">
      <w:pPr>
        <w:numPr>
          <w:ilvl w:val="0"/>
          <w:numId w:val="15"/>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Para la cancelación de la cuenta pendiente, la DFA </w:t>
      </w:r>
      <w:proofErr w:type="gramStart"/>
      <w:r w:rsidRPr="00E24AB9">
        <w:rPr>
          <w:rFonts w:ascii="Century Gothic" w:hAnsi="Century Gothic" w:cs="Arial"/>
          <w:color w:val="808080"/>
        </w:rPr>
        <w:t>corroborará  la</w:t>
      </w:r>
      <w:proofErr w:type="gramEnd"/>
      <w:r w:rsidRPr="00E24AB9">
        <w:rPr>
          <w:rFonts w:ascii="Century Gothic" w:hAnsi="Century Gothic" w:cs="Arial"/>
          <w:color w:val="808080"/>
        </w:rPr>
        <w:t xml:space="preserve"> suficiencia presupuestal y el registro correcto del proyecto y partida relacionados.</w:t>
      </w:r>
    </w:p>
    <w:p w14:paraId="39A90785" w14:textId="77777777" w:rsidR="00492EB5" w:rsidRPr="00E24AB9" w:rsidRDefault="00492EB5" w:rsidP="00A95ADF">
      <w:pPr>
        <w:numPr>
          <w:ilvl w:val="0"/>
          <w:numId w:val="15"/>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En el caso de cancelación del evento o comisión, el responsable de la comprobación deberá reintegrar el monto total a más tardar dentro de los cinco días hábiles siguientes al de la cancelación correspondiente.</w:t>
      </w:r>
    </w:p>
    <w:p w14:paraId="24923F00" w14:textId="77777777" w:rsidR="0048694C" w:rsidRDefault="0048694C" w:rsidP="00492EB5">
      <w:pPr>
        <w:jc w:val="both"/>
        <w:rPr>
          <w:rFonts w:ascii="Century Gothic" w:hAnsi="Century Gothic" w:cs="Arial"/>
          <w:color w:val="808080"/>
        </w:rPr>
      </w:pPr>
    </w:p>
    <w:p w14:paraId="16049C37" w14:textId="77777777" w:rsidR="00A702CC" w:rsidRDefault="00A702CC" w:rsidP="00492EB5">
      <w:pPr>
        <w:jc w:val="both"/>
        <w:rPr>
          <w:rFonts w:ascii="Century Gothic" w:hAnsi="Century Gothic" w:cs="Arial"/>
          <w:color w:val="808080"/>
        </w:rPr>
      </w:pPr>
    </w:p>
    <w:p w14:paraId="2466D885" w14:textId="77777777" w:rsidR="00A702CC" w:rsidRPr="00E24AB9" w:rsidRDefault="00A702CC" w:rsidP="00492EB5">
      <w:pPr>
        <w:jc w:val="both"/>
        <w:rPr>
          <w:rFonts w:ascii="Century Gothic" w:hAnsi="Century Gothic" w:cs="Arial"/>
          <w:color w:val="808080"/>
        </w:rPr>
      </w:pPr>
    </w:p>
    <w:p w14:paraId="1987B9FF" w14:textId="77777777" w:rsidR="00492EB5" w:rsidRPr="008F32AD" w:rsidRDefault="00492EB5" w:rsidP="00492EB5">
      <w:pPr>
        <w:pStyle w:val="Prrafodelista"/>
        <w:autoSpaceDE w:val="0"/>
        <w:autoSpaceDN w:val="0"/>
        <w:adjustRightInd w:val="0"/>
        <w:ind w:left="0"/>
        <w:jc w:val="both"/>
        <w:rPr>
          <w:rFonts w:ascii="Century Gothic" w:hAnsi="Century Gothic" w:cs="Arial"/>
          <w:b/>
        </w:rPr>
      </w:pPr>
      <w:r w:rsidRPr="008F32AD">
        <w:rPr>
          <w:rFonts w:ascii="Century Gothic" w:hAnsi="Century Gothic" w:cs="Arial"/>
          <w:b/>
        </w:rPr>
        <w:lastRenderedPageBreak/>
        <w:t xml:space="preserve">Apartado </w:t>
      </w:r>
      <w:r>
        <w:rPr>
          <w:rFonts w:ascii="Century Gothic" w:hAnsi="Century Gothic" w:cs="Arial"/>
          <w:b/>
        </w:rPr>
        <w:t>8</w:t>
      </w:r>
      <w:r w:rsidRPr="008F32AD">
        <w:rPr>
          <w:rFonts w:ascii="Century Gothic" w:hAnsi="Century Gothic" w:cs="Arial"/>
          <w:b/>
        </w:rPr>
        <w:t>.- Facturación y Cobranza.</w:t>
      </w:r>
    </w:p>
    <w:p w14:paraId="06F71AB2" w14:textId="77777777" w:rsidR="00492EB5" w:rsidRPr="008F32AD" w:rsidRDefault="00492EB5" w:rsidP="00492EB5">
      <w:pPr>
        <w:jc w:val="both"/>
        <w:rPr>
          <w:rFonts w:ascii="Century Gothic" w:hAnsi="Century Gothic" w:cs="Arial"/>
          <w:color w:val="808080"/>
        </w:rPr>
      </w:pPr>
    </w:p>
    <w:p w14:paraId="50C7D4D6" w14:textId="77777777" w:rsidR="00492EB5" w:rsidRPr="008F32AD" w:rsidRDefault="00492EB5" w:rsidP="00492EB5">
      <w:pPr>
        <w:autoSpaceDE w:val="0"/>
        <w:autoSpaceDN w:val="0"/>
        <w:adjustRightInd w:val="0"/>
        <w:ind w:firstLine="1134"/>
        <w:jc w:val="both"/>
        <w:rPr>
          <w:rFonts w:ascii="Century Gothic" w:hAnsi="Century Gothic" w:cs="Arial"/>
          <w:color w:val="808080"/>
        </w:rPr>
      </w:pPr>
      <w:r w:rsidRPr="008F32AD">
        <w:rPr>
          <w:rFonts w:ascii="Century Gothic" w:hAnsi="Century Gothic" w:cs="Arial"/>
          <w:color w:val="808080"/>
        </w:rPr>
        <w:t>La Dirección Financiera y de Administración (DFA) podrá realizar la facturación de los servicios brindados por las unidades responsables de COFOCE  a través del área que ésta designe, con base en  lo siguiente:</w:t>
      </w:r>
    </w:p>
    <w:p w14:paraId="1D3CFC19" w14:textId="77777777" w:rsidR="00492EB5" w:rsidRPr="008F32AD" w:rsidRDefault="00492EB5" w:rsidP="00492EB5">
      <w:pPr>
        <w:jc w:val="both"/>
        <w:rPr>
          <w:rFonts w:ascii="Century Gothic" w:hAnsi="Century Gothic" w:cs="Arial"/>
          <w:color w:val="808080"/>
        </w:rPr>
      </w:pPr>
    </w:p>
    <w:p w14:paraId="47A00334" w14:textId="77777777" w:rsidR="00492EB5" w:rsidRDefault="00492EB5" w:rsidP="00A95ADF">
      <w:pPr>
        <w:numPr>
          <w:ilvl w:val="0"/>
          <w:numId w:val="20"/>
        </w:numPr>
        <w:spacing w:after="0" w:line="240" w:lineRule="auto"/>
        <w:ind w:left="709" w:hanging="349"/>
        <w:jc w:val="both"/>
        <w:rPr>
          <w:rFonts w:ascii="Century Gothic" w:hAnsi="Century Gothic" w:cs="Arial"/>
          <w:color w:val="808080"/>
        </w:rPr>
      </w:pPr>
      <w:r w:rsidRPr="008F32AD">
        <w:rPr>
          <w:rFonts w:ascii="Century Gothic" w:hAnsi="Century Gothic" w:cs="Arial"/>
          <w:color w:val="808080"/>
        </w:rPr>
        <w:t>La solicitud de facturación por parte de las unidades responsables se deberá hacerse a través de correo electrónico que contenga la siguiente información: Datos fiscales de la empresa, Concepto de la factura, Comprobante de pago, Últimos 4 dígitos de la cuenta.</w:t>
      </w:r>
    </w:p>
    <w:p w14:paraId="60A7BD9A" w14:textId="77777777" w:rsidR="00492EB5" w:rsidRPr="008F32AD" w:rsidRDefault="00492EB5" w:rsidP="00492EB5">
      <w:pPr>
        <w:ind w:left="709"/>
        <w:jc w:val="both"/>
        <w:rPr>
          <w:rFonts w:ascii="Century Gothic" w:hAnsi="Century Gothic" w:cs="Arial"/>
          <w:color w:val="808080"/>
        </w:rPr>
      </w:pPr>
    </w:p>
    <w:p w14:paraId="1E21A360" w14:textId="77777777" w:rsidR="00492EB5" w:rsidRDefault="00492EB5" w:rsidP="00A95ADF">
      <w:pPr>
        <w:numPr>
          <w:ilvl w:val="0"/>
          <w:numId w:val="20"/>
        </w:numPr>
        <w:spacing w:after="0" w:line="240" w:lineRule="auto"/>
        <w:ind w:left="709" w:hanging="349"/>
        <w:jc w:val="both"/>
        <w:rPr>
          <w:rFonts w:ascii="Century Gothic" w:hAnsi="Century Gothic" w:cs="Arial"/>
          <w:color w:val="808080"/>
        </w:rPr>
      </w:pPr>
      <w:r w:rsidRPr="008F32AD">
        <w:rPr>
          <w:rFonts w:ascii="Century Gothic" w:hAnsi="Century Gothic" w:cs="Arial"/>
          <w:color w:val="808080"/>
        </w:rPr>
        <w:t>Se expedirá factura sin comprobante de pago siempre y cuando se cuente con carta compromiso del responsable y/o escrito por parte de la empresa o tercero, en donde garantice el pago de la empresa y la orden de compra por parte de la empresa que especifique el monto total, número de orden, sellos y firmas de autorización.</w:t>
      </w:r>
    </w:p>
    <w:p w14:paraId="0B8558F8" w14:textId="77777777" w:rsidR="00492EB5" w:rsidRPr="008F32AD" w:rsidRDefault="00492EB5" w:rsidP="00492EB5">
      <w:pPr>
        <w:jc w:val="both"/>
        <w:rPr>
          <w:rFonts w:ascii="Century Gothic" w:hAnsi="Century Gothic" w:cs="Arial"/>
          <w:color w:val="808080"/>
        </w:rPr>
      </w:pPr>
    </w:p>
    <w:p w14:paraId="15B2D353" w14:textId="77777777" w:rsidR="00492EB5" w:rsidRDefault="00492EB5" w:rsidP="00A95ADF">
      <w:pPr>
        <w:numPr>
          <w:ilvl w:val="0"/>
          <w:numId w:val="20"/>
        </w:numPr>
        <w:spacing w:after="0" w:line="240" w:lineRule="auto"/>
        <w:ind w:left="709" w:hanging="349"/>
        <w:jc w:val="both"/>
        <w:rPr>
          <w:rFonts w:ascii="Century Gothic" w:hAnsi="Century Gothic" w:cs="Arial"/>
          <w:color w:val="808080"/>
        </w:rPr>
      </w:pPr>
      <w:r w:rsidRPr="008F32AD">
        <w:rPr>
          <w:rFonts w:ascii="Century Gothic" w:hAnsi="Century Gothic" w:cs="Arial"/>
          <w:color w:val="808080"/>
        </w:rPr>
        <w:t>Es responsabilidad del área de facturación el envío de los archivos PDF y XML en un lapso no mayor a 24 horas de haber recibido la solicitud.</w:t>
      </w:r>
    </w:p>
    <w:p w14:paraId="0861D798" w14:textId="77777777" w:rsidR="00492EB5" w:rsidRPr="008F32AD" w:rsidRDefault="00492EB5" w:rsidP="00492EB5">
      <w:pPr>
        <w:ind w:left="709"/>
        <w:jc w:val="both"/>
        <w:rPr>
          <w:rFonts w:ascii="Century Gothic" w:hAnsi="Century Gothic" w:cs="Arial"/>
          <w:color w:val="808080"/>
        </w:rPr>
      </w:pPr>
    </w:p>
    <w:p w14:paraId="2C989DCA" w14:textId="77777777" w:rsidR="00492EB5" w:rsidRDefault="00492EB5" w:rsidP="00A95ADF">
      <w:pPr>
        <w:numPr>
          <w:ilvl w:val="0"/>
          <w:numId w:val="20"/>
        </w:numPr>
        <w:spacing w:after="0" w:line="240" w:lineRule="auto"/>
        <w:ind w:left="709" w:hanging="349"/>
        <w:jc w:val="both"/>
        <w:rPr>
          <w:rFonts w:ascii="Century Gothic" w:hAnsi="Century Gothic" w:cs="Arial"/>
          <w:color w:val="808080"/>
        </w:rPr>
      </w:pPr>
      <w:r w:rsidRPr="008F32AD">
        <w:rPr>
          <w:rFonts w:ascii="Century Gothic" w:hAnsi="Century Gothic" w:cs="Arial"/>
          <w:color w:val="808080"/>
        </w:rPr>
        <w:t>El envío de dichos archivos se hará al ejecutivo que solicito la factura a menos que éste indique que se envié directamente a la empresa.</w:t>
      </w:r>
    </w:p>
    <w:p w14:paraId="2FA92BD3" w14:textId="77777777" w:rsidR="00492EB5" w:rsidRDefault="00492EB5" w:rsidP="00A95ADF">
      <w:pPr>
        <w:numPr>
          <w:ilvl w:val="0"/>
          <w:numId w:val="20"/>
        </w:numPr>
        <w:spacing w:after="0" w:line="240" w:lineRule="auto"/>
        <w:ind w:left="709" w:hanging="349"/>
        <w:jc w:val="both"/>
        <w:rPr>
          <w:rFonts w:ascii="Century Gothic" w:hAnsi="Century Gothic" w:cs="Arial"/>
          <w:color w:val="808080"/>
        </w:rPr>
      </w:pPr>
      <w:r w:rsidRPr="008F32AD">
        <w:rPr>
          <w:rFonts w:ascii="Century Gothic" w:hAnsi="Century Gothic" w:cs="Arial"/>
          <w:color w:val="808080"/>
        </w:rPr>
        <w:t>Dado que esta DFA requiere del comprobante de pago para el timbrado de las solicitudes de facturación, será responsabilidad del ejecutivo dar el seguimiento oportuno para la recuperación del comprobante de pago.</w:t>
      </w:r>
    </w:p>
    <w:p w14:paraId="08030E0E" w14:textId="77777777" w:rsidR="00492EB5" w:rsidRPr="008F32AD" w:rsidRDefault="00492EB5" w:rsidP="00492EB5">
      <w:pPr>
        <w:jc w:val="both"/>
        <w:rPr>
          <w:rFonts w:ascii="Century Gothic" w:hAnsi="Century Gothic" w:cs="Arial"/>
          <w:color w:val="808080"/>
        </w:rPr>
      </w:pPr>
    </w:p>
    <w:p w14:paraId="783EDEBD" w14:textId="77777777" w:rsidR="00492EB5" w:rsidRDefault="00492EB5" w:rsidP="00A95ADF">
      <w:pPr>
        <w:numPr>
          <w:ilvl w:val="0"/>
          <w:numId w:val="20"/>
        </w:numPr>
        <w:spacing w:after="0" w:line="240" w:lineRule="auto"/>
        <w:ind w:left="709" w:hanging="349"/>
        <w:jc w:val="both"/>
        <w:rPr>
          <w:rFonts w:ascii="Century Gothic" w:hAnsi="Century Gothic" w:cs="Arial"/>
          <w:color w:val="808080"/>
        </w:rPr>
      </w:pPr>
      <w:r w:rsidRPr="008F32AD">
        <w:rPr>
          <w:rFonts w:ascii="Century Gothic" w:hAnsi="Century Gothic" w:cs="Arial"/>
          <w:color w:val="808080"/>
        </w:rPr>
        <w:t>No se podrá solicitar factura de depósitos cuya antigüedad sea mayor a 60 días.</w:t>
      </w:r>
    </w:p>
    <w:p w14:paraId="1EF3E695" w14:textId="77777777" w:rsidR="00492EB5" w:rsidRPr="008F32AD" w:rsidRDefault="00492EB5" w:rsidP="00492EB5">
      <w:pPr>
        <w:jc w:val="both"/>
        <w:rPr>
          <w:rFonts w:ascii="Century Gothic" w:hAnsi="Century Gothic" w:cs="Arial"/>
          <w:color w:val="808080"/>
        </w:rPr>
      </w:pPr>
    </w:p>
    <w:p w14:paraId="0DE1A797" w14:textId="77777777" w:rsidR="00492EB5" w:rsidRPr="008F32AD" w:rsidRDefault="00492EB5" w:rsidP="00A95ADF">
      <w:pPr>
        <w:numPr>
          <w:ilvl w:val="0"/>
          <w:numId w:val="20"/>
        </w:numPr>
        <w:spacing w:after="0" w:line="240" w:lineRule="auto"/>
        <w:ind w:left="709" w:hanging="349"/>
        <w:jc w:val="both"/>
        <w:rPr>
          <w:rFonts w:ascii="Century Gothic" w:hAnsi="Century Gothic" w:cs="Arial"/>
          <w:color w:val="808080"/>
        </w:rPr>
      </w:pPr>
      <w:r w:rsidRPr="008F32AD">
        <w:rPr>
          <w:rFonts w:ascii="Century Gothic" w:hAnsi="Century Gothic" w:cs="Arial"/>
          <w:color w:val="808080"/>
        </w:rPr>
        <w:lastRenderedPageBreak/>
        <w:t>Los depósitos  derivados de ingresos no identificados al cierre de este periodo podrán ser incluidos en una factura global emitida al público en general.</w:t>
      </w:r>
    </w:p>
    <w:p w14:paraId="24E70DF2" w14:textId="77777777" w:rsidR="00492EB5" w:rsidRPr="00E24AB9" w:rsidRDefault="00492EB5" w:rsidP="00492EB5">
      <w:pPr>
        <w:jc w:val="both"/>
        <w:rPr>
          <w:rFonts w:ascii="Century Gothic" w:hAnsi="Century Gothic" w:cs="Arial"/>
          <w:color w:val="808080"/>
        </w:rPr>
      </w:pPr>
    </w:p>
    <w:p w14:paraId="4F0EB855" w14:textId="77777777" w:rsidR="00492EB5" w:rsidRPr="00667D2B" w:rsidRDefault="00492EB5" w:rsidP="00492EB5">
      <w:pPr>
        <w:pStyle w:val="Prrafodelista"/>
        <w:autoSpaceDE w:val="0"/>
        <w:autoSpaceDN w:val="0"/>
        <w:adjustRightInd w:val="0"/>
        <w:ind w:left="0"/>
        <w:jc w:val="both"/>
        <w:rPr>
          <w:rFonts w:ascii="Century Gothic" w:hAnsi="Century Gothic" w:cs="Arial"/>
          <w:b/>
        </w:rPr>
      </w:pPr>
      <w:r w:rsidRPr="00667D2B">
        <w:rPr>
          <w:rFonts w:ascii="Century Gothic" w:hAnsi="Century Gothic" w:cs="Arial"/>
          <w:b/>
        </w:rPr>
        <w:t xml:space="preserve">Apartado </w:t>
      </w:r>
      <w:r>
        <w:rPr>
          <w:rFonts w:ascii="Century Gothic" w:hAnsi="Century Gothic" w:cs="Arial"/>
          <w:b/>
        </w:rPr>
        <w:t>9</w:t>
      </w:r>
      <w:r w:rsidRPr="00667D2B">
        <w:rPr>
          <w:rFonts w:ascii="Century Gothic" w:hAnsi="Century Gothic" w:cs="Arial"/>
          <w:b/>
        </w:rPr>
        <w:t>.- Cancelación de Cuentas Incobrables.</w:t>
      </w:r>
    </w:p>
    <w:p w14:paraId="02C2704C" w14:textId="77777777" w:rsidR="00492EB5" w:rsidRPr="00667D2B" w:rsidRDefault="00492EB5" w:rsidP="00492EB5">
      <w:pPr>
        <w:pStyle w:val="Prrafodelista"/>
        <w:autoSpaceDE w:val="0"/>
        <w:autoSpaceDN w:val="0"/>
        <w:adjustRightInd w:val="0"/>
        <w:ind w:left="0"/>
        <w:jc w:val="both"/>
        <w:rPr>
          <w:rFonts w:ascii="Century Gothic" w:hAnsi="Century Gothic" w:cs="Arial"/>
          <w:b/>
        </w:rPr>
      </w:pPr>
    </w:p>
    <w:p w14:paraId="785AB7CC" w14:textId="77777777" w:rsidR="00492EB5" w:rsidRPr="00667D2B" w:rsidRDefault="00492EB5" w:rsidP="00492EB5">
      <w:pPr>
        <w:autoSpaceDE w:val="0"/>
        <w:autoSpaceDN w:val="0"/>
        <w:adjustRightInd w:val="0"/>
        <w:jc w:val="both"/>
        <w:rPr>
          <w:rFonts w:ascii="Century Gothic" w:hAnsi="Century Gothic" w:cs="Calibri"/>
          <w:color w:val="808080"/>
        </w:rPr>
      </w:pPr>
      <w:r w:rsidRPr="00667D2B">
        <w:rPr>
          <w:rFonts w:ascii="Century Gothic" w:hAnsi="Century Gothic" w:cs="Calibri"/>
          <w:color w:val="808080"/>
        </w:rPr>
        <w:t>La Dirección Financiera y de Administración (DFA) a través del área que ésta designe, será la encargada de realizar la facturación del organismo derivada de la venta de bienes y/o servicios que ofrece la COFOCE atendiendo a lo siguiente:</w:t>
      </w:r>
    </w:p>
    <w:p w14:paraId="4B4A030C" w14:textId="77777777" w:rsidR="00492EB5" w:rsidRPr="00667D2B" w:rsidRDefault="00492EB5" w:rsidP="00492EB5">
      <w:pPr>
        <w:autoSpaceDE w:val="0"/>
        <w:autoSpaceDN w:val="0"/>
        <w:adjustRightInd w:val="0"/>
        <w:jc w:val="both"/>
        <w:rPr>
          <w:rFonts w:ascii="Century Gothic" w:hAnsi="Century Gothic" w:cs="Calibri"/>
          <w:color w:val="808080"/>
        </w:rPr>
      </w:pPr>
    </w:p>
    <w:p w14:paraId="7163D087" w14:textId="77777777" w:rsidR="00492EB5" w:rsidRDefault="00492EB5" w:rsidP="00A95ADF">
      <w:pPr>
        <w:pStyle w:val="Prrafodelista"/>
        <w:numPr>
          <w:ilvl w:val="0"/>
          <w:numId w:val="44"/>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 xml:space="preserve">La unidad responsable deberá enviar a la DFA correo Electrónico solicitando la factura, en donde integre lo siguiente: </w:t>
      </w:r>
    </w:p>
    <w:p w14:paraId="1D43BDD6" w14:textId="77777777" w:rsidR="00492EB5" w:rsidRDefault="00492EB5" w:rsidP="00492EB5">
      <w:pPr>
        <w:pStyle w:val="Prrafodelista"/>
        <w:autoSpaceDE w:val="0"/>
        <w:autoSpaceDN w:val="0"/>
        <w:adjustRightInd w:val="0"/>
        <w:jc w:val="both"/>
        <w:rPr>
          <w:rFonts w:ascii="Century Gothic" w:hAnsi="Century Gothic" w:cs="Calibri"/>
          <w:color w:val="808080"/>
        </w:rPr>
      </w:pPr>
      <w:r w:rsidRPr="00667D2B">
        <w:rPr>
          <w:rFonts w:ascii="Century Gothic" w:hAnsi="Century Gothic" w:cs="Calibri"/>
          <w:color w:val="808080"/>
        </w:rPr>
        <w:t xml:space="preserve">Razón social, RFC, Código Postal, Dirección, Número, Localidad, Municipio, Estado, Método de pago, Correo electrónico a donde se enviará la factura y los últimos 3 dígitos de la cuenta con la que se generó el pago de dicha factura, así como también especificar el Concepto de dicha factura. </w:t>
      </w:r>
    </w:p>
    <w:p w14:paraId="4AD678B5" w14:textId="77777777" w:rsidR="00492EB5" w:rsidRDefault="00492EB5" w:rsidP="00492EB5">
      <w:pPr>
        <w:pStyle w:val="Prrafodelista"/>
        <w:autoSpaceDE w:val="0"/>
        <w:autoSpaceDN w:val="0"/>
        <w:adjustRightInd w:val="0"/>
        <w:ind w:left="0"/>
        <w:jc w:val="both"/>
        <w:rPr>
          <w:rFonts w:ascii="Century Gothic" w:hAnsi="Century Gothic" w:cs="Calibri"/>
          <w:color w:val="808080"/>
        </w:rPr>
      </w:pPr>
    </w:p>
    <w:p w14:paraId="20E199EA" w14:textId="77777777" w:rsidR="00492EB5" w:rsidRDefault="00492EB5" w:rsidP="00A95ADF">
      <w:pPr>
        <w:pStyle w:val="Prrafodelista"/>
        <w:numPr>
          <w:ilvl w:val="0"/>
          <w:numId w:val="44"/>
        </w:numPr>
        <w:autoSpaceDE w:val="0"/>
        <w:autoSpaceDN w:val="0"/>
        <w:adjustRightInd w:val="0"/>
        <w:spacing w:after="0" w:line="240" w:lineRule="auto"/>
        <w:jc w:val="both"/>
        <w:rPr>
          <w:rFonts w:ascii="Century Gothic" w:hAnsi="Century Gothic" w:cs="Calibri"/>
          <w:color w:val="808080"/>
        </w:rPr>
      </w:pPr>
      <w:r>
        <w:rPr>
          <w:rFonts w:ascii="Century Gothic" w:hAnsi="Century Gothic" w:cs="Calibri"/>
          <w:color w:val="808080"/>
        </w:rPr>
        <w:t>O</w:t>
      </w:r>
      <w:r w:rsidRPr="00667D2B">
        <w:rPr>
          <w:rFonts w:ascii="Century Gothic" w:hAnsi="Century Gothic" w:cs="Calibri"/>
          <w:color w:val="808080"/>
        </w:rPr>
        <w:t>torgar a la DFA copia del comprobante de pago de dicha factura o en su caso un escrito en el que se visualice el compromiso de pago por parte de la empresa o el tercero, en donde se establece la fecha límite compromiso de pago por parte de la empresa para cubrir el adeudo.</w:t>
      </w:r>
    </w:p>
    <w:p w14:paraId="09DA578A" w14:textId="77777777" w:rsidR="00492EB5" w:rsidRPr="00667D2B" w:rsidRDefault="00492EB5" w:rsidP="00492EB5">
      <w:pPr>
        <w:pStyle w:val="Prrafodelista"/>
        <w:autoSpaceDE w:val="0"/>
        <w:autoSpaceDN w:val="0"/>
        <w:adjustRightInd w:val="0"/>
        <w:jc w:val="both"/>
        <w:rPr>
          <w:rFonts w:ascii="Century Gothic" w:hAnsi="Century Gothic" w:cs="Calibri"/>
          <w:color w:val="808080"/>
        </w:rPr>
      </w:pPr>
    </w:p>
    <w:p w14:paraId="185CFF15" w14:textId="77777777" w:rsidR="00492EB5" w:rsidRPr="00667D2B" w:rsidRDefault="00492EB5" w:rsidP="00A95ADF">
      <w:pPr>
        <w:pStyle w:val="Prrafodelista"/>
        <w:numPr>
          <w:ilvl w:val="0"/>
          <w:numId w:val="44"/>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 xml:space="preserve">A partir de que se cuenta con todo lo anterior el departamento administrativo se encargará de la elaboración de dicha factura y se reenviará por medio de correo electrónico tanto a la empresa como al ejecutivo que solicitó la emisión de ésta. </w:t>
      </w:r>
    </w:p>
    <w:p w14:paraId="42B29A13" w14:textId="77777777" w:rsidR="00492EB5" w:rsidRPr="00667D2B" w:rsidRDefault="00492EB5" w:rsidP="00492EB5">
      <w:pPr>
        <w:autoSpaceDE w:val="0"/>
        <w:autoSpaceDN w:val="0"/>
        <w:adjustRightInd w:val="0"/>
        <w:jc w:val="both"/>
        <w:rPr>
          <w:rFonts w:ascii="Century Gothic" w:hAnsi="Century Gothic" w:cs="Calibri"/>
          <w:color w:val="808080"/>
        </w:rPr>
      </w:pPr>
    </w:p>
    <w:p w14:paraId="58CDB5C0" w14:textId="77777777" w:rsidR="00492EB5" w:rsidRPr="00667D2B" w:rsidRDefault="00492EB5" w:rsidP="00492EB5">
      <w:pPr>
        <w:autoSpaceDE w:val="0"/>
        <w:autoSpaceDN w:val="0"/>
        <w:adjustRightInd w:val="0"/>
        <w:jc w:val="both"/>
        <w:rPr>
          <w:rFonts w:ascii="Century Gothic" w:hAnsi="Century Gothic" w:cs="Calibri"/>
          <w:b/>
          <w:color w:val="808080"/>
        </w:rPr>
      </w:pPr>
      <w:r w:rsidRPr="00667D2B">
        <w:rPr>
          <w:rFonts w:ascii="Century Gothic" w:hAnsi="Century Gothic" w:cs="Calibri"/>
          <w:b/>
          <w:color w:val="808080"/>
        </w:rPr>
        <w:t>Cuando se considera incobrable una cuenta:</w:t>
      </w:r>
    </w:p>
    <w:p w14:paraId="66C26156" w14:textId="77777777" w:rsidR="00492EB5" w:rsidRPr="00667D2B" w:rsidRDefault="00492EB5" w:rsidP="00492EB5">
      <w:pPr>
        <w:autoSpaceDE w:val="0"/>
        <w:autoSpaceDN w:val="0"/>
        <w:adjustRightInd w:val="0"/>
        <w:jc w:val="both"/>
        <w:rPr>
          <w:rFonts w:ascii="Century Gothic" w:hAnsi="Century Gothic" w:cs="Calibri"/>
          <w:color w:val="808080"/>
        </w:rPr>
      </w:pPr>
    </w:p>
    <w:p w14:paraId="4A1D113C" w14:textId="77777777" w:rsidR="00492EB5" w:rsidRPr="00667D2B" w:rsidRDefault="00492EB5" w:rsidP="00A95ADF">
      <w:pPr>
        <w:pStyle w:val="Prrafodelista"/>
        <w:numPr>
          <w:ilvl w:val="0"/>
          <w:numId w:val="45"/>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Para COFOCE una cuenta se considera incobrable cuando su vencimiento ha sobrepasado los 90 días desde la fecha de emisión de la factura respectiva.</w:t>
      </w:r>
    </w:p>
    <w:p w14:paraId="582B0157" w14:textId="77777777" w:rsidR="00492EB5" w:rsidRPr="00667D2B" w:rsidRDefault="00492EB5" w:rsidP="00A95ADF">
      <w:pPr>
        <w:pStyle w:val="Prrafodelista"/>
        <w:numPr>
          <w:ilvl w:val="0"/>
          <w:numId w:val="45"/>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lastRenderedPageBreak/>
        <w:t>A partir del desfase de tiempo indicado en el párrafo anterior, la cuenta contable que refiere al cliente en cuestión, es catalogada dentro del rubro denominado “cartera vencida”.</w:t>
      </w:r>
    </w:p>
    <w:p w14:paraId="04DF3895" w14:textId="77777777" w:rsidR="00492EB5" w:rsidRPr="00667D2B" w:rsidRDefault="00492EB5" w:rsidP="00A95ADF">
      <w:pPr>
        <w:pStyle w:val="Prrafodelista"/>
        <w:numPr>
          <w:ilvl w:val="0"/>
          <w:numId w:val="45"/>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Un cliente o cuenta contable se denomina “moroso(a)”, cuando cae en los supuestos anteriores.</w:t>
      </w:r>
    </w:p>
    <w:p w14:paraId="028A54AB" w14:textId="77777777" w:rsidR="00492EB5" w:rsidRPr="00667D2B" w:rsidRDefault="00492EB5" w:rsidP="00492EB5">
      <w:pPr>
        <w:autoSpaceDE w:val="0"/>
        <w:autoSpaceDN w:val="0"/>
        <w:adjustRightInd w:val="0"/>
        <w:jc w:val="both"/>
        <w:rPr>
          <w:rFonts w:ascii="Century Gothic" w:hAnsi="Century Gothic" w:cs="Calibri"/>
          <w:color w:val="808080"/>
        </w:rPr>
      </w:pPr>
    </w:p>
    <w:p w14:paraId="0FDEE1DE" w14:textId="77777777" w:rsidR="00492EB5" w:rsidRPr="00667D2B" w:rsidRDefault="00492EB5" w:rsidP="00492EB5">
      <w:pPr>
        <w:autoSpaceDE w:val="0"/>
        <w:autoSpaceDN w:val="0"/>
        <w:adjustRightInd w:val="0"/>
        <w:jc w:val="both"/>
        <w:rPr>
          <w:rFonts w:ascii="Century Gothic" w:hAnsi="Century Gothic" w:cs="Calibri"/>
          <w:b/>
          <w:color w:val="808080"/>
        </w:rPr>
      </w:pPr>
      <w:r w:rsidRPr="00667D2B">
        <w:rPr>
          <w:rFonts w:ascii="Century Gothic" w:hAnsi="Century Gothic" w:cs="Calibri"/>
          <w:b/>
          <w:color w:val="808080"/>
        </w:rPr>
        <w:t>Seguimiento a las cuentas incobrables:</w:t>
      </w:r>
    </w:p>
    <w:p w14:paraId="748BA889" w14:textId="77777777" w:rsidR="00492EB5" w:rsidRPr="00667D2B" w:rsidRDefault="00492EB5" w:rsidP="00492EB5">
      <w:pPr>
        <w:autoSpaceDE w:val="0"/>
        <w:autoSpaceDN w:val="0"/>
        <w:adjustRightInd w:val="0"/>
        <w:jc w:val="both"/>
        <w:rPr>
          <w:rFonts w:ascii="Century Gothic" w:hAnsi="Century Gothic" w:cs="Calibri"/>
          <w:color w:val="808080"/>
        </w:rPr>
      </w:pPr>
    </w:p>
    <w:p w14:paraId="2CCD8B07" w14:textId="77777777" w:rsidR="00492EB5" w:rsidRPr="00667D2B" w:rsidRDefault="00492EB5" w:rsidP="00492EB5">
      <w:pPr>
        <w:autoSpaceDE w:val="0"/>
        <w:autoSpaceDN w:val="0"/>
        <w:adjustRightInd w:val="0"/>
        <w:jc w:val="both"/>
        <w:rPr>
          <w:rFonts w:ascii="Century Gothic" w:hAnsi="Century Gothic" w:cs="Calibri"/>
          <w:color w:val="808080"/>
        </w:rPr>
      </w:pPr>
      <w:r w:rsidRPr="00667D2B">
        <w:rPr>
          <w:rFonts w:ascii="Century Gothic" w:hAnsi="Century Gothic" w:cs="Calibri"/>
          <w:color w:val="808080"/>
        </w:rPr>
        <w:t>El seguimiento para la recuperabilidad de las cuentas morosas se documentará con base en descrito a continuación:</w:t>
      </w:r>
    </w:p>
    <w:p w14:paraId="645B5DBD" w14:textId="77777777" w:rsidR="00492EB5" w:rsidRPr="00667D2B" w:rsidRDefault="00492EB5" w:rsidP="00492EB5">
      <w:pPr>
        <w:autoSpaceDE w:val="0"/>
        <w:autoSpaceDN w:val="0"/>
        <w:adjustRightInd w:val="0"/>
        <w:jc w:val="both"/>
        <w:rPr>
          <w:rFonts w:ascii="Century Gothic" w:hAnsi="Century Gothic" w:cs="Calibri"/>
          <w:color w:val="808080"/>
        </w:rPr>
      </w:pPr>
    </w:p>
    <w:p w14:paraId="2027FF78" w14:textId="77777777" w:rsidR="00492EB5" w:rsidRDefault="00492EB5" w:rsidP="00A95ADF">
      <w:pPr>
        <w:pStyle w:val="Prrafodelista"/>
        <w:numPr>
          <w:ilvl w:val="0"/>
          <w:numId w:val="46"/>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Carta compromiso o escrito libre en el que se manifestó el compromiso de pago por parte del cliente.</w:t>
      </w:r>
    </w:p>
    <w:p w14:paraId="39804FF9" w14:textId="77777777" w:rsidR="00492EB5" w:rsidRPr="00667D2B" w:rsidRDefault="00492EB5" w:rsidP="00492EB5">
      <w:pPr>
        <w:pStyle w:val="Prrafodelista"/>
        <w:autoSpaceDE w:val="0"/>
        <w:autoSpaceDN w:val="0"/>
        <w:adjustRightInd w:val="0"/>
        <w:jc w:val="both"/>
        <w:rPr>
          <w:rFonts w:ascii="Century Gothic" w:hAnsi="Century Gothic" w:cs="Calibri"/>
          <w:color w:val="808080"/>
        </w:rPr>
      </w:pPr>
    </w:p>
    <w:p w14:paraId="0A88D1D6" w14:textId="77777777" w:rsidR="00492EB5" w:rsidRPr="00667D2B" w:rsidRDefault="00492EB5" w:rsidP="00A95ADF">
      <w:pPr>
        <w:pStyle w:val="Prrafodelista"/>
        <w:numPr>
          <w:ilvl w:val="0"/>
          <w:numId w:val="46"/>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 xml:space="preserve">Escrito o correo electrónico enviado por la Dirección Financiera al ejecutivo que solicitó la factura, en la que se le haga de conocimiento el folio de la factura no cubierto, el nombre de la empresa o cliente deudor, el monto y el tiempo propuesto por el cliente para cubrir el adeudo. </w:t>
      </w:r>
    </w:p>
    <w:p w14:paraId="3DE6B212" w14:textId="77777777" w:rsidR="00492EB5" w:rsidRPr="00667D2B" w:rsidRDefault="00492EB5" w:rsidP="00492EB5">
      <w:pPr>
        <w:pStyle w:val="Prrafodelista"/>
        <w:autoSpaceDE w:val="0"/>
        <w:autoSpaceDN w:val="0"/>
        <w:adjustRightInd w:val="0"/>
        <w:jc w:val="both"/>
        <w:rPr>
          <w:rFonts w:ascii="Century Gothic" w:hAnsi="Century Gothic" w:cs="Calibri"/>
          <w:color w:val="808080"/>
        </w:rPr>
      </w:pPr>
      <w:r w:rsidRPr="00667D2B">
        <w:rPr>
          <w:rFonts w:ascii="Century Gothic" w:hAnsi="Century Gothic" w:cs="Calibri"/>
          <w:color w:val="808080"/>
        </w:rPr>
        <w:t>En este momento se abre un expediente de dicha cuenta morosa.</w:t>
      </w:r>
    </w:p>
    <w:p w14:paraId="564A2046" w14:textId="77777777" w:rsidR="00492EB5" w:rsidRPr="00667D2B" w:rsidRDefault="00492EB5" w:rsidP="00492EB5">
      <w:pPr>
        <w:pStyle w:val="Prrafodelista"/>
        <w:autoSpaceDE w:val="0"/>
        <w:autoSpaceDN w:val="0"/>
        <w:adjustRightInd w:val="0"/>
        <w:jc w:val="both"/>
        <w:rPr>
          <w:rFonts w:ascii="Century Gothic" w:hAnsi="Century Gothic" w:cs="Calibri"/>
          <w:color w:val="808080"/>
        </w:rPr>
      </w:pPr>
    </w:p>
    <w:p w14:paraId="74C4FF0F" w14:textId="77777777" w:rsidR="00492EB5" w:rsidRDefault="00492EB5" w:rsidP="00A95ADF">
      <w:pPr>
        <w:pStyle w:val="Prrafodelista"/>
        <w:numPr>
          <w:ilvl w:val="0"/>
          <w:numId w:val="46"/>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 xml:space="preserve">Originales o copias por autoridad facultada, del documento que dieron origen al registro del adeudo (Factura). </w:t>
      </w:r>
    </w:p>
    <w:p w14:paraId="4479D64A" w14:textId="77777777" w:rsidR="00492EB5" w:rsidRPr="00667D2B" w:rsidRDefault="00492EB5" w:rsidP="00492EB5">
      <w:pPr>
        <w:pStyle w:val="Prrafodelista"/>
        <w:autoSpaceDE w:val="0"/>
        <w:autoSpaceDN w:val="0"/>
        <w:adjustRightInd w:val="0"/>
        <w:jc w:val="both"/>
        <w:rPr>
          <w:rFonts w:ascii="Century Gothic" w:hAnsi="Century Gothic" w:cs="Calibri"/>
          <w:color w:val="808080"/>
        </w:rPr>
      </w:pPr>
    </w:p>
    <w:p w14:paraId="111EA7D5" w14:textId="77777777" w:rsidR="00492EB5" w:rsidRPr="00667D2B" w:rsidRDefault="00492EB5" w:rsidP="00A95ADF">
      <w:pPr>
        <w:pStyle w:val="Prrafodelista"/>
        <w:numPr>
          <w:ilvl w:val="0"/>
          <w:numId w:val="46"/>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Documento(s) que demuestre(n) las acciones tomadas para recuperar el adeudo como por ejemplo los siguientes:</w:t>
      </w:r>
    </w:p>
    <w:p w14:paraId="60194CC6" w14:textId="77777777" w:rsidR="00492EB5" w:rsidRPr="00667D2B" w:rsidRDefault="00492EB5" w:rsidP="00A95ADF">
      <w:pPr>
        <w:pStyle w:val="Prrafodelista"/>
        <w:numPr>
          <w:ilvl w:val="0"/>
          <w:numId w:val="47"/>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 xml:space="preserve">Correos Electrónicos, </w:t>
      </w:r>
    </w:p>
    <w:p w14:paraId="45A34330" w14:textId="77777777" w:rsidR="00492EB5" w:rsidRPr="00667D2B" w:rsidRDefault="00492EB5" w:rsidP="00A95ADF">
      <w:pPr>
        <w:pStyle w:val="Prrafodelista"/>
        <w:numPr>
          <w:ilvl w:val="0"/>
          <w:numId w:val="47"/>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Reporte de llamadas telefónicas.</w:t>
      </w:r>
    </w:p>
    <w:p w14:paraId="23555A90" w14:textId="77777777" w:rsidR="00492EB5" w:rsidRPr="00667D2B" w:rsidRDefault="00492EB5" w:rsidP="00A95ADF">
      <w:pPr>
        <w:pStyle w:val="Prrafodelista"/>
        <w:numPr>
          <w:ilvl w:val="0"/>
          <w:numId w:val="47"/>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Oficios (al menos 3 de seguimiento).</w:t>
      </w:r>
    </w:p>
    <w:p w14:paraId="1C7FFCCA" w14:textId="77777777" w:rsidR="00492EB5" w:rsidRPr="00667D2B" w:rsidRDefault="00492EB5" w:rsidP="00A95ADF">
      <w:pPr>
        <w:pStyle w:val="Prrafodelista"/>
        <w:numPr>
          <w:ilvl w:val="0"/>
          <w:numId w:val="47"/>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Visitas domiciliarias (Fotos).</w:t>
      </w:r>
    </w:p>
    <w:p w14:paraId="751186E1" w14:textId="77777777" w:rsidR="00492EB5" w:rsidRPr="00667D2B" w:rsidRDefault="00492EB5" w:rsidP="00A95ADF">
      <w:pPr>
        <w:pStyle w:val="Prrafodelista"/>
        <w:numPr>
          <w:ilvl w:val="0"/>
          <w:numId w:val="47"/>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Acta de hechos (ver formato anexo).</w:t>
      </w:r>
    </w:p>
    <w:p w14:paraId="3C705A1A" w14:textId="77777777" w:rsidR="00492EB5" w:rsidRPr="00667D2B" w:rsidRDefault="00492EB5" w:rsidP="00492EB5">
      <w:pPr>
        <w:pStyle w:val="Prrafodelista"/>
        <w:autoSpaceDE w:val="0"/>
        <w:autoSpaceDN w:val="0"/>
        <w:adjustRightInd w:val="0"/>
        <w:ind w:left="2136"/>
        <w:jc w:val="both"/>
        <w:rPr>
          <w:rFonts w:ascii="Century Gothic" w:hAnsi="Century Gothic" w:cs="Calibri"/>
          <w:color w:val="808080"/>
        </w:rPr>
      </w:pPr>
    </w:p>
    <w:p w14:paraId="3D3D74BB" w14:textId="77777777" w:rsidR="00492EB5" w:rsidRDefault="00492EB5" w:rsidP="00A95ADF">
      <w:pPr>
        <w:pStyle w:val="Prrafodelista"/>
        <w:numPr>
          <w:ilvl w:val="0"/>
          <w:numId w:val="46"/>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Con el dictamen de incobrabilidad generado por el área Jurídica de COFOCE o el despacho jurídico externo con que cuente el organismo.</w:t>
      </w:r>
    </w:p>
    <w:p w14:paraId="79B4093D" w14:textId="77777777" w:rsidR="00492EB5" w:rsidRPr="00667D2B" w:rsidRDefault="00492EB5" w:rsidP="00492EB5">
      <w:pPr>
        <w:pStyle w:val="Prrafodelista"/>
        <w:autoSpaceDE w:val="0"/>
        <w:autoSpaceDN w:val="0"/>
        <w:adjustRightInd w:val="0"/>
        <w:jc w:val="both"/>
        <w:rPr>
          <w:rFonts w:ascii="Century Gothic" w:hAnsi="Century Gothic" w:cs="Calibri"/>
          <w:color w:val="808080"/>
        </w:rPr>
      </w:pPr>
    </w:p>
    <w:p w14:paraId="0AD36B2A" w14:textId="77777777" w:rsidR="00492EB5" w:rsidRPr="00667D2B" w:rsidRDefault="00492EB5" w:rsidP="00A95ADF">
      <w:pPr>
        <w:pStyle w:val="Prrafodelista"/>
        <w:numPr>
          <w:ilvl w:val="0"/>
          <w:numId w:val="46"/>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lastRenderedPageBreak/>
        <w:t>La demás documentación que se considere necesaria y que acredite que dicha cuenta se encuentra en términos de incobrabilidad y que su pago definitivamente no será cubierto por dicha empresa.</w:t>
      </w:r>
    </w:p>
    <w:p w14:paraId="6BC2E36D" w14:textId="77777777" w:rsidR="00492EB5" w:rsidRDefault="00492EB5" w:rsidP="00492EB5">
      <w:pPr>
        <w:autoSpaceDE w:val="0"/>
        <w:autoSpaceDN w:val="0"/>
        <w:adjustRightInd w:val="0"/>
        <w:jc w:val="both"/>
        <w:rPr>
          <w:rFonts w:ascii="Century Gothic" w:hAnsi="Century Gothic" w:cs="Calibri"/>
          <w:color w:val="808080"/>
        </w:rPr>
      </w:pPr>
    </w:p>
    <w:p w14:paraId="2E9BBD24" w14:textId="77777777" w:rsidR="00492EB5" w:rsidRPr="00667D2B" w:rsidRDefault="00492EB5" w:rsidP="00492EB5">
      <w:pPr>
        <w:autoSpaceDE w:val="0"/>
        <w:autoSpaceDN w:val="0"/>
        <w:adjustRightInd w:val="0"/>
        <w:jc w:val="both"/>
        <w:rPr>
          <w:rFonts w:ascii="Century Gothic" w:hAnsi="Century Gothic" w:cs="Calibri"/>
          <w:b/>
          <w:color w:val="808080"/>
        </w:rPr>
      </w:pPr>
      <w:r w:rsidRPr="00667D2B">
        <w:rPr>
          <w:rFonts w:ascii="Century Gothic" w:hAnsi="Century Gothic" w:cs="Calibri"/>
          <w:b/>
          <w:color w:val="808080"/>
        </w:rPr>
        <w:t>Cancelación de la Cartera Vencida o Cuentas Incobrables</w:t>
      </w:r>
    </w:p>
    <w:p w14:paraId="27B3E153" w14:textId="77777777" w:rsidR="00492EB5" w:rsidRPr="00667D2B" w:rsidRDefault="00492EB5" w:rsidP="00492EB5">
      <w:pPr>
        <w:autoSpaceDE w:val="0"/>
        <w:autoSpaceDN w:val="0"/>
        <w:adjustRightInd w:val="0"/>
        <w:jc w:val="both"/>
        <w:rPr>
          <w:rFonts w:ascii="Century Gothic" w:hAnsi="Century Gothic" w:cs="Calibri"/>
          <w:color w:val="808080"/>
        </w:rPr>
      </w:pPr>
    </w:p>
    <w:p w14:paraId="3AD7FF6D" w14:textId="77777777" w:rsidR="00492EB5" w:rsidRPr="00667D2B" w:rsidRDefault="00492EB5" w:rsidP="00492EB5">
      <w:pPr>
        <w:autoSpaceDE w:val="0"/>
        <w:autoSpaceDN w:val="0"/>
        <w:adjustRightInd w:val="0"/>
        <w:ind w:firstLine="360"/>
        <w:jc w:val="both"/>
        <w:rPr>
          <w:rFonts w:ascii="Century Gothic" w:hAnsi="Century Gothic" w:cs="Calibri"/>
          <w:color w:val="808080"/>
        </w:rPr>
      </w:pPr>
      <w:r w:rsidRPr="00667D2B">
        <w:rPr>
          <w:rFonts w:ascii="Century Gothic" w:hAnsi="Century Gothic" w:cs="Calibri"/>
          <w:color w:val="808080"/>
        </w:rPr>
        <w:t>Los requisitos para la procedencia en la cancelación contable de las cuentas determinadas como incobrables que constituyan la “Cartera Vencida” serán:</w:t>
      </w:r>
    </w:p>
    <w:p w14:paraId="0B6EBD03" w14:textId="77777777" w:rsidR="00492EB5" w:rsidRPr="00667D2B" w:rsidRDefault="00492EB5" w:rsidP="00492EB5">
      <w:pPr>
        <w:autoSpaceDE w:val="0"/>
        <w:autoSpaceDN w:val="0"/>
        <w:adjustRightInd w:val="0"/>
        <w:jc w:val="both"/>
        <w:rPr>
          <w:rFonts w:ascii="Century Gothic" w:hAnsi="Century Gothic" w:cs="Calibri"/>
          <w:color w:val="808080"/>
        </w:rPr>
      </w:pPr>
    </w:p>
    <w:p w14:paraId="3255C959" w14:textId="77777777" w:rsidR="00492EB5" w:rsidRDefault="00492EB5" w:rsidP="00A95ADF">
      <w:pPr>
        <w:pStyle w:val="Prrafodelista"/>
        <w:numPr>
          <w:ilvl w:val="0"/>
          <w:numId w:val="48"/>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Que los adeudos se encuentren contablemente registrados en la cuenta denominadas “Cuentas por cobrar” dentro del sistema R3 y en los Estados Financieros del Organismo.</w:t>
      </w:r>
    </w:p>
    <w:p w14:paraId="201A2A15" w14:textId="77777777" w:rsidR="00492EB5" w:rsidRPr="00667D2B" w:rsidRDefault="00492EB5" w:rsidP="00492EB5">
      <w:pPr>
        <w:pStyle w:val="Prrafodelista"/>
        <w:autoSpaceDE w:val="0"/>
        <w:autoSpaceDN w:val="0"/>
        <w:adjustRightInd w:val="0"/>
        <w:jc w:val="both"/>
        <w:rPr>
          <w:rFonts w:ascii="Century Gothic" w:hAnsi="Century Gothic" w:cs="Calibri"/>
          <w:color w:val="808080"/>
        </w:rPr>
      </w:pPr>
    </w:p>
    <w:p w14:paraId="26CD3DCC" w14:textId="77777777" w:rsidR="00492EB5" w:rsidRDefault="00492EB5" w:rsidP="00A95ADF">
      <w:pPr>
        <w:pStyle w:val="Prrafodelista"/>
        <w:numPr>
          <w:ilvl w:val="0"/>
          <w:numId w:val="48"/>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Que exista documentación soporte de la operación realizada para el registro contable de dicha factura. (Póliza contable).</w:t>
      </w:r>
    </w:p>
    <w:p w14:paraId="2AC8909B" w14:textId="77777777" w:rsidR="00492EB5" w:rsidRPr="00667D2B" w:rsidRDefault="00492EB5" w:rsidP="00492EB5">
      <w:pPr>
        <w:pStyle w:val="Prrafodelista"/>
        <w:autoSpaceDE w:val="0"/>
        <w:autoSpaceDN w:val="0"/>
        <w:adjustRightInd w:val="0"/>
        <w:ind w:left="0"/>
        <w:jc w:val="both"/>
        <w:rPr>
          <w:rFonts w:ascii="Century Gothic" w:hAnsi="Century Gothic" w:cs="Calibri"/>
          <w:color w:val="808080"/>
        </w:rPr>
      </w:pPr>
    </w:p>
    <w:p w14:paraId="6B604773" w14:textId="77777777" w:rsidR="00492EB5" w:rsidRDefault="00492EB5" w:rsidP="00A95ADF">
      <w:pPr>
        <w:pStyle w:val="Prrafodelista"/>
        <w:numPr>
          <w:ilvl w:val="0"/>
          <w:numId w:val="48"/>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Que se encuentre integrado el expediente citado en la sección denominada “Seguimiento a las cuentas incobrables” referida a la cuenta morosa en cuestión.</w:t>
      </w:r>
    </w:p>
    <w:p w14:paraId="67A1E902" w14:textId="77777777" w:rsidR="00492EB5" w:rsidRPr="00667D2B" w:rsidRDefault="00492EB5" w:rsidP="00492EB5">
      <w:pPr>
        <w:pStyle w:val="Prrafodelista"/>
        <w:autoSpaceDE w:val="0"/>
        <w:autoSpaceDN w:val="0"/>
        <w:adjustRightInd w:val="0"/>
        <w:ind w:left="0"/>
        <w:jc w:val="both"/>
        <w:rPr>
          <w:rFonts w:ascii="Century Gothic" w:hAnsi="Century Gothic" w:cs="Calibri"/>
          <w:color w:val="808080"/>
        </w:rPr>
      </w:pPr>
    </w:p>
    <w:p w14:paraId="4974D0A9" w14:textId="77777777" w:rsidR="00492EB5" w:rsidRPr="00667D2B" w:rsidRDefault="00492EB5" w:rsidP="00A95ADF">
      <w:pPr>
        <w:pStyle w:val="Prrafodelista"/>
        <w:numPr>
          <w:ilvl w:val="0"/>
          <w:numId w:val="48"/>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Que se cuente con la copia del acuerdo tomado en la sesión respectiva del Consejo Directivo, en cuya Acta se manifieste la autorización expresa por parte de este órgano de Gobierno, para proceder a la cancelación de la cuenta incobrable.</w:t>
      </w:r>
    </w:p>
    <w:p w14:paraId="2175C28E" w14:textId="77777777" w:rsidR="00492EB5" w:rsidRPr="00667D2B" w:rsidRDefault="00492EB5" w:rsidP="00492EB5">
      <w:pPr>
        <w:autoSpaceDE w:val="0"/>
        <w:autoSpaceDN w:val="0"/>
        <w:adjustRightInd w:val="0"/>
        <w:jc w:val="both"/>
        <w:rPr>
          <w:rFonts w:ascii="Century Gothic" w:hAnsi="Century Gothic" w:cs="Calibri"/>
          <w:color w:val="808080"/>
        </w:rPr>
      </w:pPr>
    </w:p>
    <w:p w14:paraId="3DB58F49" w14:textId="77777777" w:rsidR="00492EB5" w:rsidRPr="00667D2B" w:rsidRDefault="00492EB5" w:rsidP="00492EB5">
      <w:pPr>
        <w:autoSpaceDE w:val="0"/>
        <w:autoSpaceDN w:val="0"/>
        <w:adjustRightInd w:val="0"/>
        <w:jc w:val="both"/>
        <w:rPr>
          <w:rFonts w:ascii="Century Gothic" w:hAnsi="Century Gothic" w:cs="Calibri"/>
          <w:color w:val="808080"/>
        </w:rPr>
      </w:pPr>
      <w:r w:rsidRPr="00667D2B">
        <w:rPr>
          <w:rFonts w:ascii="Century Gothic" w:hAnsi="Century Gothic" w:cs="Calibri"/>
          <w:color w:val="808080"/>
        </w:rPr>
        <w:t>Con base en lo anterior y una vez reunido el soporte descrito en los puntos precedentes, se procederá a realizar la cancelación de la cuenta incobrable y deberá generarse la póliza contable respectiva que integre los movimiento s y el soporte necesario que permita la transparencia del acto.</w:t>
      </w:r>
    </w:p>
    <w:p w14:paraId="7946CB38" w14:textId="77777777" w:rsidR="00492EB5" w:rsidRPr="00667D2B" w:rsidRDefault="00492EB5" w:rsidP="00492EB5">
      <w:pPr>
        <w:autoSpaceDE w:val="0"/>
        <w:autoSpaceDN w:val="0"/>
        <w:adjustRightInd w:val="0"/>
        <w:jc w:val="both"/>
        <w:rPr>
          <w:rFonts w:ascii="Century Gothic" w:hAnsi="Century Gothic" w:cs="Calibri"/>
          <w:color w:val="808080"/>
        </w:rPr>
      </w:pPr>
    </w:p>
    <w:p w14:paraId="2BEF0C2C" w14:textId="77777777" w:rsidR="00492EB5" w:rsidRPr="00667D2B" w:rsidRDefault="00492EB5" w:rsidP="00492EB5">
      <w:pPr>
        <w:autoSpaceDE w:val="0"/>
        <w:autoSpaceDN w:val="0"/>
        <w:adjustRightInd w:val="0"/>
        <w:jc w:val="both"/>
        <w:rPr>
          <w:rFonts w:ascii="Century Gothic" w:hAnsi="Century Gothic" w:cs="Calibri"/>
          <w:b/>
          <w:color w:val="808080"/>
        </w:rPr>
      </w:pPr>
      <w:r w:rsidRPr="00667D2B">
        <w:rPr>
          <w:rFonts w:ascii="Century Gothic" w:hAnsi="Century Gothic" w:cs="Calibri"/>
          <w:b/>
          <w:color w:val="808080"/>
        </w:rPr>
        <w:lastRenderedPageBreak/>
        <w:t>No aplicabilidad de la Política</w:t>
      </w:r>
    </w:p>
    <w:p w14:paraId="0CB2ABF6" w14:textId="77777777" w:rsidR="00492EB5" w:rsidRPr="00667D2B" w:rsidRDefault="00492EB5" w:rsidP="00492EB5">
      <w:pPr>
        <w:autoSpaceDE w:val="0"/>
        <w:autoSpaceDN w:val="0"/>
        <w:adjustRightInd w:val="0"/>
        <w:jc w:val="both"/>
        <w:rPr>
          <w:rFonts w:ascii="Century Gothic" w:hAnsi="Century Gothic" w:cs="Calibri"/>
          <w:color w:val="808080"/>
        </w:rPr>
      </w:pPr>
    </w:p>
    <w:p w14:paraId="3D7BA3C8" w14:textId="77777777" w:rsidR="00492EB5" w:rsidRPr="00667D2B" w:rsidRDefault="00492EB5" w:rsidP="00A95ADF">
      <w:pPr>
        <w:pStyle w:val="Prrafodelista"/>
        <w:numPr>
          <w:ilvl w:val="0"/>
          <w:numId w:val="49"/>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Cuando se hubiese pagado su totalidad el adeudo dentro del proceso de gestión de recuperabilidad.</w:t>
      </w:r>
    </w:p>
    <w:p w14:paraId="4B46F7F6" w14:textId="77777777" w:rsidR="00492EB5" w:rsidRPr="00667D2B" w:rsidRDefault="00492EB5" w:rsidP="00A95ADF">
      <w:pPr>
        <w:pStyle w:val="Prrafodelista"/>
        <w:numPr>
          <w:ilvl w:val="0"/>
          <w:numId w:val="49"/>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Por omisiones administrativas que hayan implicado la ausencia del registro contable del adeudo. Para este caso deberá iniciarse la gestión de actualización y seguimiento inmediato.</w:t>
      </w:r>
    </w:p>
    <w:p w14:paraId="7CA37D11" w14:textId="77777777" w:rsidR="00492EB5" w:rsidRPr="00667D2B" w:rsidRDefault="00492EB5" w:rsidP="00A95ADF">
      <w:pPr>
        <w:pStyle w:val="Prrafodelista"/>
        <w:numPr>
          <w:ilvl w:val="0"/>
          <w:numId w:val="49"/>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Cuando exista duplicidad de las cuentas registradas contablemente.</w:t>
      </w:r>
    </w:p>
    <w:p w14:paraId="2701FA2D" w14:textId="77777777" w:rsidR="00492EB5" w:rsidRPr="00667D2B" w:rsidRDefault="00492EB5" w:rsidP="00A95ADF">
      <w:pPr>
        <w:pStyle w:val="Prrafodelista"/>
        <w:numPr>
          <w:ilvl w:val="0"/>
          <w:numId w:val="49"/>
        </w:numPr>
        <w:autoSpaceDE w:val="0"/>
        <w:autoSpaceDN w:val="0"/>
        <w:adjustRightInd w:val="0"/>
        <w:spacing w:after="0" w:line="240" w:lineRule="auto"/>
        <w:jc w:val="both"/>
        <w:rPr>
          <w:rFonts w:ascii="Century Gothic" w:hAnsi="Century Gothic" w:cs="Calibri"/>
          <w:color w:val="808080"/>
        </w:rPr>
      </w:pPr>
      <w:r w:rsidRPr="00667D2B">
        <w:rPr>
          <w:rFonts w:ascii="Century Gothic" w:hAnsi="Century Gothic" w:cs="Calibri"/>
          <w:color w:val="808080"/>
        </w:rPr>
        <w:t>Cuando no exista adeudo real y se haya registrado incorrectamente la cuenta en el sistema R3. Para este caso, deberá celebrarse un acta de hechos en el que se narre, cite y documenten los pormenores del acontecimiento.</w:t>
      </w:r>
    </w:p>
    <w:p w14:paraId="11E753B6" w14:textId="77777777" w:rsidR="00492EB5" w:rsidRPr="00E24AB9" w:rsidRDefault="00492EB5" w:rsidP="00492EB5">
      <w:pPr>
        <w:jc w:val="both"/>
        <w:rPr>
          <w:rFonts w:ascii="Century Gothic" w:hAnsi="Century Gothic" w:cs="Arial"/>
          <w:color w:val="808080"/>
        </w:rPr>
      </w:pPr>
    </w:p>
    <w:p w14:paraId="72832BE8"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Pr>
          <w:rFonts w:ascii="Century Gothic" w:hAnsi="Century Gothic" w:cs="Arial"/>
          <w:b/>
        </w:rPr>
        <w:t>Apartado 10</w:t>
      </w:r>
      <w:r w:rsidRPr="002650C8">
        <w:rPr>
          <w:rFonts w:ascii="Century Gothic" w:hAnsi="Century Gothic" w:cs="Arial"/>
          <w:b/>
        </w:rPr>
        <w:t>.- Atención Auditorías.</w:t>
      </w:r>
    </w:p>
    <w:p w14:paraId="2D38455D" w14:textId="77777777" w:rsidR="00492EB5" w:rsidRPr="00E24AB9" w:rsidRDefault="00492EB5" w:rsidP="00492EB5">
      <w:pPr>
        <w:jc w:val="both"/>
        <w:rPr>
          <w:rFonts w:ascii="Century Gothic" w:hAnsi="Century Gothic" w:cs="Arial"/>
          <w:color w:val="808080"/>
        </w:rPr>
      </w:pPr>
    </w:p>
    <w:p w14:paraId="62C9D1C8" w14:textId="77777777" w:rsidR="00492EB5" w:rsidRPr="00E24AB9" w:rsidRDefault="00492EB5" w:rsidP="00492EB5">
      <w:pPr>
        <w:autoSpaceDE w:val="0"/>
        <w:autoSpaceDN w:val="0"/>
        <w:adjustRightInd w:val="0"/>
        <w:ind w:firstLine="1134"/>
        <w:jc w:val="both"/>
        <w:rPr>
          <w:rFonts w:ascii="Century Gothic" w:hAnsi="Century Gothic" w:cs="Arial"/>
          <w:color w:val="808080"/>
        </w:rPr>
      </w:pPr>
      <w:r w:rsidRPr="00E24AB9">
        <w:rPr>
          <w:rFonts w:ascii="Century Gothic" w:hAnsi="Century Gothic" w:cs="Arial"/>
          <w:color w:val="808080"/>
        </w:rPr>
        <w:t>Lineamientos establecidos en el proceso de atención a auditorías:</w:t>
      </w:r>
    </w:p>
    <w:p w14:paraId="7381CD0E" w14:textId="77777777" w:rsidR="00492EB5" w:rsidRPr="00E24AB9" w:rsidRDefault="00492EB5" w:rsidP="00492EB5">
      <w:pPr>
        <w:jc w:val="both"/>
        <w:rPr>
          <w:rFonts w:ascii="Century Gothic" w:hAnsi="Century Gothic" w:cs="Arial"/>
          <w:color w:val="808080"/>
        </w:rPr>
      </w:pPr>
    </w:p>
    <w:p w14:paraId="55A48566"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La Contraloría interna o cualquier otro ente fiscalizador del poder Ejecutivo o Legislativo tiene atribuciones para planear, desarrollar y practicar auditorías de control, seguimiento, metas y cualesquiera otro concepto que implique la transparencia y rendición de cuentas sobre el ejercicio de recursos públicos.</w:t>
      </w:r>
    </w:p>
    <w:p w14:paraId="239E88E0" w14:textId="77777777" w:rsidR="00492EB5" w:rsidRPr="00E24AB9" w:rsidRDefault="00492EB5" w:rsidP="00492EB5">
      <w:pPr>
        <w:ind w:left="709"/>
        <w:jc w:val="both"/>
        <w:rPr>
          <w:rFonts w:ascii="Century Gothic" w:hAnsi="Century Gothic" w:cs="Arial"/>
          <w:color w:val="808080"/>
        </w:rPr>
      </w:pPr>
    </w:p>
    <w:p w14:paraId="13F5C5A8"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Las auditorías se aplicarán a una o varias áreas del organismo.</w:t>
      </w:r>
    </w:p>
    <w:p w14:paraId="56AC6E0F" w14:textId="77777777" w:rsidR="00492EB5" w:rsidRPr="00E24AB9" w:rsidRDefault="00492EB5" w:rsidP="00492EB5">
      <w:pPr>
        <w:jc w:val="both"/>
        <w:rPr>
          <w:rFonts w:ascii="Century Gothic" w:hAnsi="Century Gothic" w:cs="Arial"/>
          <w:color w:val="808080"/>
        </w:rPr>
      </w:pPr>
    </w:p>
    <w:p w14:paraId="30071FD9"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Director Financiero o quien éste designe, será el enlace entre los auditores y el (las) áreas de COFOCE implicados en la revisión.</w:t>
      </w:r>
    </w:p>
    <w:p w14:paraId="1C5D9EFA" w14:textId="77777777" w:rsidR="00492EB5" w:rsidRPr="00E24AB9" w:rsidRDefault="00492EB5" w:rsidP="00492EB5">
      <w:pPr>
        <w:jc w:val="both"/>
        <w:rPr>
          <w:rFonts w:ascii="Century Gothic" w:hAnsi="Century Gothic" w:cs="Arial"/>
          <w:color w:val="808080"/>
        </w:rPr>
      </w:pPr>
    </w:p>
    <w:p w14:paraId="4EA899D0"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lastRenderedPageBreak/>
        <w:t>El responsable de atender la auditoría, deberá estar presente durante el acta de inicio de la auditoría en compañía del enlace y dos testigos designados por éste o por la Contraloría Interna o el ente fiscalizador del poder Ejecutivo o Legislativo.</w:t>
      </w:r>
    </w:p>
    <w:p w14:paraId="352194DC" w14:textId="77777777" w:rsidR="00492EB5" w:rsidRPr="00E24AB9" w:rsidRDefault="00492EB5" w:rsidP="00492EB5">
      <w:pPr>
        <w:jc w:val="both"/>
        <w:rPr>
          <w:rFonts w:ascii="Century Gothic" w:hAnsi="Century Gothic" w:cs="Arial"/>
          <w:color w:val="808080"/>
        </w:rPr>
      </w:pPr>
    </w:p>
    <w:p w14:paraId="64587CA8"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Una vez iniciada la Auditoría, el enlace será el responsable de coordinar a las áreas involucradas para generar la información solicitada en la revisión, misma que deberá ser remitida en físico o vía electrónica al enlace.</w:t>
      </w:r>
    </w:p>
    <w:p w14:paraId="31B336D6" w14:textId="77777777" w:rsidR="00492EB5" w:rsidRPr="00E24AB9" w:rsidRDefault="00492EB5" w:rsidP="00492EB5">
      <w:pPr>
        <w:jc w:val="both"/>
        <w:rPr>
          <w:rFonts w:ascii="Century Gothic" w:hAnsi="Century Gothic" w:cs="Arial"/>
          <w:color w:val="808080"/>
        </w:rPr>
      </w:pPr>
    </w:p>
    <w:p w14:paraId="434B889B"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enlace será el único medio de comunicación con la Contraloría interna o el ente fiscalizador del poder Ejecutivo o Legislativo, a efectos de ofrecer evidencia y atención a sus requerimientos.</w:t>
      </w:r>
    </w:p>
    <w:p w14:paraId="43C48C7B" w14:textId="77777777" w:rsidR="00492EB5" w:rsidRPr="00E24AB9" w:rsidRDefault="00492EB5" w:rsidP="00492EB5">
      <w:pPr>
        <w:jc w:val="both"/>
        <w:rPr>
          <w:rFonts w:ascii="Century Gothic" w:hAnsi="Century Gothic" w:cs="Arial"/>
          <w:color w:val="808080"/>
        </w:rPr>
      </w:pPr>
    </w:p>
    <w:p w14:paraId="664E3348"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No es responsabilidad del enlace designado,  la calidad o suficiencia de la información entregada, sino que el(los) titular(es) de la(s) área(s) auditada(s) serán los responsables directos de la información proporcionada, el soporte documental, el ejercicio del gasto y el cumplimiento de metas como dueños de los procesos que dirigen. </w:t>
      </w:r>
    </w:p>
    <w:p w14:paraId="611240DF" w14:textId="77777777" w:rsidR="00492EB5" w:rsidRPr="00E24AB9" w:rsidRDefault="00492EB5" w:rsidP="00492EB5">
      <w:pPr>
        <w:jc w:val="both"/>
        <w:rPr>
          <w:rFonts w:ascii="Century Gothic" w:hAnsi="Century Gothic" w:cs="Arial"/>
          <w:color w:val="808080"/>
        </w:rPr>
      </w:pPr>
    </w:p>
    <w:p w14:paraId="144FA48C"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enlace deberá solicitar vía electrónica la información solicitada en la revisión, informándoles los alcances, el contenido de la revisión y los plazos de entrega de la información.</w:t>
      </w:r>
    </w:p>
    <w:p w14:paraId="1457C5CB" w14:textId="77777777" w:rsidR="00492EB5" w:rsidRPr="00E24AB9" w:rsidRDefault="00492EB5" w:rsidP="00492EB5">
      <w:pPr>
        <w:jc w:val="both"/>
        <w:rPr>
          <w:rFonts w:ascii="Century Gothic" w:hAnsi="Century Gothic" w:cs="Arial"/>
          <w:color w:val="808080"/>
        </w:rPr>
      </w:pPr>
    </w:p>
    <w:p w14:paraId="064BA9A2"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Es obligación de cada </w:t>
      </w:r>
      <w:proofErr w:type="gramStart"/>
      <w:r w:rsidRPr="00E24AB9">
        <w:rPr>
          <w:rFonts w:ascii="Century Gothic" w:hAnsi="Century Gothic" w:cs="Arial"/>
          <w:color w:val="808080"/>
        </w:rPr>
        <w:t>Director</w:t>
      </w:r>
      <w:proofErr w:type="gramEnd"/>
      <w:r w:rsidRPr="00E24AB9">
        <w:rPr>
          <w:rFonts w:ascii="Century Gothic" w:hAnsi="Century Gothic" w:cs="Arial"/>
          <w:color w:val="808080"/>
        </w:rPr>
        <w:t xml:space="preserve"> de Área involucrado en la revisión, solventar los requisitos que correspondan a su área.</w:t>
      </w:r>
    </w:p>
    <w:p w14:paraId="1FB757C3" w14:textId="77777777" w:rsidR="00492EB5" w:rsidRPr="00E24AB9" w:rsidRDefault="00492EB5" w:rsidP="00492EB5">
      <w:pPr>
        <w:ind w:left="709"/>
        <w:jc w:val="both"/>
        <w:rPr>
          <w:rFonts w:ascii="Century Gothic" w:hAnsi="Century Gothic" w:cs="Arial"/>
          <w:color w:val="808080"/>
        </w:rPr>
      </w:pPr>
    </w:p>
    <w:p w14:paraId="57AE9840"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En caso de que el auditor solicite información adicional antes del informe de resultados, el enlace recibirá la petición e informará al director responsable, y podrá  operar nuevamente un plazo para la entrega y solventación.</w:t>
      </w:r>
    </w:p>
    <w:p w14:paraId="6013A2DE" w14:textId="77777777" w:rsidR="00492EB5" w:rsidRPr="00E24AB9" w:rsidRDefault="00492EB5" w:rsidP="00492EB5">
      <w:pPr>
        <w:jc w:val="both"/>
        <w:rPr>
          <w:rFonts w:ascii="Century Gothic" w:hAnsi="Century Gothic" w:cs="Arial"/>
          <w:color w:val="808080"/>
        </w:rPr>
      </w:pPr>
    </w:p>
    <w:p w14:paraId="6C5C13C2" w14:textId="77777777" w:rsidR="00492EB5"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El enlace deberá cuidar en todo momento, las formas, tiempos y atención prestada a la auditoría, a fin de brindar todas las facilidades para que la revisión se realice en los mejores términos y en el menor  tiempo posible.</w:t>
      </w:r>
    </w:p>
    <w:p w14:paraId="236EF602" w14:textId="77777777" w:rsidR="00492EB5" w:rsidRPr="00E24AB9" w:rsidRDefault="00492EB5" w:rsidP="00492EB5">
      <w:pPr>
        <w:jc w:val="both"/>
        <w:rPr>
          <w:rFonts w:ascii="Century Gothic" w:hAnsi="Century Gothic" w:cs="Arial"/>
          <w:color w:val="808080"/>
        </w:rPr>
      </w:pPr>
    </w:p>
    <w:p w14:paraId="72E0805E" w14:textId="77777777" w:rsidR="00492EB5" w:rsidRPr="00E24AB9" w:rsidRDefault="00492EB5" w:rsidP="00A95ADF">
      <w:pPr>
        <w:numPr>
          <w:ilvl w:val="0"/>
          <w:numId w:val="16"/>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lastRenderedPageBreak/>
        <w:t>El ente auditado y el enlace deberá dar seguimiento al proceso de avance de auditoría, desde su inicio hasta la conclusión de la misma.</w:t>
      </w:r>
    </w:p>
    <w:p w14:paraId="29A98797" w14:textId="77777777" w:rsidR="00492EB5" w:rsidRPr="00E24AB9" w:rsidRDefault="00492EB5" w:rsidP="00492EB5">
      <w:pPr>
        <w:jc w:val="both"/>
        <w:rPr>
          <w:rFonts w:ascii="Century Gothic" w:hAnsi="Century Gothic" w:cs="Arial"/>
          <w:color w:val="808080"/>
        </w:rPr>
      </w:pPr>
    </w:p>
    <w:p w14:paraId="67C385FE" w14:textId="77777777" w:rsidR="00492EB5" w:rsidRPr="006E193D" w:rsidRDefault="00492EB5" w:rsidP="00492EB5">
      <w:pPr>
        <w:jc w:val="both"/>
        <w:rPr>
          <w:rFonts w:ascii="Century Gothic" w:hAnsi="Century Gothic" w:cs="Arial"/>
          <w:b/>
          <w:color w:val="000000"/>
        </w:rPr>
      </w:pPr>
      <w:r w:rsidRPr="006E193D">
        <w:rPr>
          <w:rFonts w:ascii="Century Gothic" w:hAnsi="Century Gothic" w:cs="Arial"/>
          <w:b/>
          <w:color w:val="000000"/>
        </w:rPr>
        <w:t>Sección B</w:t>
      </w:r>
    </w:p>
    <w:p w14:paraId="52F84ED1" w14:textId="77777777" w:rsidR="00492EB5" w:rsidRPr="00E24AB9" w:rsidRDefault="00492EB5" w:rsidP="00492EB5">
      <w:pPr>
        <w:jc w:val="both"/>
        <w:rPr>
          <w:rFonts w:ascii="Century Gothic" w:hAnsi="Century Gothic" w:cs="Arial"/>
          <w:color w:val="808080"/>
        </w:rPr>
      </w:pPr>
    </w:p>
    <w:p w14:paraId="1AF49732" w14:textId="77777777" w:rsidR="00492EB5" w:rsidRPr="006E193D" w:rsidRDefault="00492EB5" w:rsidP="00492EB5">
      <w:pPr>
        <w:pStyle w:val="Prrafodelista"/>
        <w:autoSpaceDE w:val="0"/>
        <w:autoSpaceDN w:val="0"/>
        <w:adjustRightInd w:val="0"/>
        <w:ind w:left="0"/>
        <w:jc w:val="both"/>
        <w:rPr>
          <w:rFonts w:ascii="Century Gothic" w:hAnsi="Century Gothic" w:cs="Arial"/>
          <w:b/>
          <w:color w:val="000000"/>
        </w:rPr>
      </w:pPr>
      <w:r w:rsidRPr="006E193D">
        <w:rPr>
          <w:rFonts w:ascii="Century Gothic" w:hAnsi="Century Gothic" w:cs="Arial"/>
          <w:b/>
        </w:rPr>
        <w:t>Políticas</w:t>
      </w:r>
      <w:r w:rsidRPr="006E193D">
        <w:rPr>
          <w:rFonts w:ascii="Century Gothic" w:hAnsi="Century Gothic" w:cs="Arial"/>
          <w:b/>
          <w:color w:val="000000"/>
        </w:rPr>
        <w:t xml:space="preserve"> para Administrar los Recursos Materiales  y Servicios Diversos</w:t>
      </w:r>
    </w:p>
    <w:p w14:paraId="345928E4" w14:textId="77777777" w:rsidR="00492EB5" w:rsidRDefault="00492EB5" w:rsidP="00492EB5">
      <w:pPr>
        <w:jc w:val="both"/>
        <w:rPr>
          <w:rFonts w:ascii="Century Gothic" w:hAnsi="Century Gothic" w:cs="Arial"/>
          <w:color w:val="808080"/>
        </w:rPr>
      </w:pPr>
    </w:p>
    <w:p w14:paraId="36227E6C"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 xml:space="preserve">Apartado 1.- Suministro y dotación </w:t>
      </w:r>
      <w:proofErr w:type="gramStart"/>
      <w:r w:rsidRPr="002650C8">
        <w:rPr>
          <w:rFonts w:ascii="Century Gothic" w:hAnsi="Century Gothic" w:cs="Arial"/>
          <w:b/>
        </w:rPr>
        <w:t>de  Papelería</w:t>
      </w:r>
      <w:proofErr w:type="gramEnd"/>
      <w:r w:rsidRPr="002650C8">
        <w:rPr>
          <w:rFonts w:ascii="Century Gothic" w:hAnsi="Century Gothic" w:cs="Arial"/>
          <w:b/>
        </w:rPr>
        <w:t xml:space="preserve"> de oficina y oficial. </w:t>
      </w:r>
    </w:p>
    <w:p w14:paraId="6458B73F" w14:textId="77777777" w:rsidR="00492EB5" w:rsidRPr="00E24AB9" w:rsidRDefault="00492EB5" w:rsidP="00492EB5">
      <w:pPr>
        <w:jc w:val="both"/>
        <w:rPr>
          <w:rFonts w:ascii="Century Gothic" w:hAnsi="Century Gothic"/>
          <w:color w:val="808080"/>
        </w:rPr>
      </w:pPr>
    </w:p>
    <w:p w14:paraId="3A7AC6B3" w14:textId="77777777" w:rsidR="00492EB5" w:rsidRDefault="00492EB5" w:rsidP="00A95ADF">
      <w:pPr>
        <w:numPr>
          <w:ilvl w:val="0"/>
          <w:numId w:val="23"/>
        </w:numPr>
        <w:spacing w:after="0" w:line="240" w:lineRule="auto"/>
        <w:jc w:val="both"/>
        <w:rPr>
          <w:rFonts w:ascii="Century Gothic" w:hAnsi="Century Gothic" w:cs="Arial"/>
          <w:color w:val="808080"/>
        </w:rPr>
      </w:pPr>
      <w:r w:rsidRPr="00E24AB9">
        <w:rPr>
          <w:rFonts w:ascii="Century Gothic" w:hAnsi="Century Gothic" w:cs="Arial"/>
          <w:color w:val="808080"/>
        </w:rPr>
        <w:t>Cualquier gasto de esta naturaleza que se pretenda ejercer, deberá contar previamente con suficiencia presupuestal.</w:t>
      </w:r>
    </w:p>
    <w:p w14:paraId="1325A090" w14:textId="77777777" w:rsidR="00492EB5" w:rsidRPr="00E24AB9" w:rsidRDefault="00492EB5" w:rsidP="00492EB5">
      <w:pPr>
        <w:ind w:left="825"/>
        <w:jc w:val="both"/>
        <w:rPr>
          <w:rFonts w:ascii="Century Gothic" w:hAnsi="Century Gothic" w:cs="Arial"/>
          <w:color w:val="808080"/>
        </w:rPr>
      </w:pPr>
    </w:p>
    <w:p w14:paraId="258D7E7E" w14:textId="77777777" w:rsidR="00492EB5" w:rsidRDefault="00492EB5" w:rsidP="00A95ADF">
      <w:pPr>
        <w:numPr>
          <w:ilvl w:val="0"/>
          <w:numId w:val="23"/>
        </w:numPr>
        <w:spacing w:after="0" w:line="240" w:lineRule="auto"/>
        <w:jc w:val="both"/>
        <w:rPr>
          <w:rFonts w:ascii="Century Gothic" w:hAnsi="Century Gothic" w:cs="Arial"/>
          <w:color w:val="808080"/>
        </w:rPr>
      </w:pPr>
      <w:r w:rsidRPr="00E24AB9">
        <w:rPr>
          <w:rFonts w:ascii="Century Gothic" w:hAnsi="Century Gothic" w:cs="Arial"/>
          <w:color w:val="808080"/>
        </w:rPr>
        <w:t>La papelería será exclusivamente para uso oficial.</w:t>
      </w:r>
    </w:p>
    <w:p w14:paraId="403A7ADF" w14:textId="77777777" w:rsidR="00492EB5" w:rsidRPr="00E24AB9" w:rsidRDefault="00492EB5" w:rsidP="00492EB5">
      <w:pPr>
        <w:jc w:val="both"/>
        <w:rPr>
          <w:rFonts w:ascii="Century Gothic" w:hAnsi="Century Gothic" w:cs="Arial"/>
          <w:color w:val="808080"/>
        </w:rPr>
      </w:pPr>
    </w:p>
    <w:p w14:paraId="1E888159" w14:textId="77777777" w:rsidR="00492EB5" w:rsidRDefault="00492EB5" w:rsidP="00A95ADF">
      <w:pPr>
        <w:numPr>
          <w:ilvl w:val="0"/>
          <w:numId w:val="23"/>
        </w:numPr>
        <w:spacing w:after="0" w:line="240" w:lineRule="auto"/>
        <w:jc w:val="both"/>
        <w:rPr>
          <w:rFonts w:ascii="Century Gothic" w:hAnsi="Century Gothic" w:cs="Arial"/>
          <w:color w:val="808080"/>
        </w:rPr>
      </w:pPr>
      <w:r w:rsidRPr="00E24AB9">
        <w:rPr>
          <w:rFonts w:ascii="Century Gothic" w:hAnsi="Century Gothic" w:cs="Arial"/>
          <w:color w:val="808080"/>
        </w:rPr>
        <w:t>La solicitud de papelería deberá realizarse dentro de los primeros 10 días naturales de cada mes.</w:t>
      </w:r>
    </w:p>
    <w:p w14:paraId="75D6FFFB" w14:textId="77777777" w:rsidR="00492EB5" w:rsidRPr="00E24AB9" w:rsidRDefault="00492EB5" w:rsidP="00492EB5">
      <w:pPr>
        <w:jc w:val="both"/>
        <w:rPr>
          <w:rFonts w:ascii="Century Gothic" w:hAnsi="Century Gothic" w:cs="Arial"/>
          <w:color w:val="808080"/>
        </w:rPr>
      </w:pPr>
    </w:p>
    <w:p w14:paraId="5427396B" w14:textId="77777777" w:rsidR="00492EB5" w:rsidRPr="00E24AB9" w:rsidRDefault="00492EB5" w:rsidP="00A95ADF">
      <w:pPr>
        <w:numPr>
          <w:ilvl w:val="0"/>
          <w:numId w:val="23"/>
        </w:numPr>
        <w:spacing w:after="0" w:line="240" w:lineRule="auto"/>
        <w:jc w:val="both"/>
        <w:rPr>
          <w:rFonts w:ascii="Century Gothic" w:hAnsi="Century Gothic" w:cs="Arial"/>
          <w:color w:val="808080"/>
        </w:rPr>
      </w:pPr>
      <w:r w:rsidRPr="00E24AB9">
        <w:rPr>
          <w:rFonts w:ascii="Century Gothic" w:hAnsi="Century Gothic" w:cs="Arial"/>
          <w:color w:val="808080"/>
        </w:rPr>
        <w:t>La solicitud deberá ser realizada preferentemente de manera acumulada  por  Dirección.</w:t>
      </w:r>
    </w:p>
    <w:p w14:paraId="7FD293CF" w14:textId="77777777" w:rsidR="00492EB5" w:rsidRDefault="00492EB5" w:rsidP="00A95ADF">
      <w:pPr>
        <w:numPr>
          <w:ilvl w:val="0"/>
          <w:numId w:val="23"/>
        </w:numPr>
        <w:spacing w:after="0" w:line="240" w:lineRule="auto"/>
        <w:jc w:val="both"/>
        <w:rPr>
          <w:rFonts w:ascii="Century Gothic" w:hAnsi="Century Gothic" w:cs="Arial"/>
          <w:color w:val="808080"/>
        </w:rPr>
      </w:pPr>
      <w:r w:rsidRPr="00E24AB9">
        <w:rPr>
          <w:rFonts w:ascii="Century Gothic" w:hAnsi="Century Gothic" w:cs="Arial"/>
          <w:color w:val="808080"/>
        </w:rPr>
        <w:t>Se impulsará una política gradual de cero papel.</w:t>
      </w:r>
    </w:p>
    <w:p w14:paraId="4C7D7983" w14:textId="77777777" w:rsidR="00492EB5" w:rsidRPr="00E24AB9" w:rsidRDefault="00492EB5" w:rsidP="00492EB5">
      <w:pPr>
        <w:ind w:left="825"/>
        <w:jc w:val="both"/>
        <w:rPr>
          <w:rFonts w:ascii="Century Gothic" w:hAnsi="Century Gothic" w:cs="Arial"/>
          <w:color w:val="808080"/>
        </w:rPr>
      </w:pPr>
    </w:p>
    <w:p w14:paraId="04AB869D" w14:textId="77777777" w:rsidR="00492EB5" w:rsidRDefault="00492EB5" w:rsidP="00A95ADF">
      <w:pPr>
        <w:numPr>
          <w:ilvl w:val="0"/>
          <w:numId w:val="23"/>
        </w:numPr>
        <w:spacing w:after="0" w:line="240" w:lineRule="auto"/>
        <w:jc w:val="both"/>
        <w:rPr>
          <w:rFonts w:ascii="Century Gothic" w:hAnsi="Century Gothic" w:cs="Arial"/>
          <w:color w:val="808080"/>
        </w:rPr>
      </w:pPr>
      <w:r w:rsidRPr="00E24AB9">
        <w:rPr>
          <w:rFonts w:ascii="Century Gothic" w:hAnsi="Century Gothic" w:cs="Arial"/>
          <w:color w:val="808080"/>
        </w:rPr>
        <w:t>En caso de requerimientos especiales, la solicitud deberá realizarse un mes antes de la utilización del bien.</w:t>
      </w:r>
    </w:p>
    <w:p w14:paraId="4357D75A" w14:textId="77777777" w:rsidR="00492EB5" w:rsidRPr="00E24AB9" w:rsidRDefault="00492EB5" w:rsidP="00492EB5">
      <w:pPr>
        <w:jc w:val="both"/>
        <w:rPr>
          <w:rFonts w:ascii="Century Gothic" w:hAnsi="Century Gothic" w:cs="Arial"/>
          <w:color w:val="808080"/>
        </w:rPr>
      </w:pPr>
    </w:p>
    <w:p w14:paraId="1BED78E1" w14:textId="77777777" w:rsidR="00492EB5" w:rsidRDefault="00492EB5" w:rsidP="00A95ADF">
      <w:pPr>
        <w:numPr>
          <w:ilvl w:val="0"/>
          <w:numId w:val="23"/>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Será posible otorgar papelería en fechas diferentes a las mencionadas y la autorización estará supeditada a la justificación presentada ante la DFA.</w:t>
      </w:r>
    </w:p>
    <w:p w14:paraId="004319C6" w14:textId="77777777" w:rsidR="0091669D" w:rsidRDefault="0091669D" w:rsidP="0091669D">
      <w:pPr>
        <w:pStyle w:val="Prrafodelista"/>
        <w:rPr>
          <w:rFonts w:ascii="Century Gothic" w:hAnsi="Century Gothic" w:cs="Arial"/>
          <w:color w:val="808080"/>
        </w:rPr>
      </w:pPr>
    </w:p>
    <w:p w14:paraId="29405FBA" w14:textId="77777777" w:rsidR="0091669D" w:rsidRPr="00E24AB9" w:rsidRDefault="0091669D" w:rsidP="0091669D">
      <w:pPr>
        <w:spacing w:after="0" w:line="240" w:lineRule="auto"/>
        <w:ind w:left="360"/>
        <w:jc w:val="both"/>
        <w:rPr>
          <w:rFonts w:ascii="Century Gothic" w:hAnsi="Century Gothic" w:cs="Arial"/>
          <w:color w:val="808080"/>
        </w:rPr>
      </w:pPr>
    </w:p>
    <w:p w14:paraId="25A52F27"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2.- Suministro y dotación de  Combustible.</w:t>
      </w:r>
    </w:p>
    <w:p w14:paraId="4D0E9F18" w14:textId="77777777" w:rsidR="00492EB5" w:rsidRPr="00E24AB9" w:rsidRDefault="00492EB5" w:rsidP="00492EB5">
      <w:pPr>
        <w:jc w:val="both"/>
        <w:rPr>
          <w:rFonts w:ascii="Century Gothic" w:hAnsi="Century Gothic" w:cs="Arial"/>
          <w:color w:val="808080"/>
        </w:rPr>
      </w:pPr>
    </w:p>
    <w:p w14:paraId="44FA30D6" w14:textId="77777777" w:rsidR="00492EB5" w:rsidRDefault="00492EB5" w:rsidP="00A95ADF">
      <w:pPr>
        <w:numPr>
          <w:ilvl w:val="0"/>
          <w:numId w:val="24"/>
        </w:numPr>
        <w:spacing w:after="0" w:line="240" w:lineRule="auto"/>
        <w:jc w:val="both"/>
        <w:rPr>
          <w:rFonts w:ascii="Century Gothic" w:hAnsi="Century Gothic" w:cs="Arial"/>
          <w:color w:val="808080"/>
        </w:rPr>
      </w:pPr>
      <w:r w:rsidRPr="00E24AB9">
        <w:rPr>
          <w:rFonts w:ascii="Century Gothic" w:hAnsi="Century Gothic" w:cs="Arial"/>
          <w:color w:val="808080"/>
        </w:rPr>
        <w:t>Cualquier gasto de esta naturaleza que se pretenda ejercer, deberá contar previamente con suficiencia presupuestal.</w:t>
      </w:r>
    </w:p>
    <w:p w14:paraId="4D3068C5" w14:textId="77777777" w:rsidR="00492EB5" w:rsidRPr="00E24AB9" w:rsidRDefault="00492EB5" w:rsidP="00492EB5">
      <w:pPr>
        <w:ind w:left="825"/>
        <w:jc w:val="both"/>
        <w:rPr>
          <w:rFonts w:ascii="Century Gothic" w:hAnsi="Century Gothic" w:cs="Arial"/>
          <w:color w:val="808080"/>
        </w:rPr>
      </w:pPr>
    </w:p>
    <w:p w14:paraId="55301E0A" w14:textId="77777777" w:rsidR="00492EB5" w:rsidRDefault="00492EB5" w:rsidP="00A95ADF">
      <w:pPr>
        <w:numPr>
          <w:ilvl w:val="0"/>
          <w:numId w:val="24"/>
        </w:numPr>
        <w:spacing w:after="0" w:line="240" w:lineRule="auto"/>
        <w:jc w:val="both"/>
        <w:rPr>
          <w:rFonts w:ascii="Century Gothic" w:hAnsi="Century Gothic" w:cs="Arial"/>
          <w:color w:val="808080"/>
        </w:rPr>
      </w:pPr>
      <w:r w:rsidRPr="00E24AB9">
        <w:rPr>
          <w:rFonts w:ascii="Century Gothic" w:hAnsi="Century Gothic" w:cs="Arial"/>
          <w:color w:val="808080"/>
        </w:rPr>
        <w:t>Utilizar el Vehículo única y exclusivamente para cumplir con las Funciones y atribuciones encomendadas de acuerdo al reglamento interior de COFOCE.</w:t>
      </w:r>
    </w:p>
    <w:p w14:paraId="31FD429F" w14:textId="77777777" w:rsidR="00492EB5" w:rsidRPr="00E24AB9" w:rsidRDefault="00492EB5" w:rsidP="00492EB5">
      <w:pPr>
        <w:jc w:val="both"/>
        <w:rPr>
          <w:rFonts w:ascii="Century Gothic" w:hAnsi="Century Gothic" w:cs="Arial"/>
          <w:color w:val="808080"/>
        </w:rPr>
      </w:pPr>
    </w:p>
    <w:p w14:paraId="5BF19132" w14:textId="77777777" w:rsidR="00492EB5" w:rsidRDefault="00492EB5" w:rsidP="00A95ADF">
      <w:pPr>
        <w:numPr>
          <w:ilvl w:val="0"/>
          <w:numId w:val="24"/>
        </w:numPr>
        <w:spacing w:after="0" w:line="240" w:lineRule="auto"/>
        <w:jc w:val="both"/>
        <w:rPr>
          <w:rFonts w:ascii="Century Gothic" w:hAnsi="Century Gothic" w:cs="Arial"/>
          <w:color w:val="808080"/>
        </w:rPr>
      </w:pPr>
      <w:r w:rsidRPr="00E24AB9">
        <w:rPr>
          <w:rFonts w:ascii="Century Gothic" w:hAnsi="Century Gothic" w:cs="Arial"/>
          <w:color w:val="808080"/>
        </w:rPr>
        <w:t>El depósito de combustible en la tarjeta Accor se realizará dentro de los primeros tres días hábiles del mes.</w:t>
      </w:r>
    </w:p>
    <w:p w14:paraId="5D5C1749" w14:textId="77777777" w:rsidR="00492EB5" w:rsidRPr="00E24AB9" w:rsidRDefault="00492EB5" w:rsidP="00492EB5">
      <w:pPr>
        <w:jc w:val="both"/>
        <w:rPr>
          <w:rFonts w:ascii="Century Gothic" w:hAnsi="Century Gothic" w:cs="Arial"/>
          <w:color w:val="808080"/>
        </w:rPr>
      </w:pPr>
    </w:p>
    <w:p w14:paraId="30F6297B" w14:textId="77777777" w:rsidR="00492EB5" w:rsidRDefault="00492EB5" w:rsidP="00A95ADF">
      <w:pPr>
        <w:numPr>
          <w:ilvl w:val="0"/>
          <w:numId w:val="24"/>
        </w:numPr>
        <w:spacing w:after="0" w:line="240" w:lineRule="auto"/>
        <w:jc w:val="both"/>
        <w:rPr>
          <w:rFonts w:ascii="Century Gothic" w:hAnsi="Century Gothic" w:cs="Arial"/>
          <w:color w:val="808080"/>
        </w:rPr>
      </w:pPr>
      <w:r w:rsidRPr="00E24AB9">
        <w:rPr>
          <w:rFonts w:ascii="Century Gothic" w:hAnsi="Century Gothic" w:cs="Arial"/>
          <w:color w:val="808080"/>
        </w:rPr>
        <w:t>La tarjeta Accor es exclusivamente para suministrar combustible al vehículo al cual está asignada, quedando prohibido el uso para dotar a cualquier otra unidad, así mismo quedan prohibidas las cargas en efectivo, con excepción de aquellas autorizadas previamente por el Titular de la DFA.</w:t>
      </w:r>
    </w:p>
    <w:p w14:paraId="6EA224FA" w14:textId="77777777" w:rsidR="00492EB5" w:rsidRPr="00E24AB9" w:rsidRDefault="00492EB5" w:rsidP="00492EB5">
      <w:pPr>
        <w:jc w:val="both"/>
        <w:rPr>
          <w:rFonts w:ascii="Century Gothic" w:hAnsi="Century Gothic" w:cs="Arial"/>
          <w:color w:val="808080"/>
        </w:rPr>
      </w:pPr>
    </w:p>
    <w:p w14:paraId="5D718E18" w14:textId="77777777" w:rsidR="00492EB5" w:rsidRDefault="00492EB5" w:rsidP="00A95ADF">
      <w:pPr>
        <w:numPr>
          <w:ilvl w:val="0"/>
          <w:numId w:val="24"/>
        </w:numPr>
        <w:spacing w:after="0" w:line="240" w:lineRule="auto"/>
        <w:jc w:val="both"/>
        <w:rPr>
          <w:rFonts w:ascii="Century Gothic" w:hAnsi="Century Gothic" w:cs="Arial"/>
          <w:color w:val="808080"/>
        </w:rPr>
      </w:pPr>
      <w:r w:rsidRPr="00E24AB9">
        <w:rPr>
          <w:rFonts w:ascii="Century Gothic" w:hAnsi="Century Gothic" w:cs="Arial"/>
          <w:color w:val="808080"/>
        </w:rPr>
        <w:t>En caso de requerir carga extra de combustible, se podrá solicitarlo al área de Servicios Generales por correo electrónico un día antes de su uso incluyendo en el mismo la agenda respectiva para su soporte y comprobación.</w:t>
      </w:r>
    </w:p>
    <w:p w14:paraId="6865118C" w14:textId="77777777" w:rsidR="00492EB5" w:rsidRPr="00E24AB9" w:rsidRDefault="00492EB5" w:rsidP="00492EB5">
      <w:pPr>
        <w:jc w:val="both"/>
        <w:rPr>
          <w:rFonts w:ascii="Century Gothic" w:hAnsi="Century Gothic" w:cs="Arial"/>
          <w:color w:val="808080"/>
        </w:rPr>
      </w:pPr>
    </w:p>
    <w:p w14:paraId="085F181B" w14:textId="77777777" w:rsidR="00492EB5" w:rsidRDefault="00492EB5" w:rsidP="00A95ADF">
      <w:pPr>
        <w:numPr>
          <w:ilvl w:val="0"/>
          <w:numId w:val="24"/>
        </w:numPr>
        <w:spacing w:after="0" w:line="240" w:lineRule="auto"/>
        <w:jc w:val="both"/>
        <w:rPr>
          <w:rFonts w:ascii="Century Gothic" w:hAnsi="Century Gothic" w:cs="Arial"/>
          <w:color w:val="808080"/>
        </w:rPr>
      </w:pPr>
      <w:r w:rsidRPr="00E24AB9">
        <w:rPr>
          <w:rFonts w:ascii="Century Gothic" w:hAnsi="Century Gothic" w:cs="Arial"/>
          <w:color w:val="808080"/>
        </w:rPr>
        <w:t>En caso de extravío de la tarjeta Accor, deberá notificarse de manera inmediata por escrito a la Dirección de Finanzas y Administración para su conocimiento y reposición de la misma.</w:t>
      </w:r>
    </w:p>
    <w:p w14:paraId="432C7B08" w14:textId="77777777" w:rsidR="00492EB5" w:rsidRPr="00E24AB9" w:rsidRDefault="00492EB5" w:rsidP="00492EB5">
      <w:pPr>
        <w:jc w:val="both"/>
        <w:rPr>
          <w:rFonts w:ascii="Century Gothic" w:hAnsi="Century Gothic" w:cs="Arial"/>
          <w:color w:val="808080"/>
        </w:rPr>
      </w:pPr>
    </w:p>
    <w:p w14:paraId="1C78B6BA" w14:textId="77777777" w:rsidR="00492EB5" w:rsidRPr="00E24AB9" w:rsidRDefault="00492EB5" w:rsidP="00A95ADF">
      <w:pPr>
        <w:numPr>
          <w:ilvl w:val="0"/>
          <w:numId w:val="24"/>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Para reposición de la misma el usuario correrá con el costo, en caso de descompostura no originada por mal uso, será necesario entregar la tarjeta al área de Servicios Generales para su reposición.</w:t>
      </w:r>
    </w:p>
    <w:p w14:paraId="5E06C8B9" w14:textId="77777777" w:rsidR="00492EB5" w:rsidRPr="00E24AB9" w:rsidRDefault="00492EB5" w:rsidP="00492EB5">
      <w:pPr>
        <w:jc w:val="both"/>
        <w:rPr>
          <w:rFonts w:ascii="Century Gothic" w:hAnsi="Century Gothic" w:cs="Arial"/>
          <w:color w:val="808080"/>
        </w:rPr>
      </w:pPr>
    </w:p>
    <w:p w14:paraId="454F422A"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3.- Telefonía Tradicional y Equipos de Telefonía Móvil.</w:t>
      </w:r>
    </w:p>
    <w:p w14:paraId="0CAA20C0" w14:textId="77777777" w:rsidR="00492EB5" w:rsidRPr="00E24AB9" w:rsidRDefault="00492EB5" w:rsidP="00492EB5">
      <w:pPr>
        <w:jc w:val="both"/>
        <w:rPr>
          <w:rFonts w:ascii="Century Gothic" w:hAnsi="Century Gothic" w:cs="Arial"/>
          <w:color w:val="808080"/>
        </w:rPr>
      </w:pPr>
    </w:p>
    <w:p w14:paraId="75B710E8" w14:textId="77777777" w:rsidR="00492EB5" w:rsidRDefault="00492EB5" w:rsidP="00A95ADF">
      <w:pPr>
        <w:numPr>
          <w:ilvl w:val="0"/>
          <w:numId w:val="25"/>
        </w:numPr>
        <w:spacing w:after="0" w:line="240" w:lineRule="auto"/>
        <w:jc w:val="both"/>
        <w:rPr>
          <w:rFonts w:ascii="Century Gothic" w:hAnsi="Century Gothic" w:cs="Arial"/>
          <w:color w:val="808080"/>
        </w:rPr>
      </w:pPr>
      <w:r w:rsidRPr="00E24AB9">
        <w:rPr>
          <w:rFonts w:ascii="Century Gothic" w:hAnsi="Century Gothic" w:cs="Arial"/>
          <w:color w:val="808080"/>
        </w:rPr>
        <w:t>Se deberá privilegiar el uso de medios electrónicos sobre la telefonía convencional.</w:t>
      </w:r>
    </w:p>
    <w:p w14:paraId="0B10861A" w14:textId="77777777" w:rsidR="00492EB5" w:rsidRPr="00E24AB9" w:rsidRDefault="00492EB5" w:rsidP="00492EB5">
      <w:pPr>
        <w:ind w:left="825"/>
        <w:jc w:val="both"/>
        <w:rPr>
          <w:rFonts w:ascii="Century Gothic" w:hAnsi="Century Gothic" w:cs="Arial"/>
          <w:color w:val="808080"/>
        </w:rPr>
      </w:pPr>
    </w:p>
    <w:p w14:paraId="13F543A1" w14:textId="77777777" w:rsidR="00492EB5" w:rsidRDefault="00492EB5" w:rsidP="00A95ADF">
      <w:pPr>
        <w:numPr>
          <w:ilvl w:val="0"/>
          <w:numId w:val="25"/>
        </w:numPr>
        <w:spacing w:after="0" w:line="240" w:lineRule="auto"/>
        <w:jc w:val="both"/>
        <w:rPr>
          <w:rFonts w:ascii="Century Gothic" w:hAnsi="Century Gothic" w:cs="Arial"/>
          <w:color w:val="808080"/>
        </w:rPr>
      </w:pPr>
      <w:r w:rsidRPr="00E24AB9">
        <w:rPr>
          <w:rFonts w:ascii="Century Gothic" w:hAnsi="Century Gothic" w:cs="Arial"/>
          <w:color w:val="808080"/>
        </w:rPr>
        <w:t>Utilizar el servicio para llamadas oficiales, en caso contrario el consumo será cubierto por el usuario</w:t>
      </w:r>
      <w:r>
        <w:rPr>
          <w:rFonts w:ascii="Century Gothic" w:hAnsi="Century Gothic" w:cs="Arial"/>
          <w:color w:val="808080"/>
        </w:rPr>
        <w:t>.</w:t>
      </w:r>
    </w:p>
    <w:p w14:paraId="43302319" w14:textId="77777777" w:rsidR="00492EB5" w:rsidRPr="00E24AB9" w:rsidRDefault="00492EB5" w:rsidP="00492EB5">
      <w:pPr>
        <w:jc w:val="both"/>
        <w:rPr>
          <w:rFonts w:ascii="Century Gothic" w:hAnsi="Century Gothic" w:cs="Arial"/>
          <w:color w:val="808080"/>
        </w:rPr>
      </w:pPr>
    </w:p>
    <w:p w14:paraId="28BF44FC" w14:textId="77777777" w:rsidR="00492EB5" w:rsidRDefault="00492EB5" w:rsidP="00A95ADF">
      <w:pPr>
        <w:numPr>
          <w:ilvl w:val="0"/>
          <w:numId w:val="25"/>
        </w:numPr>
        <w:spacing w:after="0" w:line="240" w:lineRule="auto"/>
        <w:jc w:val="both"/>
        <w:rPr>
          <w:rFonts w:ascii="Century Gothic" w:hAnsi="Century Gothic" w:cs="Arial"/>
          <w:color w:val="808080"/>
        </w:rPr>
      </w:pPr>
      <w:r w:rsidRPr="00E24AB9">
        <w:rPr>
          <w:rFonts w:ascii="Century Gothic" w:hAnsi="Century Gothic" w:cs="Arial"/>
          <w:color w:val="808080"/>
        </w:rPr>
        <w:t>La asignación de líneas de telefonía móvil se sujetará a la tabla de planes y modelos por nivel que al efecto emita la DGRMSG, cualquier consumo adicional en los referidos en la referida tabla, será cubierto por los usuarios.</w:t>
      </w:r>
    </w:p>
    <w:p w14:paraId="4CC6354A" w14:textId="77777777" w:rsidR="00492EB5" w:rsidRPr="00E24AB9" w:rsidRDefault="00492EB5" w:rsidP="00492EB5">
      <w:pPr>
        <w:jc w:val="both"/>
        <w:rPr>
          <w:rFonts w:ascii="Century Gothic" w:hAnsi="Century Gothic" w:cs="Arial"/>
          <w:color w:val="808080"/>
        </w:rPr>
      </w:pPr>
    </w:p>
    <w:p w14:paraId="6AF72522" w14:textId="77777777" w:rsidR="00492EB5" w:rsidRPr="00E24AB9" w:rsidRDefault="00492EB5" w:rsidP="00A95ADF">
      <w:pPr>
        <w:numPr>
          <w:ilvl w:val="0"/>
          <w:numId w:val="25"/>
        </w:numPr>
        <w:spacing w:after="0" w:line="240" w:lineRule="auto"/>
        <w:jc w:val="both"/>
        <w:rPr>
          <w:rFonts w:ascii="Century Gothic" w:hAnsi="Century Gothic" w:cs="Arial"/>
          <w:color w:val="808080"/>
        </w:rPr>
      </w:pPr>
      <w:r w:rsidRPr="00E24AB9">
        <w:rPr>
          <w:rFonts w:ascii="Century Gothic" w:hAnsi="Century Gothic" w:cs="Arial"/>
          <w:color w:val="808080"/>
        </w:rPr>
        <w:t>En los supuestos en que el usuario viaje al extranjero deberá notificar como mínimo 5 días hábiles de anticipación al área de  Servicios Generales para que ésta efectúe los trámites conducentes, previa verificación de suficiencia presupuestal.</w:t>
      </w:r>
    </w:p>
    <w:p w14:paraId="26586D9C" w14:textId="77777777" w:rsidR="001D5DE9" w:rsidRDefault="001D5DE9" w:rsidP="00492EB5">
      <w:pPr>
        <w:pStyle w:val="Prrafodelista"/>
        <w:autoSpaceDE w:val="0"/>
        <w:autoSpaceDN w:val="0"/>
        <w:adjustRightInd w:val="0"/>
        <w:ind w:left="0"/>
        <w:jc w:val="both"/>
        <w:rPr>
          <w:rFonts w:ascii="Century Gothic" w:hAnsi="Century Gothic" w:cs="Arial"/>
          <w:b/>
        </w:rPr>
      </w:pPr>
    </w:p>
    <w:p w14:paraId="2971AEA6" w14:textId="77777777" w:rsidR="001D5DE9" w:rsidRDefault="001D5DE9" w:rsidP="00492EB5">
      <w:pPr>
        <w:pStyle w:val="Prrafodelista"/>
        <w:autoSpaceDE w:val="0"/>
        <w:autoSpaceDN w:val="0"/>
        <w:adjustRightInd w:val="0"/>
        <w:ind w:left="0"/>
        <w:jc w:val="both"/>
        <w:rPr>
          <w:rFonts w:ascii="Century Gothic" w:hAnsi="Century Gothic" w:cs="Arial"/>
          <w:b/>
        </w:rPr>
      </w:pPr>
    </w:p>
    <w:p w14:paraId="0945D9E5"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4.- Uso y resguardo de Vehículos.</w:t>
      </w:r>
    </w:p>
    <w:p w14:paraId="57C4D386" w14:textId="77777777" w:rsidR="00492EB5" w:rsidRPr="00E24AB9" w:rsidRDefault="00492EB5" w:rsidP="00492EB5">
      <w:pPr>
        <w:jc w:val="both"/>
        <w:rPr>
          <w:rFonts w:ascii="Century Gothic" w:hAnsi="Century Gothic" w:cs="Arial"/>
          <w:color w:val="808080"/>
        </w:rPr>
      </w:pPr>
    </w:p>
    <w:p w14:paraId="34F39166"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Utilizar el Vehículo única y exclusivamente para cumplir con las Funciones y atribuciones encomendadas de acuerdo al reglamento interior de COFOCE.</w:t>
      </w:r>
    </w:p>
    <w:p w14:paraId="7F1DC819" w14:textId="77777777" w:rsidR="00492EB5" w:rsidRPr="00E24AB9" w:rsidRDefault="00492EB5" w:rsidP="00492EB5">
      <w:pPr>
        <w:ind w:left="825"/>
        <w:jc w:val="both"/>
        <w:rPr>
          <w:rFonts w:ascii="Century Gothic" w:hAnsi="Century Gothic" w:cs="Arial"/>
          <w:color w:val="808080"/>
        </w:rPr>
      </w:pPr>
    </w:p>
    <w:p w14:paraId="34926350"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Todo resguardante que conduzca vehículo oficial deberá contar con licencia vigente que deberá portar consigo. En caso de renovación de la misma, deberá enviar copia electrónica al área de Servicios Generales para la actualización del expediente.</w:t>
      </w:r>
    </w:p>
    <w:p w14:paraId="5AF15DBA"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Queda prohibido el uso de vehículos oficiales por personas ajenas al organismo.</w:t>
      </w:r>
    </w:p>
    <w:p w14:paraId="78A58135"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Es responsabilidad del resguardante cualquier siniestro que ocurra en vehículo oficial, cuando éste sea utilizado para uso diferente a las funciones laborales, por lo cual deberá cubrir el costo de la reparación.</w:t>
      </w:r>
    </w:p>
    <w:p w14:paraId="005AC9E4" w14:textId="77777777" w:rsidR="00492EB5" w:rsidRPr="00E24AB9" w:rsidRDefault="00492EB5" w:rsidP="00492EB5">
      <w:pPr>
        <w:jc w:val="both"/>
        <w:rPr>
          <w:rFonts w:ascii="Century Gothic" w:hAnsi="Century Gothic" w:cs="Arial"/>
          <w:color w:val="808080"/>
        </w:rPr>
      </w:pPr>
    </w:p>
    <w:p w14:paraId="35FFD837"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Como medida preventiva, los resguardantes de los vehículos, deberán revisar diariamente los niveles de aceite, anticongelante, líquido de frenos y presión de llantas para evitar descomposturas de la unidad.</w:t>
      </w:r>
    </w:p>
    <w:p w14:paraId="33168C27" w14:textId="77777777" w:rsidR="00492EB5" w:rsidRPr="00E24AB9" w:rsidRDefault="00492EB5" w:rsidP="00492EB5">
      <w:pPr>
        <w:jc w:val="both"/>
        <w:rPr>
          <w:rFonts w:ascii="Century Gothic" w:hAnsi="Century Gothic" w:cs="Arial"/>
          <w:color w:val="808080"/>
        </w:rPr>
      </w:pPr>
    </w:p>
    <w:p w14:paraId="030B71B0"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Conservar la unidad en condiciones óptimas de limpieza interior y exterior, y con la totalidad de accesorios y herramientas mencionados en el resguardo. En el supuesto que falte alguno de estos objetos deberá reponerlo a la brevedad.</w:t>
      </w:r>
    </w:p>
    <w:p w14:paraId="69152548" w14:textId="77777777" w:rsidR="00492EB5" w:rsidRPr="00E24AB9" w:rsidRDefault="00492EB5" w:rsidP="00492EB5">
      <w:pPr>
        <w:jc w:val="both"/>
        <w:rPr>
          <w:rFonts w:ascii="Century Gothic" w:hAnsi="Century Gothic" w:cs="Arial"/>
          <w:color w:val="808080"/>
        </w:rPr>
      </w:pPr>
    </w:p>
    <w:p w14:paraId="6B442BC6"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Los vehículos oficiales deberán permanecer resguardados en el área que se ha designado para ello por Servicios Generales para ello, durante periodos vacacionales y días festivos. Aquellos vehículos que por sus funciones operativas requieran circular en los días antes citados, deberán notificarlo con oficio a la DFA.</w:t>
      </w:r>
    </w:p>
    <w:p w14:paraId="31503BFF" w14:textId="77777777" w:rsidR="00492EB5" w:rsidRPr="00E24AB9" w:rsidRDefault="00492EB5" w:rsidP="00492EB5">
      <w:pPr>
        <w:jc w:val="both"/>
        <w:rPr>
          <w:rFonts w:ascii="Century Gothic" w:hAnsi="Century Gothic" w:cs="Arial"/>
          <w:color w:val="808080"/>
        </w:rPr>
      </w:pPr>
    </w:p>
    <w:p w14:paraId="6E1A8338"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El vehículo deberá portar al menos la siguiente documentación: tarjeta de circulación, póliza de seguro, manual del usuario, póliza de servicio, portando la licencia de conducir vigente</w:t>
      </w:r>
      <w:r>
        <w:rPr>
          <w:rFonts w:ascii="Century Gothic" w:hAnsi="Century Gothic" w:cs="Arial"/>
          <w:color w:val="808080"/>
        </w:rPr>
        <w:t>.</w:t>
      </w:r>
    </w:p>
    <w:p w14:paraId="0A28F688" w14:textId="77777777" w:rsidR="00492EB5" w:rsidRPr="00E24AB9" w:rsidRDefault="00492EB5" w:rsidP="00492EB5">
      <w:pPr>
        <w:jc w:val="both"/>
        <w:rPr>
          <w:rFonts w:ascii="Century Gothic" w:hAnsi="Century Gothic" w:cs="Arial"/>
          <w:color w:val="808080"/>
        </w:rPr>
      </w:pPr>
    </w:p>
    <w:p w14:paraId="60866432"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En caso de siniestro, el usuario deberá llamar a la aseguradora y mismo deberá informar de manera inmediata a el área de Servicios Generales, presentando acta de hechos del accidente, original del reporte de accidente, copia del taller indicando los siguientes datos: Nombre, Teléfono y persona encargada, reporte de tránsito municipal, estatal o federal, en caso de que haya intervenido cualquiera de ésta autoridad.</w:t>
      </w:r>
    </w:p>
    <w:p w14:paraId="1EBEB320" w14:textId="77777777" w:rsidR="00492EB5" w:rsidRPr="00E24AB9" w:rsidRDefault="00492EB5" w:rsidP="00492EB5">
      <w:pPr>
        <w:ind w:left="825"/>
        <w:jc w:val="both"/>
        <w:rPr>
          <w:rFonts w:ascii="Century Gothic" w:hAnsi="Century Gothic" w:cs="Arial"/>
          <w:color w:val="808080"/>
        </w:rPr>
      </w:pPr>
    </w:p>
    <w:p w14:paraId="14EA87C1"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El resguardante deberá solicitar en tiempo y forma los servicios de mantenimiento del vehículo y la verificación vehicular. En caso de no llevar los servicios a tiempo, el costo correrá a cargo del resguardante, así como cualquier desperfecto o daño derivado de la omisión.</w:t>
      </w:r>
    </w:p>
    <w:p w14:paraId="0466A247" w14:textId="77777777" w:rsidR="00492EB5" w:rsidRPr="00E24AB9" w:rsidRDefault="00492EB5" w:rsidP="00492EB5">
      <w:pPr>
        <w:jc w:val="both"/>
        <w:rPr>
          <w:rFonts w:ascii="Century Gothic" w:hAnsi="Century Gothic" w:cs="Arial"/>
          <w:color w:val="808080"/>
        </w:rPr>
      </w:pPr>
    </w:p>
    <w:p w14:paraId="706C22E1"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Es responsabilidad del usuario, solicitar la reparación de cualquier falla detectada en la unidad, salvaguardando con ello tanto su integridad física como el buen funcionamiento de la unidad.</w:t>
      </w:r>
    </w:p>
    <w:p w14:paraId="7F830E91" w14:textId="77777777" w:rsidR="00492EB5" w:rsidRPr="00E24AB9" w:rsidRDefault="00492EB5" w:rsidP="00492EB5">
      <w:pPr>
        <w:jc w:val="both"/>
        <w:rPr>
          <w:rFonts w:ascii="Century Gothic" w:hAnsi="Century Gothic" w:cs="Arial"/>
          <w:color w:val="808080"/>
        </w:rPr>
      </w:pPr>
    </w:p>
    <w:p w14:paraId="61D2C231"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El resguardante o usuario del vehículo que sea infraccionado por alguna falta al reglamento de tránsito municipal, estatal o federal, deberá asumir el costo total de la infracción, pagos de pensión y arrastre en caso de ser requerido.</w:t>
      </w:r>
    </w:p>
    <w:p w14:paraId="6D70B2D5" w14:textId="77777777" w:rsidR="00492EB5" w:rsidRPr="00E24AB9" w:rsidRDefault="00492EB5" w:rsidP="00492EB5">
      <w:pPr>
        <w:jc w:val="both"/>
        <w:rPr>
          <w:rFonts w:ascii="Century Gothic" w:hAnsi="Century Gothic" w:cs="Arial"/>
          <w:color w:val="808080"/>
        </w:rPr>
      </w:pPr>
    </w:p>
    <w:p w14:paraId="178977D6" w14:textId="77777777" w:rsidR="00492EB5" w:rsidRDefault="00492EB5" w:rsidP="00A95ADF">
      <w:pPr>
        <w:numPr>
          <w:ilvl w:val="0"/>
          <w:numId w:val="26"/>
        </w:numPr>
        <w:spacing w:after="0" w:line="240" w:lineRule="auto"/>
        <w:jc w:val="both"/>
        <w:rPr>
          <w:rFonts w:ascii="Century Gothic" w:hAnsi="Century Gothic" w:cs="Arial"/>
          <w:color w:val="808080"/>
        </w:rPr>
      </w:pPr>
      <w:r w:rsidRPr="00E24AB9">
        <w:rPr>
          <w:rFonts w:ascii="Century Gothic" w:hAnsi="Century Gothic" w:cs="Arial"/>
          <w:color w:val="808080"/>
        </w:rPr>
        <w:t>En caso de siniestro por negligencia, dolo o impericia del usuario, éste deberá cubrir el importe de pago de deducible, pensión, arrastre etc. Asimismo la reparación total del daño en caso que sea menor al deducible.</w:t>
      </w:r>
    </w:p>
    <w:p w14:paraId="0FC71A4C" w14:textId="77777777" w:rsidR="00492EB5" w:rsidRPr="00E24AB9" w:rsidRDefault="00492EB5" w:rsidP="00492EB5">
      <w:pPr>
        <w:jc w:val="both"/>
        <w:rPr>
          <w:rFonts w:ascii="Century Gothic" w:hAnsi="Century Gothic" w:cs="Arial"/>
          <w:color w:val="808080"/>
        </w:rPr>
      </w:pPr>
    </w:p>
    <w:p w14:paraId="64488902" w14:textId="77777777" w:rsidR="00492EB5" w:rsidRDefault="00492EB5" w:rsidP="005545FE">
      <w:pPr>
        <w:numPr>
          <w:ilvl w:val="0"/>
          <w:numId w:val="26"/>
        </w:numPr>
        <w:spacing w:after="0" w:line="240" w:lineRule="auto"/>
        <w:jc w:val="both"/>
        <w:rPr>
          <w:rFonts w:ascii="Century Gothic" w:hAnsi="Century Gothic" w:cs="Arial"/>
          <w:color w:val="808080"/>
        </w:rPr>
      </w:pPr>
      <w:r w:rsidRPr="006A436A">
        <w:rPr>
          <w:rFonts w:ascii="Century Gothic" w:hAnsi="Century Gothic" w:cs="Arial"/>
          <w:color w:val="808080"/>
        </w:rPr>
        <w:t>En caso de extravío de tarjeta de circulación deberá hacerse de conocimiento de la DFA mediante oficio, anexando constancia de no infracción municipal y estatal, y denuncia ante ministerio  público.  Dichos documentos deberán enviarse al día siguiente hábil a la fecha de su expedición, de lo contrario deberá cubrir multa por presentar documentos extemporáneos.</w:t>
      </w:r>
    </w:p>
    <w:p w14:paraId="4DBD02CB" w14:textId="77777777" w:rsidR="001D5DE9" w:rsidRDefault="001D5DE9" w:rsidP="00492EB5">
      <w:pPr>
        <w:pStyle w:val="Prrafodelista"/>
        <w:autoSpaceDE w:val="0"/>
        <w:autoSpaceDN w:val="0"/>
        <w:adjustRightInd w:val="0"/>
        <w:ind w:left="0"/>
        <w:jc w:val="both"/>
        <w:rPr>
          <w:rFonts w:ascii="Century Gothic" w:hAnsi="Century Gothic" w:cs="Arial"/>
          <w:color w:val="808080"/>
        </w:rPr>
      </w:pPr>
    </w:p>
    <w:p w14:paraId="67210341" w14:textId="77777777" w:rsidR="001D5DE9" w:rsidRDefault="001D5DE9" w:rsidP="00492EB5">
      <w:pPr>
        <w:pStyle w:val="Prrafodelista"/>
        <w:autoSpaceDE w:val="0"/>
        <w:autoSpaceDN w:val="0"/>
        <w:adjustRightInd w:val="0"/>
        <w:ind w:left="0"/>
        <w:jc w:val="both"/>
        <w:rPr>
          <w:rFonts w:ascii="Century Gothic" w:hAnsi="Century Gothic" w:cs="Arial"/>
          <w:color w:val="808080"/>
        </w:rPr>
      </w:pPr>
    </w:p>
    <w:p w14:paraId="7886C8D3"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5.- Política Informática.</w:t>
      </w:r>
    </w:p>
    <w:p w14:paraId="65D33C4A" w14:textId="77777777" w:rsidR="00492EB5" w:rsidRPr="00E24AB9" w:rsidRDefault="00492EB5" w:rsidP="00492EB5">
      <w:pPr>
        <w:jc w:val="both"/>
        <w:rPr>
          <w:rFonts w:ascii="Century Gothic" w:hAnsi="Century Gothic" w:cs="Arial"/>
          <w:color w:val="808080"/>
        </w:rPr>
      </w:pPr>
    </w:p>
    <w:p w14:paraId="73BCC39D" w14:textId="77777777" w:rsidR="00492EB5"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Cualquier gasto para la adquisición de equipo de cómputo, «Software» y telecomunicaciones que se pretenda ejercer, deberá contar previamente con suficiencia presupuestal.</w:t>
      </w:r>
    </w:p>
    <w:p w14:paraId="2BA94AFC" w14:textId="77777777" w:rsidR="00492EB5" w:rsidRPr="00E24AB9" w:rsidRDefault="00492EB5" w:rsidP="00492EB5">
      <w:pPr>
        <w:ind w:left="825"/>
        <w:jc w:val="both"/>
        <w:rPr>
          <w:rFonts w:ascii="Century Gothic" w:hAnsi="Century Gothic" w:cs="Arial"/>
          <w:color w:val="808080"/>
        </w:rPr>
      </w:pPr>
    </w:p>
    <w:p w14:paraId="18AE5D39" w14:textId="77777777" w:rsidR="00492EB5"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 xml:space="preserve">Es responsabilidad de las y los Usuarios el uso adecuado de los medios y servicios de comunicación electrónicos, de su Firma Electrónica Certificada, así como seguir los procedimientos para el buen uso, conservación, resguardo y disposición de las TIC. </w:t>
      </w:r>
    </w:p>
    <w:p w14:paraId="743B059B" w14:textId="77777777" w:rsidR="00492EB5" w:rsidRPr="00E24AB9" w:rsidRDefault="00492EB5" w:rsidP="00492EB5">
      <w:pPr>
        <w:jc w:val="both"/>
        <w:rPr>
          <w:rFonts w:ascii="Century Gothic" w:hAnsi="Century Gothic" w:cs="Arial"/>
          <w:color w:val="808080"/>
        </w:rPr>
      </w:pPr>
    </w:p>
    <w:p w14:paraId="17530A77" w14:textId="77777777" w:rsidR="00492EB5" w:rsidRPr="00E24AB9"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Queda prohibido instalar Software o Hardware ajenos a los asignados a su cargo y funciones.</w:t>
      </w:r>
    </w:p>
    <w:p w14:paraId="67C53425" w14:textId="77777777" w:rsidR="00492EB5" w:rsidRPr="00A826AF" w:rsidRDefault="00492EB5" w:rsidP="00492EB5">
      <w:pPr>
        <w:pStyle w:val="Prrafodelista"/>
        <w:autoSpaceDE w:val="0"/>
        <w:autoSpaceDN w:val="0"/>
        <w:adjustRightInd w:val="0"/>
        <w:jc w:val="both"/>
        <w:rPr>
          <w:rFonts w:ascii="Century Gothic" w:hAnsi="Century Gothic" w:cs="Arial"/>
        </w:rPr>
      </w:pPr>
      <w:r w:rsidRPr="00A826AF">
        <w:rPr>
          <w:rFonts w:ascii="Century Gothic" w:hAnsi="Century Gothic" w:cs="Arial"/>
        </w:rPr>
        <w:t>Autorización para la adquisición de equipo de cómputo, «software» y telecomunicaciones</w:t>
      </w:r>
    </w:p>
    <w:p w14:paraId="136E6322" w14:textId="77777777" w:rsidR="00492EB5" w:rsidRPr="00E24AB9"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La adquisición de equipo de cómputo, «Software» y telecomunicaciones, se autorizará cuando se encuentre justificada a juicio de la Secretaria de Finanzas, Inversión y Administración, por conducto de la Subsecretaría de Administración, aplicando en lo conducente lo previsto por la Ley para el Ejercicio y Control de los Recursos Públicos para el Estado y los Municipios de Guanajuato.</w:t>
      </w:r>
    </w:p>
    <w:p w14:paraId="0CDDD437" w14:textId="77777777" w:rsidR="00492EB5" w:rsidRDefault="00492EB5" w:rsidP="00492EB5">
      <w:pPr>
        <w:jc w:val="both"/>
        <w:rPr>
          <w:rFonts w:ascii="Century Gothic" w:hAnsi="Century Gothic" w:cs="Arial"/>
          <w:color w:val="808080"/>
        </w:rPr>
      </w:pPr>
    </w:p>
    <w:p w14:paraId="3522F2AF" w14:textId="77777777" w:rsidR="00492EB5" w:rsidRPr="00A826AF" w:rsidRDefault="00492EB5" w:rsidP="00492EB5">
      <w:pPr>
        <w:pStyle w:val="Prrafodelista"/>
        <w:autoSpaceDE w:val="0"/>
        <w:autoSpaceDN w:val="0"/>
        <w:adjustRightInd w:val="0"/>
        <w:jc w:val="both"/>
        <w:rPr>
          <w:rFonts w:ascii="Century Gothic" w:hAnsi="Century Gothic" w:cs="Arial"/>
        </w:rPr>
      </w:pPr>
      <w:r w:rsidRPr="00A826AF">
        <w:rPr>
          <w:rFonts w:ascii="Century Gothic" w:hAnsi="Century Gothic" w:cs="Arial"/>
        </w:rPr>
        <w:t>Validación para adquirir bienes y Servicios de TIC</w:t>
      </w:r>
    </w:p>
    <w:p w14:paraId="18C4FFF7" w14:textId="77777777" w:rsidR="00492EB5" w:rsidRPr="00E24AB9"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Toda adquisición o contratación de bienes y Servicios de TIC, independientemente de la partida presupuestal en que se cargue, deberá contar previamente con la validación técnica de la DGTIT, a través de los mecanismos que la misma determine, permitiendo dicha validación establecer la viabilidad operativa y funcional de la compra o en su caso, sugerir la configuración más adecuada a los requerimientos planteados por las o los Usuarios.</w:t>
      </w:r>
    </w:p>
    <w:p w14:paraId="589C58C8" w14:textId="77777777" w:rsidR="00492EB5" w:rsidRPr="00E24AB9" w:rsidRDefault="00492EB5" w:rsidP="00492EB5">
      <w:pPr>
        <w:jc w:val="both"/>
        <w:rPr>
          <w:rFonts w:ascii="Century Gothic" w:hAnsi="Century Gothic" w:cs="Arial"/>
          <w:color w:val="808080"/>
        </w:rPr>
      </w:pPr>
    </w:p>
    <w:p w14:paraId="0106D763" w14:textId="77777777" w:rsidR="00492EB5" w:rsidRPr="00A826AF" w:rsidRDefault="00492EB5" w:rsidP="00492EB5">
      <w:pPr>
        <w:pStyle w:val="Prrafodelista"/>
        <w:autoSpaceDE w:val="0"/>
        <w:autoSpaceDN w:val="0"/>
        <w:adjustRightInd w:val="0"/>
        <w:jc w:val="both"/>
        <w:rPr>
          <w:rFonts w:ascii="Century Gothic" w:hAnsi="Century Gothic" w:cs="Arial"/>
        </w:rPr>
      </w:pPr>
      <w:r w:rsidRPr="00A826AF">
        <w:rPr>
          <w:rFonts w:ascii="Century Gothic" w:hAnsi="Century Gothic" w:cs="Arial"/>
        </w:rPr>
        <w:t>Del Servicio de Internet, Correo Electrónico</w:t>
      </w:r>
      <w:r>
        <w:rPr>
          <w:rFonts w:ascii="Century Gothic" w:hAnsi="Century Gothic" w:cs="Arial"/>
        </w:rPr>
        <w:t xml:space="preserve"> </w:t>
      </w:r>
      <w:r w:rsidRPr="00A826AF">
        <w:rPr>
          <w:rFonts w:ascii="Century Gothic" w:hAnsi="Century Gothic" w:cs="Arial"/>
        </w:rPr>
        <w:t>y Sistemas de Información</w:t>
      </w:r>
    </w:p>
    <w:p w14:paraId="7E81A590" w14:textId="77777777" w:rsidR="00492EB5"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 xml:space="preserve">Las y los Usuarios que por las características de su trabajo requieran acceder a los Servicios en TIC’s, deberán presentar a la Coordinación de Informática la solicitud validada por la o el titular de la Unidad Administrativa de su adscripción. </w:t>
      </w:r>
    </w:p>
    <w:p w14:paraId="4EB972C9" w14:textId="77777777" w:rsidR="00492EB5" w:rsidRPr="00E24AB9" w:rsidRDefault="00492EB5" w:rsidP="00492EB5">
      <w:pPr>
        <w:ind w:left="825"/>
        <w:jc w:val="both"/>
        <w:rPr>
          <w:rFonts w:ascii="Century Gothic" w:hAnsi="Century Gothic" w:cs="Arial"/>
          <w:color w:val="808080"/>
        </w:rPr>
      </w:pPr>
    </w:p>
    <w:p w14:paraId="3B755692" w14:textId="77777777" w:rsidR="00492EB5"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La información de la clave de acceso a los Servicios en línea, así como la relacionada con datos personales de las y los Usuarios, es información confidencial.</w:t>
      </w:r>
    </w:p>
    <w:p w14:paraId="1F86F8CE" w14:textId="77777777" w:rsidR="00492EB5" w:rsidRPr="00657DFD" w:rsidRDefault="00492EB5" w:rsidP="00492EB5">
      <w:pPr>
        <w:ind w:left="825"/>
        <w:jc w:val="both"/>
        <w:rPr>
          <w:rFonts w:ascii="Century Gothic" w:hAnsi="Century Gothic" w:cs="Arial"/>
          <w:color w:val="808080"/>
        </w:rPr>
      </w:pPr>
    </w:p>
    <w:p w14:paraId="1803C18B" w14:textId="77777777" w:rsidR="00492EB5"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El uso y resguardo de la Cuenta de usuario es responsabilidad exclusiva de las y los Usuarios.</w:t>
      </w:r>
    </w:p>
    <w:p w14:paraId="6324A8A4" w14:textId="77777777" w:rsidR="00492EB5" w:rsidRPr="00E24AB9" w:rsidRDefault="00492EB5" w:rsidP="00492EB5">
      <w:pPr>
        <w:jc w:val="both"/>
        <w:rPr>
          <w:rFonts w:ascii="Century Gothic" w:hAnsi="Century Gothic" w:cs="Arial"/>
          <w:color w:val="808080"/>
        </w:rPr>
      </w:pPr>
    </w:p>
    <w:p w14:paraId="10668FCC" w14:textId="77777777" w:rsidR="00492EB5"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Queda prohibido el uso de correo electrónico y plataformas de colaboración de terceros para cuestiones oficiales.</w:t>
      </w:r>
    </w:p>
    <w:p w14:paraId="49A72E05" w14:textId="77777777" w:rsidR="00492EB5" w:rsidRPr="00E24AB9" w:rsidRDefault="00492EB5" w:rsidP="00492EB5">
      <w:pPr>
        <w:jc w:val="both"/>
        <w:rPr>
          <w:rFonts w:ascii="Century Gothic" w:hAnsi="Century Gothic" w:cs="Arial"/>
          <w:color w:val="808080"/>
        </w:rPr>
      </w:pPr>
    </w:p>
    <w:p w14:paraId="2D9D5667" w14:textId="77777777" w:rsidR="00492EB5" w:rsidRPr="00E24AB9"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El uso del correo electrónico y de las herramientas de colaboración deberá limitarse estrictamente a cuestiones laborales.</w:t>
      </w:r>
    </w:p>
    <w:p w14:paraId="08086611" w14:textId="77777777" w:rsidR="00492EB5" w:rsidRPr="00E24AB9" w:rsidRDefault="00492EB5" w:rsidP="00492EB5">
      <w:pPr>
        <w:jc w:val="both"/>
        <w:rPr>
          <w:rFonts w:ascii="Century Gothic" w:hAnsi="Century Gothic" w:cs="Arial"/>
          <w:color w:val="808080"/>
        </w:rPr>
      </w:pPr>
    </w:p>
    <w:p w14:paraId="454059F1" w14:textId="77777777" w:rsidR="00492EB5" w:rsidRPr="006964F7" w:rsidRDefault="00492EB5" w:rsidP="00492EB5">
      <w:pPr>
        <w:pStyle w:val="Prrafodelista"/>
        <w:autoSpaceDE w:val="0"/>
        <w:autoSpaceDN w:val="0"/>
        <w:adjustRightInd w:val="0"/>
        <w:jc w:val="both"/>
        <w:rPr>
          <w:rFonts w:ascii="Century Gothic" w:hAnsi="Century Gothic" w:cs="Arial"/>
        </w:rPr>
      </w:pPr>
      <w:r w:rsidRPr="006964F7">
        <w:rPr>
          <w:rFonts w:ascii="Century Gothic" w:hAnsi="Century Gothic" w:cs="Arial"/>
        </w:rPr>
        <w:lastRenderedPageBreak/>
        <w:t>De los Servicio de Apoyo en Audio y Video</w:t>
      </w:r>
    </w:p>
    <w:p w14:paraId="50C73C21" w14:textId="77777777" w:rsidR="00492EB5"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Las y los Usuarios que requieran apoyo en la prestación e instalación proyectores, micrófonos, amplificadores, etc. deberán hacer sus solicitudes vía correo electrónico con 2 días de anticipación.</w:t>
      </w:r>
    </w:p>
    <w:p w14:paraId="065AA611" w14:textId="77777777" w:rsidR="00492EB5" w:rsidRPr="00E24AB9" w:rsidRDefault="00492EB5" w:rsidP="00492EB5">
      <w:pPr>
        <w:ind w:left="360"/>
        <w:jc w:val="both"/>
        <w:rPr>
          <w:rFonts w:ascii="Century Gothic" w:hAnsi="Century Gothic" w:cs="Arial"/>
          <w:color w:val="808080"/>
        </w:rPr>
      </w:pPr>
    </w:p>
    <w:p w14:paraId="5EA1991D" w14:textId="77777777" w:rsidR="00492EB5" w:rsidRDefault="00492EB5" w:rsidP="00A95ADF">
      <w:pPr>
        <w:numPr>
          <w:ilvl w:val="0"/>
          <w:numId w:val="27"/>
        </w:numPr>
        <w:spacing w:after="0" w:line="240" w:lineRule="auto"/>
        <w:jc w:val="both"/>
        <w:rPr>
          <w:rFonts w:ascii="Century Gothic" w:hAnsi="Century Gothic" w:cs="Arial"/>
          <w:color w:val="808080"/>
        </w:rPr>
      </w:pPr>
      <w:r w:rsidRPr="00E24AB9">
        <w:rPr>
          <w:rFonts w:ascii="Century Gothic" w:hAnsi="Century Gothic" w:cs="Arial"/>
          <w:color w:val="808080"/>
        </w:rPr>
        <w:t>En caso de requerir equipo de audio y/o video fuera de la oficina central de COFOCE, será responsabilidad del área solicitante la transportación del mismo.</w:t>
      </w:r>
    </w:p>
    <w:p w14:paraId="787BDD8D" w14:textId="77777777" w:rsidR="00492EB5" w:rsidRPr="0027607C" w:rsidRDefault="00492EB5" w:rsidP="00492EB5">
      <w:pPr>
        <w:jc w:val="both"/>
        <w:rPr>
          <w:rFonts w:ascii="Century Gothic" w:hAnsi="Century Gothic" w:cs="Arial"/>
          <w:color w:val="808080"/>
        </w:rPr>
      </w:pPr>
    </w:p>
    <w:p w14:paraId="42EF5944" w14:textId="77777777" w:rsidR="00492EB5" w:rsidRDefault="00492EB5" w:rsidP="00492EB5">
      <w:pPr>
        <w:pStyle w:val="Prrafodelista"/>
        <w:autoSpaceDE w:val="0"/>
        <w:autoSpaceDN w:val="0"/>
        <w:adjustRightInd w:val="0"/>
        <w:ind w:left="0"/>
        <w:jc w:val="both"/>
        <w:rPr>
          <w:rFonts w:ascii="Century Gothic" w:hAnsi="Century Gothic" w:cs="Arial"/>
          <w:b/>
        </w:rPr>
      </w:pPr>
      <w:r>
        <w:rPr>
          <w:rFonts w:ascii="Century Gothic" w:hAnsi="Century Gothic" w:cs="Arial"/>
          <w:b/>
        </w:rPr>
        <w:t>Apartado 6</w:t>
      </w:r>
      <w:r w:rsidRPr="002650C8">
        <w:rPr>
          <w:rFonts w:ascii="Century Gothic" w:hAnsi="Century Gothic" w:cs="Arial"/>
          <w:b/>
        </w:rPr>
        <w:t xml:space="preserve">.- </w:t>
      </w:r>
      <w:r w:rsidRPr="008C5C66">
        <w:rPr>
          <w:rFonts w:ascii="Century Gothic" w:hAnsi="Century Gothic" w:cs="Arial"/>
          <w:b/>
        </w:rPr>
        <w:t>Registro de activos y sus depreciaciones</w:t>
      </w:r>
      <w:r>
        <w:rPr>
          <w:rFonts w:ascii="Century Gothic" w:hAnsi="Century Gothic" w:cs="Arial"/>
          <w:b/>
        </w:rPr>
        <w:t>.</w:t>
      </w:r>
    </w:p>
    <w:p w14:paraId="73406708" w14:textId="77777777" w:rsidR="00492EB5" w:rsidRDefault="00492EB5" w:rsidP="00492EB5">
      <w:pPr>
        <w:pStyle w:val="Prrafodelista"/>
        <w:autoSpaceDE w:val="0"/>
        <w:autoSpaceDN w:val="0"/>
        <w:adjustRightInd w:val="0"/>
        <w:ind w:left="0"/>
        <w:jc w:val="both"/>
        <w:rPr>
          <w:rFonts w:ascii="Century Gothic" w:hAnsi="Century Gothic" w:cs="Arial"/>
          <w:b/>
        </w:rPr>
      </w:pPr>
    </w:p>
    <w:p w14:paraId="08BD9C3D" w14:textId="77777777" w:rsidR="00492EB5" w:rsidRDefault="00492EB5" w:rsidP="00A95ADF">
      <w:pPr>
        <w:pStyle w:val="Prrafodelista"/>
        <w:numPr>
          <w:ilvl w:val="0"/>
          <w:numId w:val="38"/>
        </w:numPr>
        <w:autoSpaceDE w:val="0"/>
        <w:autoSpaceDN w:val="0"/>
        <w:adjustRightInd w:val="0"/>
        <w:spacing w:after="0"/>
        <w:jc w:val="both"/>
        <w:rPr>
          <w:rFonts w:ascii="Century Gothic" w:hAnsi="Century Gothic" w:cs="Arial"/>
          <w:color w:val="808080"/>
        </w:rPr>
      </w:pPr>
      <w:r>
        <w:rPr>
          <w:rFonts w:ascii="Century Gothic" w:hAnsi="Century Gothic" w:cs="Arial"/>
          <w:color w:val="808080"/>
        </w:rPr>
        <w:t xml:space="preserve"> </w:t>
      </w:r>
      <w:r w:rsidRPr="00DD4E44">
        <w:rPr>
          <w:rFonts w:ascii="Century Gothic" w:hAnsi="Century Gothic" w:cs="Arial"/>
          <w:color w:val="808080"/>
        </w:rPr>
        <w:t>Cualquier activo adquirido por la Coordinadora de Fomento al Comercio Exterior del Estado de Guanajuato deberá ser registrado en nuestros controles de conformidad con las reglas específicas para el Registro y Valoración del Patrimonio emitidas por el CONAC, el cual establece que todo aquél bien mueble cuyo costo unitario de adquisición no rebase el valor de 35 UMAS ($2,642.15) podrá registrarse contablemente como un gasto.</w:t>
      </w:r>
    </w:p>
    <w:p w14:paraId="6D1F8D39" w14:textId="77777777" w:rsidR="00492EB5" w:rsidRPr="00DD4E44" w:rsidRDefault="00492EB5" w:rsidP="00492EB5">
      <w:pPr>
        <w:pStyle w:val="Prrafodelista"/>
        <w:autoSpaceDE w:val="0"/>
        <w:autoSpaceDN w:val="0"/>
        <w:adjustRightInd w:val="0"/>
        <w:jc w:val="both"/>
        <w:rPr>
          <w:rFonts w:ascii="Century Gothic" w:hAnsi="Century Gothic" w:cs="Arial"/>
          <w:color w:val="808080"/>
        </w:rPr>
      </w:pPr>
    </w:p>
    <w:p w14:paraId="6E79C555" w14:textId="77777777" w:rsidR="00492EB5" w:rsidRPr="00DD4E44" w:rsidRDefault="00492EB5" w:rsidP="00A95ADF">
      <w:pPr>
        <w:pStyle w:val="Prrafodelista"/>
        <w:numPr>
          <w:ilvl w:val="0"/>
          <w:numId w:val="38"/>
        </w:numPr>
        <w:autoSpaceDE w:val="0"/>
        <w:autoSpaceDN w:val="0"/>
        <w:adjustRightInd w:val="0"/>
        <w:spacing w:after="0"/>
        <w:jc w:val="both"/>
        <w:rPr>
          <w:rFonts w:ascii="Century Gothic" w:hAnsi="Century Gothic" w:cs="Arial"/>
          <w:color w:val="808080"/>
        </w:rPr>
      </w:pPr>
      <w:r w:rsidRPr="00DD4E44">
        <w:rPr>
          <w:rFonts w:ascii="Century Gothic" w:hAnsi="Century Gothic" w:cs="Arial"/>
          <w:color w:val="808080"/>
        </w:rPr>
        <w:t>El registro de las depreciaciones de los activos se realizará conforme al porcentaje y a los años estimados de vida útil que se indican a continuación:</w:t>
      </w:r>
    </w:p>
    <w:p w14:paraId="50943102" w14:textId="77777777" w:rsidR="0091669D" w:rsidRDefault="0091669D" w:rsidP="00492EB5">
      <w:pPr>
        <w:pStyle w:val="Prrafodelista"/>
        <w:autoSpaceDE w:val="0"/>
        <w:autoSpaceDN w:val="0"/>
        <w:adjustRightInd w:val="0"/>
        <w:jc w:val="both"/>
        <w:rPr>
          <w:rFonts w:ascii="Century Gothic" w:hAnsi="Century Gothic" w:cs="Arial"/>
          <w:color w:val="808080"/>
          <w:highlight w:val="yellow"/>
        </w:rPr>
      </w:pPr>
    </w:p>
    <w:p w14:paraId="6028FF8D" w14:textId="77777777" w:rsidR="0091669D" w:rsidRPr="00657DFD" w:rsidRDefault="0091669D" w:rsidP="00492EB5">
      <w:pPr>
        <w:pStyle w:val="Prrafodelista"/>
        <w:autoSpaceDE w:val="0"/>
        <w:autoSpaceDN w:val="0"/>
        <w:adjustRightInd w:val="0"/>
        <w:jc w:val="both"/>
        <w:rPr>
          <w:rFonts w:ascii="Century Gothic" w:hAnsi="Century Gothic" w:cs="Arial"/>
          <w:color w:val="808080"/>
          <w:highlight w:val="yellow"/>
        </w:rPr>
      </w:pPr>
    </w:p>
    <w:tbl>
      <w:tblPr>
        <w:tblW w:w="8080" w:type="dxa"/>
        <w:jc w:val="center"/>
        <w:tblCellMar>
          <w:left w:w="70" w:type="dxa"/>
          <w:right w:w="70" w:type="dxa"/>
        </w:tblCellMar>
        <w:tblLook w:val="04A0" w:firstRow="1" w:lastRow="0" w:firstColumn="1" w:lastColumn="0" w:noHBand="0" w:noVBand="1"/>
      </w:tblPr>
      <w:tblGrid>
        <w:gridCol w:w="4895"/>
        <w:gridCol w:w="1194"/>
        <w:gridCol w:w="1991"/>
      </w:tblGrid>
      <w:tr w:rsidR="00492EB5" w:rsidRPr="00962752" w14:paraId="12E91A1E" w14:textId="77777777" w:rsidTr="00530DD1">
        <w:trPr>
          <w:trHeight w:val="190"/>
          <w:jc w:val="center"/>
        </w:trPr>
        <w:tc>
          <w:tcPr>
            <w:tcW w:w="4895" w:type="dxa"/>
            <w:tcBorders>
              <w:top w:val="single" w:sz="8" w:space="0" w:color="auto"/>
              <w:left w:val="single" w:sz="8" w:space="0" w:color="auto"/>
              <w:bottom w:val="single" w:sz="8" w:space="0" w:color="auto"/>
              <w:right w:val="single" w:sz="8" w:space="0" w:color="auto"/>
            </w:tcBorders>
            <w:noWrap/>
            <w:vAlign w:val="center"/>
            <w:hideMark/>
          </w:tcPr>
          <w:p w14:paraId="1FE0BEA8" w14:textId="77777777" w:rsidR="00492EB5" w:rsidRPr="00962752" w:rsidRDefault="00492EB5" w:rsidP="00A95ADF">
            <w:pPr>
              <w:jc w:val="center"/>
              <w:rPr>
                <w:rFonts w:ascii="Century Gothic" w:hAnsi="Century Gothic"/>
                <w:b/>
                <w:bCs/>
                <w:color w:val="000000"/>
                <w:szCs w:val="16"/>
              </w:rPr>
            </w:pPr>
            <w:r w:rsidRPr="00962752">
              <w:rPr>
                <w:rFonts w:ascii="Century Gothic" w:hAnsi="Century Gothic"/>
                <w:b/>
                <w:bCs/>
                <w:color w:val="000000"/>
                <w:szCs w:val="16"/>
              </w:rPr>
              <w:t>BIENES MUEBLES</w:t>
            </w:r>
          </w:p>
        </w:tc>
        <w:tc>
          <w:tcPr>
            <w:tcW w:w="1194" w:type="dxa"/>
            <w:tcBorders>
              <w:top w:val="single" w:sz="8" w:space="0" w:color="auto"/>
              <w:left w:val="nil"/>
              <w:bottom w:val="single" w:sz="8" w:space="0" w:color="auto"/>
              <w:right w:val="single" w:sz="8" w:space="0" w:color="auto"/>
            </w:tcBorders>
            <w:vAlign w:val="center"/>
            <w:hideMark/>
          </w:tcPr>
          <w:p w14:paraId="0BFF053B" w14:textId="77777777" w:rsidR="00492EB5" w:rsidRPr="00962752" w:rsidRDefault="00492EB5" w:rsidP="00A95ADF">
            <w:pPr>
              <w:jc w:val="center"/>
              <w:rPr>
                <w:rFonts w:ascii="Century Gothic" w:hAnsi="Century Gothic"/>
                <w:b/>
                <w:bCs/>
                <w:color w:val="000000"/>
                <w:szCs w:val="16"/>
              </w:rPr>
            </w:pPr>
            <w:r w:rsidRPr="00962752">
              <w:rPr>
                <w:rFonts w:ascii="Century Gothic" w:hAnsi="Century Gothic"/>
                <w:b/>
                <w:bCs/>
                <w:color w:val="000000"/>
                <w:szCs w:val="16"/>
              </w:rPr>
              <w:t xml:space="preserve">AÑOS DE VIDA ÚTIL </w:t>
            </w:r>
          </w:p>
        </w:tc>
        <w:tc>
          <w:tcPr>
            <w:tcW w:w="1991" w:type="dxa"/>
            <w:tcBorders>
              <w:top w:val="single" w:sz="8" w:space="0" w:color="auto"/>
              <w:left w:val="nil"/>
              <w:bottom w:val="single" w:sz="8" w:space="0" w:color="auto"/>
              <w:right w:val="single" w:sz="8" w:space="0" w:color="auto"/>
            </w:tcBorders>
            <w:vAlign w:val="center"/>
            <w:hideMark/>
          </w:tcPr>
          <w:p w14:paraId="517865E0" w14:textId="77777777" w:rsidR="00492EB5" w:rsidRPr="00962752" w:rsidRDefault="00492EB5" w:rsidP="00A95ADF">
            <w:pPr>
              <w:jc w:val="center"/>
              <w:rPr>
                <w:rFonts w:ascii="Century Gothic" w:hAnsi="Century Gothic"/>
                <w:b/>
                <w:bCs/>
                <w:color w:val="000000"/>
                <w:szCs w:val="16"/>
              </w:rPr>
            </w:pPr>
            <w:r w:rsidRPr="00962752">
              <w:rPr>
                <w:rFonts w:ascii="Century Gothic" w:hAnsi="Century Gothic"/>
                <w:b/>
                <w:bCs/>
                <w:color w:val="000000"/>
                <w:szCs w:val="16"/>
              </w:rPr>
              <w:t>% DE DEPRECIACIÓN ANUAL</w:t>
            </w:r>
          </w:p>
        </w:tc>
      </w:tr>
      <w:tr w:rsidR="00492EB5" w:rsidRPr="00962752" w14:paraId="6BC6EA44" w14:textId="77777777" w:rsidTr="00530DD1">
        <w:trPr>
          <w:trHeight w:val="96"/>
          <w:jc w:val="center"/>
        </w:trPr>
        <w:tc>
          <w:tcPr>
            <w:tcW w:w="4895" w:type="dxa"/>
            <w:tcBorders>
              <w:top w:val="nil"/>
              <w:left w:val="single" w:sz="4" w:space="0" w:color="auto"/>
              <w:bottom w:val="single" w:sz="4" w:space="0" w:color="auto"/>
              <w:right w:val="single" w:sz="4" w:space="0" w:color="auto"/>
            </w:tcBorders>
            <w:noWrap/>
            <w:vAlign w:val="bottom"/>
            <w:hideMark/>
          </w:tcPr>
          <w:p w14:paraId="139BBF47" w14:textId="77777777" w:rsidR="00492EB5" w:rsidRPr="00962752" w:rsidRDefault="00492EB5" w:rsidP="00A95ADF">
            <w:pPr>
              <w:rPr>
                <w:rFonts w:ascii="Century Gothic" w:hAnsi="Century Gothic"/>
                <w:b/>
                <w:bCs/>
                <w:color w:val="000000"/>
                <w:szCs w:val="16"/>
                <w:u w:val="single"/>
              </w:rPr>
            </w:pPr>
            <w:r w:rsidRPr="00962752">
              <w:rPr>
                <w:rFonts w:ascii="Century Gothic" w:hAnsi="Century Gothic"/>
                <w:b/>
                <w:bCs/>
                <w:color w:val="000000"/>
                <w:szCs w:val="16"/>
                <w:u w:val="single"/>
              </w:rPr>
              <w:t>Mobiliario y Equipo de Administración</w:t>
            </w:r>
          </w:p>
        </w:tc>
        <w:tc>
          <w:tcPr>
            <w:tcW w:w="1194" w:type="dxa"/>
            <w:tcBorders>
              <w:top w:val="nil"/>
              <w:left w:val="nil"/>
              <w:bottom w:val="single" w:sz="4" w:space="0" w:color="auto"/>
              <w:right w:val="single" w:sz="4" w:space="0" w:color="auto"/>
            </w:tcBorders>
            <w:noWrap/>
            <w:vAlign w:val="bottom"/>
            <w:hideMark/>
          </w:tcPr>
          <w:p w14:paraId="5905BA1E" w14:textId="77777777" w:rsidR="00492EB5" w:rsidRPr="00962752" w:rsidRDefault="00492EB5" w:rsidP="00A95ADF">
            <w:pPr>
              <w:rPr>
                <w:rFonts w:ascii="Century Gothic" w:hAnsi="Century Gothic"/>
                <w:color w:val="000000"/>
                <w:szCs w:val="16"/>
              </w:rPr>
            </w:pPr>
          </w:p>
        </w:tc>
        <w:tc>
          <w:tcPr>
            <w:tcW w:w="1991" w:type="dxa"/>
            <w:tcBorders>
              <w:top w:val="nil"/>
              <w:left w:val="nil"/>
              <w:bottom w:val="single" w:sz="4" w:space="0" w:color="auto"/>
              <w:right w:val="single" w:sz="4" w:space="0" w:color="auto"/>
            </w:tcBorders>
            <w:noWrap/>
            <w:vAlign w:val="bottom"/>
            <w:hideMark/>
          </w:tcPr>
          <w:p w14:paraId="4BC1FAFF" w14:textId="77777777" w:rsidR="00492EB5" w:rsidRPr="00962752" w:rsidRDefault="00492EB5" w:rsidP="00A95ADF">
            <w:pPr>
              <w:rPr>
                <w:rFonts w:ascii="Century Gothic" w:hAnsi="Century Gothic"/>
                <w:color w:val="000000"/>
                <w:szCs w:val="16"/>
              </w:rPr>
            </w:pPr>
          </w:p>
        </w:tc>
      </w:tr>
      <w:tr w:rsidR="00492EB5" w:rsidRPr="00962752" w14:paraId="2CF69C9C" w14:textId="77777777" w:rsidTr="00530DD1">
        <w:trPr>
          <w:trHeight w:val="96"/>
          <w:jc w:val="center"/>
        </w:trPr>
        <w:tc>
          <w:tcPr>
            <w:tcW w:w="4895" w:type="dxa"/>
            <w:tcBorders>
              <w:top w:val="nil"/>
              <w:left w:val="single" w:sz="4" w:space="0" w:color="auto"/>
              <w:bottom w:val="single" w:sz="4" w:space="0" w:color="auto"/>
              <w:right w:val="single" w:sz="4" w:space="0" w:color="auto"/>
            </w:tcBorders>
            <w:noWrap/>
            <w:vAlign w:val="center"/>
          </w:tcPr>
          <w:p w14:paraId="4916268B" w14:textId="77777777" w:rsidR="00492EB5" w:rsidRPr="00962752" w:rsidRDefault="00492EB5" w:rsidP="00A95ADF">
            <w:pPr>
              <w:rPr>
                <w:rFonts w:ascii="Century Gothic" w:hAnsi="Century Gothic"/>
                <w:b/>
                <w:bCs/>
                <w:color w:val="000000"/>
                <w:szCs w:val="16"/>
                <w:u w:val="single"/>
              </w:rPr>
            </w:pPr>
          </w:p>
        </w:tc>
        <w:tc>
          <w:tcPr>
            <w:tcW w:w="1194" w:type="dxa"/>
            <w:tcBorders>
              <w:top w:val="nil"/>
              <w:left w:val="nil"/>
              <w:bottom w:val="single" w:sz="4" w:space="0" w:color="auto"/>
              <w:right w:val="single" w:sz="4" w:space="0" w:color="auto"/>
            </w:tcBorders>
            <w:noWrap/>
            <w:vAlign w:val="center"/>
          </w:tcPr>
          <w:p w14:paraId="71D17570" w14:textId="77777777" w:rsidR="00492EB5" w:rsidRPr="00962752" w:rsidRDefault="00492EB5" w:rsidP="00A95ADF">
            <w:pPr>
              <w:rPr>
                <w:rFonts w:ascii="Century Gothic" w:hAnsi="Century Gothic"/>
                <w:color w:val="000000"/>
                <w:szCs w:val="16"/>
              </w:rPr>
            </w:pPr>
          </w:p>
        </w:tc>
        <w:tc>
          <w:tcPr>
            <w:tcW w:w="1991" w:type="dxa"/>
            <w:tcBorders>
              <w:top w:val="nil"/>
              <w:left w:val="nil"/>
              <w:bottom w:val="single" w:sz="4" w:space="0" w:color="auto"/>
              <w:right w:val="single" w:sz="4" w:space="0" w:color="auto"/>
            </w:tcBorders>
            <w:noWrap/>
            <w:vAlign w:val="center"/>
          </w:tcPr>
          <w:p w14:paraId="0B934CD1" w14:textId="77777777" w:rsidR="00492EB5" w:rsidRPr="00962752" w:rsidRDefault="00492EB5" w:rsidP="00A95ADF">
            <w:pPr>
              <w:rPr>
                <w:rFonts w:ascii="Century Gothic" w:hAnsi="Century Gothic"/>
                <w:color w:val="000000"/>
                <w:szCs w:val="16"/>
              </w:rPr>
            </w:pPr>
          </w:p>
        </w:tc>
      </w:tr>
      <w:tr w:rsidR="00492EB5" w:rsidRPr="00962752" w14:paraId="70C8AD2B" w14:textId="77777777" w:rsidTr="00530DD1">
        <w:trPr>
          <w:trHeight w:val="96"/>
          <w:jc w:val="center"/>
        </w:trPr>
        <w:tc>
          <w:tcPr>
            <w:tcW w:w="4895" w:type="dxa"/>
            <w:tcBorders>
              <w:top w:val="nil"/>
              <w:left w:val="single" w:sz="4" w:space="0" w:color="auto"/>
              <w:bottom w:val="single" w:sz="4" w:space="0" w:color="auto"/>
              <w:right w:val="single" w:sz="4" w:space="0" w:color="auto"/>
            </w:tcBorders>
            <w:vAlign w:val="center"/>
            <w:hideMark/>
          </w:tcPr>
          <w:p w14:paraId="0BE2C65F" w14:textId="77777777" w:rsidR="00492EB5" w:rsidRPr="00962752" w:rsidRDefault="00492EB5" w:rsidP="00A95ADF">
            <w:pPr>
              <w:rPr>
                <w:rFonts w:ascii="Century Gothic" w:hAnsi="Century Gothic"/>
                <w:color w:val="000000"/>
                <w:szCs w:val="16"/>
              </w:rPr>
            </w:pPr>
            <w:r w:rsidRPr="00962752">
              <w:rPr>
                <w:rFonts w:ascii="Century Gothic" w:hAnsi="Century Gothic"/>
                <w:color w:val="000000"/>
                <w:szCs w:val="16"/>
              </w:rPr>
              <w:lastRenderedPageBreak/>
              <w:t>Equipo de cómputo y de tecnologías de la información</w:t>
            </w:r>
          </w:p>
        </w:tc>
        <w:tc>
          <w:tcPr>
            <w:tcW w:w="1194" w:type="dxa"/>
            <w:tcBorders>
              <w:top w:val="nil"/>
              <w:left w:val="nil"/>
              <w:bottom w:val="single" w:sz="4" w:space="0" w:color="auto"/>
              <w:right w:val="single" w:sz="4" w:space="0" w:color="auto"/>
            </w:tcBorders>
            <w:noWrap/>
            <w:vAlign w:val="center"/>
            <w:hideMark/>
          </w:tcPr>
          <w:p w14:paraId="15E0D8BF"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12</w:t>
            </w:r>
          </w:p>
        </w:tc>
        <w:tc>
          <w:tcPr>
            <w:tcW w:w="1991" w:type="dxa"/>
            <w:tcBorders>
              <w:top w:val="nil"/>
              <w:left w:val="nil"/>
              <w:bottom w:val="single" w:sz="4" w:space="0" w:color="auto"/>
              <w:right w:val="single" w:sz="4" w:space="0" w:color="auto"/>
            </w:tcBorders>
            <w:noWrap/>
            <w:vAlign w:val="center"/>
            <w:hideMark/>
          </w:tcPr>
          <w:p w14:paraId="6DE7CDA2"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30%</w:t>
            </w:r>
          </w:p>
        </w:tc>
      </w:tr>
      <w:tr w:rsidR="00492EB5" w:rsidRPr="00962752" w14:paraId="3D7D753C" w14:textId="77777777" w:rsidTr="00530DD1">
        <w:trPr>
          <w:trHeight w:val="96"/>
          <w:jc w:val="center"/>
        </w:trPr>
        <w:tc>
          <w:tcPr>
            <w:tcW w:w="4895" w:type="dxa"/>
            <w:tcBorders>
              <w:top w:val="nil"/>
              <w:left w:val="single" w:sz="4" w:space="0" w:color="auto"/>
              <w:bottom w:val="single" w:sz="4" w:space="0" w:color="auto"/>
              <w:right w:val="single" w:sz="4" w:space="0" w:color="auto"/>
            </w:tcBorders>
            <w:noWrap/>
            <w:vAlign w:val="center"/>
            <w:hideMark/>
          </w:tcPr>
          <w:p w14:paraId="5DA84B6C" w14:textId="77777777" w:rsidR="00492EB5" w:rsidRPr="00962752" w:rsidRDefault="00492EB5" w:rsidP="00A95ADF">
            <w:pPr>
              <w:rPr>
                <w:rFonts w:ascii="Century Gothic" w:hAnsi="Century Gothic"/>
                <w:color w:val="000000"/>
                <w:szCs w:val="16"/>
              </w:rPr>
            </w:pPr>
            <w:r w:rsidRPr="00962752">
              <w:rPr>
                <w:rFonts w:ascii="Century Gothic" w:hAnsi="Century Gothic"/>
                <w:color w:val="000000"/>
                <w:szCs w:val="16"/>
              </w:rPr>
              <w:t>Muebles de Oficina y Estantería</w:t>
            </w:r>
          </w:p>
        </w:tc>
        <w:tc>
          <w:tcPr>
            <w:tcW w:w="1194" w:type="dxa"/>
            <w:tcBorders>
              <w:top w:val="nil"/>
              <w:left w:val="nil"/>
              <w:bottom w:val="single" w:sz="4" w:space="0" w:color="auto"/>
              <w:right w:val="single" w:sz="4" w:space="0" w:color="auto"/>
            </w:tcBorders>
            <w:noWrap/>
            <w:vAlign w:val="center"/>
            <w:hideMark/>
          </w:tcPr>
          <w:p w14:paraId="1C62515E"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12</w:t>
            </w:r>
          </w:p>
        </w:tc>
        <w:tc>
          <w:tcPr>
            <w:tcW w:w="1991" w:type="dxa"/>
            <w:tcBorders>
              <w:top w:val="nil"/>
              <w:left w:val="nil"/>
              <w:bottom w:val="single" w:sz="4" w:space="0" w:color="auto"/>
              <w:right w:val="single" w:sz="4" w:space="0" w:color="auto"/>
            </w:tcBorders>
            <w:noWrap/>
            <w:vAlign w:val="center"/>
            <w:hideMark/>
          </w:tcPr>
          <w:p w14:paraId="02D8428B"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10%</w:t>
            </w:r>
          </w:p>
        </w:tc>
      </w:tr>
      <w:tr w:rsidR="00492EB5" w:rsidRPr="00962752" w14:paraId="3E5891B0" w14:textId="77777777" w:rsidTr="00530DD1">
        <w:trPr>
          <w:trHeight w:val="96"/>
          <w:jc w:val="center"/>
        </w:trPr>
        <w:tc>
          <w:tcPr>
            <w:tcW w:w="4895" w:type="dxa"/>
            <w:tcBorders>
              <w:top w:val="nil"/>
              <w:left w:val="single" w:sz="4" w:space="0" w:color="auto"/>
              <w:bottom w:val="single" w:sz="4" w:space="0" w:color="auto"/>
              <w:right w:val="single" w:sz="4" w:space="0" w:color="auto"/>
            </w:tcBorders>
            <w:noWrap/>
            <w:vAlign w:val="center"/>
            <w:hideMark/>
          </w:tcPr>
          <w:p w14:paraId="1107551F" w14:textId="77777777" w:rsidR="00492EB5" w:rsidRPr="00962752" w:rsidRDefault="00492EB5" w:rsidP="00A95ADF">
            <w:pPr>
              <w:rPr>
                <w:rFonts w:ascii="Century Gothic" w:hAnsi="Century Gothic"/>
                <w:color w:val="000000"/>
                <w:szCs w:val="16"/>
              </w:rPr>
            </w:pPr>
            <w:r w:rsidRPr="00962752">
              <w:rPr>
                <w:rFonts w:ascii="Century Gothic" w:hAnsi="Century Gothic"/>
                <w:color w:val="000000"/>
                <w:szCs w:val="16"/>
              </w:rPr>
              <w:t>Muebles, excepto de Oficina y Estantería</w:t>
            </w:r>
          </w:p>
        </w:tc>
        <w:tc>
          <w:tcPr>
            <w:tcW w:w="1194" w:type="dxa"/>
            <w:tcBorders>
              <w:top w:val="nil"/>
              <w:left w:val="nil"/>
              <w:bottom w:val="single" w:sz="4" w:space="0" w:color="auto"/>
              <w:right w:val="single" w:sz="4" w:space="0" w:color="auto"/>
            </w:tcBorders>
            <w:noWrap/>
            <w:vAlign w:val="center"/>
            <w:hideMark/>
          </w:tcPr>
          <w:p w14:paraId="615933F7"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12</w:t>
            </w:r>
          </w:p>
        </w:tc>
        <w:tc>
          <w:tcPr>
            <w:tcW w:w="1991" w:type="dxa"/>
            <w:tcBorders>
              <w:top w:val="nil"/>
              <w:left w:val="nil"/>
              <w:bottom w:val="single" w:sz="4" w:space="0" w:color="auto"/>
              <w:right w:val="single" w:sz="4" w:space="0" w:color="auto"/>
            </w:tcBorders>
            <w:noWrap/>
            <w:vAlign w:val="center"/>
            <w:hideMark/>
          </w:tcPr>
          <w:p w14:paraId="362B834A"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10%</w:t>
            </w:r>
          </w:p>
        </w:tc>
      </w:tr>
      <w:tr w:rsidR="00492EB5" w:rsidRPr="00962752" w14:paraId="42666FCF" w14:textId="77777777" w:rsidTr="00530DD1">
        <w:trPr>
          <w:trHeight w:val="96"/>
          <w:jc w:val="center"/>
        </w:trPr>
        <w:tc>
          <w:tcPr>
            <w:tcW w:w="4895" w:type="dxa"/>
            <w:tcBorders>
              <w:top w:val="nil"/>
              <w:left w:val="single" w:sz="4" w:space="0" w:color="auto"/>
              <w:bottom w:val="single" w:sz="4" w:space="0" w:color="auto"/>
              <w:right w:val="nil"/>
            </w:tcBorders>
            <w:noWrap/>
            <w:vAlign w:val="center"/>
          </w:tcPr>
          <w:p w14:paraId="66D9E4AD" w14:textId="77777777" w:rsidR="00492EB5" w:rsidRPr="00962752" w:rsidRDefault="00492EB5" w:rsidP="00A95ADF">
            <w:pPr>
              <w:rPr>
                <w:rFonts w:ascii="Century Gothic" w:hAnsi="Century Gothic"/>
                <w:b/>
                <w:bCs/>
                <w:color w:val="000000"/>
                <w:szCs w:val="16"/>
                <w:u w:val="single"/>
              </w:rPr>
            </w:pPr>
          </w:p>
        </w:tc>
        <w:tc>
          <w:tcPr>
            <w:tcW w:w="1194" w:type="dxa"/>
            <w:tcBorders>
              <w:top w:val="nil"/>
              <w:left w:val="single" w:sz="4" w:space="0" w:color="auto"/>
              <w:bottom w:val="single" w:sz="4" w:space="0" w:color="auto"/>
              <w:right w:val="single" w:sz="4" w:space="0" w:color="auto"/>
            </w:tcBorders>
            <w:noWrap/>
            <w:vAlign w:val="center"/>
          </w:tcPr>
          <w:p w14:paraId="5026B596" w14:textId="77777777" w:rsidR="00492EB5" w:rsidRPr="00962752" w:rsidRDefault="00492EB5" w:rsidP="00A95ADF">
            <w:pPr>
              <w:jc w:val="center"/>
              <w:rPr>
                <w:rFonts w:ascii="Century Gothic" w:hAnsi="Century Gothic"/>
                <w:color w:val="000000"/>
                <w:szCs w:val="16"/>
              </w:rPr>
            </w:pPr>
          </w:p>
        </w:tc>
        <w:tc>
          <w:tcPr>
            <w:tcW w:w="1991" w:type="dxa"/>
            <w:tcBorders>
              <w:top w:val="nil"/>
              <w:left w:val="nil"/>
              <w:bottom w:val="single" w:sz="4" w:space="0" w:color="auto"/>
              <w:right w:val="single" w:sz="4" w:space="0" w:color="auto"/>
            </w:tcBorders>
            <w:noWrap/>
            <w:vAlign w:val="center"/>
          </w:tcPr>
          <w:p w14:paraId="7811152E" w14:textId="77777777" w:rsidR="00492EB5" w:rsidRPr="00962752" w:rsidRDefault="00492EB5" w:rsidP="00A95ADF">
            <w:pPr>
              <w:jc w:val="center"/>
              <w:rPr>
                <w:rFonts w:ascii="Century Gothic" w:hAnsi="Century Gothic"/>
                <w:color w:val="000000"/>
                <w:szCs w:val="16"/>
              </w:rPr>
            </w:pPr>
          </w:p>
        </w:tc>
      </w:tr>
      <w:tr w:rsidR="00492EB5" w:rsidRPr="00962752" w14:paraId="14D65AA1" w14:textId="77777777" w:rsidTr="00530DD1">
        <w:trPr>
          <w:trHeight w:val="96"/>
          <w:jc w:val="center"/>
        </w:trPr>
        <w:tc>
          <w:tcPr>
            <w:tcW w:w="4895" w:type="dxa"/>
            <w:tcBorders>
              <w:top w:val="nil"/>
              <w:left w:val="single" w:sz="4" w:space="0" w:color="auto"/>
              <w:bottom w:val="single" w:sz="4" w:space="0" w:color="auto"/>
              <w:right w:val="nil"/>
            </w:tcBorders>
            <w:noWrap/>
            <w:vAlign w:val="center"/>
            <w:hideMark/>
          </w:tcPr>
          <w:p w14:paraId="6EDC39D4" w14:textId="77777777" w:rsidR="00492EB5" w:rsidRPr="00962752" w:rsidRDefault="00492EB5" w:rsidP="00A95ADF">
            <w:pPr>
              <w:rPr>
                <w:rFonts w:ascii="Century Gothic" w:hAnsi="Century Gothic"/>
                <w:b/>
                <w:bCs/>
                <w:color w:val="000000"/>
                <w:szCs w:val="16"/>
                <w:u w:val="single"/>
              </w:rPr>
            </w:pPr>
            <w:r w:rsidRPr="00962752">
              <w:rPr>
                <w:rFonts w:ascii="Century Gothic" w:hAnsi="Century Gothic"/>
                <w:b/>
                <w:bCs/>
                <w:color w:val="000000"/>
                <w:szCs w:val="16"/>
                <w:u w:val="single"/>
              </w:rPr>
              <w:t>Mobiliario y Equipo Recreativo</w:t>
            </w:r>
          </w:p>
        </w:tc>
        <w:tc>
          <w:tcPr>
            <w:tcW w:w="1194" w:type="dxa"/>
            <w:tcBorders>
              <w:top w:val="nil"/>
              <w:left w:val="single" w:sz="4" w:space="0" w:color="auto"/>
              <w:bottom w:val="single" w:sz="4" w:space="0" w:color="auto"/>
              <w:right w:val="single" w:sz="4" w:space="0" w:color="auto"/>
            </w:tcBorders>
            <w:noWrap/>
            <w:vAlign w:val="center"/>
            <w:hideMark/>
          </w:tcPr>
          <w:p w14:paraId="11A36DDC" w14:textId="77777777" w:rsidR="00492EB5" w:rsidRPr="00962752" w:rsidRDefault="00492EB5" w:rsidP="00A95ADF">
            <w:pPr>
              <w:jc w:val="center"/>
              <w:rPr>
                <w:rFonts w:ascii="Century Gothic" w:hAnsi="Century Gothic"/>
                <w:color w:val="000000"/>
                <w:szCs w:val="16"/>
              </w:rPr>
            </w:pPr>
          </w:p>
        </w:tc>
        <w:tc>
          <w:tcPr>
            <w:tcW w:w="1991" w:type="dxa"/>
            <w:tcBorders>
              <w:top w:val="nil"/>
              <w:left w:val="nil"/>
              <w:bottom w:val="single" w:sz="4" w:space="0" w:color="auto"/>
              <w:right w:val="single" w:sz="4" w:space="0" w:color="auto"/>
            </w:tcBorders>
            <w:noWrap/>
            <w:vAlign w:val="center"/>
            <w:hideMark/>
          </w:tcPr>
          <w:p w14:paraId="45BA3D81" w14:textId="77777777" w:rsidR="00492EB5" w:rsidRPr="00962752" w:rsidRDefault="00492EB5" w:rsidP="00A95ADF">
            <w:pPr>
              <w:jc w:val="center"/>
              <w:rPr>
                <w:rFonts w:ascii="Century Gothic" w:hAnsi="Century Gothic"/>
                <w:color w:val="000000"/>
                <w:szCs w:val="16"/>
              </w:rPr>
            </w:pPr>
          </w:p>
        </w:tc>
      </w:tr>
      <w:tr w:rsidR="00492EB5" w:rsidRPr="00962752" w14:paraId="139C240B" w14:textId="77777777" w:rsidTr="00530DD1">
        <w:trPr>
          <w:trHeight w:val="96"/>
          <w:jc w:val="center"/>
        </w:trPr>
        <w:tc>
          <w:tcPr>
            <w:tcW w:w="4895" w:type="dxa"/>
            <w:tcBorders>
              <w:top w:val="nil"/>
              <w:left w:val="single" w:sz="4" w:space="0" w:color="auto"/>
              <w:bottom w:val="single" w:sz="4" w:space="0" w:color="auto"/>
              <w:right w:val="nil"/>
            </w:tcBorders>
            <w:noWrap/>
            <w:vAlign w:val="center"/>
          </w:tcPr>
          <w:p w14:paraId="7E5F8104" w14:textId="77777777" w:rsidR="00492EB5" w:rsidRPr="00962752" w:rsidRDefault="00492EB5" w:rsidP="00A95ADF">
            <w:pPr>
              <w:rPr>
                <w:rFonts w:ascii="Century Gothic" w:hAnsi="Century Gothic"/>
                <w:b/>
                <w:bCs/>
                <w:color w:val="000000"/>
                <w:szCs w:val="16"/>
                <w:u w:val="single"/>
              </w:rPr>
            </w:pPr>
          </w:p>
        </w:tc>
        <w:tc>
          <w:tcPr>
            <w:tcW w:w="1194" w:type="dxa"/>
            <w:tcBorders>
              <w:top w:val="nil"/>
              <w:left w:val="single" w:sz="4" w:space="0" w:color="auto"/>
              <w:bottom w:val="single" w:sz="4" w:space="0" w:color="auto"/>
              <w:right w:val="single" w:sz="4" w:space="0" w:color="auto"/>
            </w:tcBorders>
            <w:noWrap/>
            <w:vAlign w:val="center"/>
          </w:tcPr>
          <w:p w14:paraId="30E56EF0" w14:textId="77777777" w:rsidR="00492EB5" w:rsidRPr="00962752" w:rsidRDefault="00492EB5" w:rsidP="00A95ADF">
            <w:pPr>
              <w:jc w:val="center"/>
              <w:rPr>
                <w:rFonts w:ascii="Century Gothic" w:hAnsi="Century Gothic"/>
                <w:color w:val="000000"/>
                <w:szCs w:val="16"/>
              </w:rPr>
            </w:pPr>
          </w:p>
        </w:tc>
        <w:tc>
          <w:tcPr>
            <w:tcW w:w="1991" w:type="dxa"/>
            <w:tcBorders>
              <w:top w:val="nil"/>
              <w:left w:val="nil"/>
              <w:bottom w:val="single" w:sz="4" w:space="0" w:color="auto"/>
              <w:right w:val="single" w:sz="4" w:space="0" w:color="auto"/>
            </w:tcBorders>
            <w:noWrap/>
            <w:vAlign w:val="center"/>
          </w:tcPr>
          <w:p w14:paraId="6CDDCA05" w14:textId="77777777" w:rsidR="00492EB5" w:rsidRPr="00962752" w:rsidRDefault="00492EB5" w:rsidP="00A95ADF">
            <w:pPr>
              <w:jc w:val="center"/>
              <w:rPr>
                <w:rFonts w:ascii="Century Gothic" w:hAnsi="Century Gothic"/>
                <w:color w:val="000000"/>
                <w:szCs w:val="16"/>
              </w:rPr>
            </w:pPr>
          </w:p>
        </w:tc>
      </w:tr>
      <w:tr w:rsidR="00492EB5" w:rsidRPr="00962752" w14:paraId="692B6F25" w14:textId="77777777" w:rsidTr="00530DD1">
        <w:trPr>
          <w:trHeight w:val="96"/>
          <w:jc w:val="center"/>
        </w:trPr>
        <w:tc>
          <w:tcPr>
            <w:tcW w:w="4895" w:type="dxa"/>
            <w:tcBorders>
              <w:top w:val="nil"/>
              <w:left w:val="single" w:sz="4" w:space="0" w:color="auto"/>
              <w:bottom w:val="single" w:sz="4" w:space="0" w:color="auto"/>
              <w:right w:val="single" w:sz="4" w:space="0" w:color="auto"/>
            </w:tcBorders>
            <w:noWrap/>
            <w:vAlign w:val="center"/>
            <w:hideMark/>
          </w:tcPr>
          <w:p w14:paraId="681F8825" w14:textId="77777777" w:rsidR="00492EB5" w:rsidRPr="00962752" w:rsidRDefault="00492EB5" w:rsidP="00A95ADF">
            <w:pPr>
              <w:rPr>
                <w:rFonts w:ascii="Century Gothic" w:hAnsi="Century Gothic"/>
                <w:color w:val="000000"/>
                <w:szCs w:val="16"/>
              </w:rPr>
            </w:pPr>
            <w:r w:rsidRPr="00962752">
              <w:rPr>
                <w:rFonts w:ascii="Century Gothic" w:hAnsi="Century Gothic"/>
                <w:color w:val="000000"/>
                <w:szCs w:val="16"/>
              </w:rPr>
              <w:t>Equipos y aparatos audiovisuales</w:t>
            </w:r>
          </w:p>
        </w:tc>
        <w:tc>
          <w:tcPr>
            <w:tcW w:w="1194" w:type="dxa"/>
            <w:tcBorders>
              <w:top w:val="nil"/>
              <w:left w:val="nil"/>
              <w:bottom w:val="single" w:sz="4" w:space="0" w:color="auto"/>
              <w:right w:val="single" w:sz="4" w:space="0" w:color="auto"/>
            </w:tcBorders>
            <w:noWrap/>
            <w:vAlign w:val="center"/>
            <w:hideMark/>
          </w:tcPr>
          <w:p w14:paraId="1CB6DE97"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12</w:t>
            </w:r>
          </w:p>
        </w:tc>
        <w:tc>
          <w:tcPr>
            <w:tcW w:w="1991" w:type="dxa"/>
            <w:tcBorders>
              <w:top w:val="nil"/>
              <w:left w:val="nil"/>
              <w:bottom w:val="single" w:sz="4" w:space="0" w:color="auto"/>
              <w:right w:val="single" w:sz="4" w:space="0" w:color="auto"/>
            </w:tcBorders>
            <w:noWrap/>
            <w:vAlign w:val="center"/>
            <w:hideMark/>
          </w:tcPr>
          <w:p w14:paraId="2E8616F5"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30%</w:t>
            </w:r>
          </w:p>
        </w:tc>
      </w:tr>
      <w:tr w:rsidR="00492EB5" w:rsidRPr="00962752" w14:paraId="1698F7F6" w14:textId="77777777" w:rsidTr="00530DD1">
        <w:trPr>
          <w:trHeight w:val="96"/>
          <w:jc w:val="center"/>
        </w:trPr>
        <w:tc>
          <w:tcPr>
            <w:tcW w:w="4895" w:type="dxa"/>
            <w:tcBorders>
              <w:top w:val="nil"/>
              <w:left w:val="single" w:sz="4" w:space="0" w:color="auto"/>
              <w:bottom w:val="single" w:sz="4" w:space="0" w:color="auto"/>
              <w:right w:val="single" w:sz="4" w:space="0" w:color="auto"/>
            </w:tcBorders>
            <w:noWrap/>
            <w:vAlign w:val="center"/>
            <w:hideMark/>
          </w:tcPr>
          <w:p w14:paraId="4253DCD8" w14:textId="77777777" w:rsidR="00492EB5" w:rsidRPr="00962752" w:rsidRDefault="00492EB5" w:rsidP="00A95ADF">
            <w:pPr>
              <w:rPr>
                <w:rFonts w:ascii="Century Gothic" w:hAnsi="Century Gothic"/>
                <w:color w:val="000000"/>
                <w:szCs w:val="16"/>
              </w:rPr>
            </w:pPr>
            <w:r w:rsidRPr="00962752">
              <w:rPr>
                <w:rFonts w:ascii="Century Gothic" w:hAnsi="Century Gothic"/>
                <w:color w:val="000000"/>
                <w:szCs w:val="16"/>
              </w:rPr>
              <w:t>Otro Mobiliario y Equipo Recreativo</w:t>
            </w:r>
          </w:p>
        </w:tc>
        <w:tc>
          <w:tcPr>
            <w:tcW w:w="1194" w:type="dxa"/>
            <w:tcBorders>
              <w:top w:val="nil"/>
              <w:left w:val="nil"/>
              <w:bottom w:val="single" w:sz="4" w:space="0" w:color="auto"/>
              <w:right w:val="single" w:sz="4" w:space="0" w:color="auto"/>
            </w:tcBorders>
            <w:noWrap/>
            <w:vAlign w:val="center"/>
            <w:hideMark/>
          </w:tcPr>
          <w:p w14:paraId="264C34B8"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12</w:t>
            </w:r>
          </w:p>
        </w:tc>
        <w:tc>
          <w:tcPr>
            <w:tcW w:w="1991" w:type="dxa"/>
            <w:tcBorders>
              <w:top w:val="nil"/>
              <w:left w:val="nil"/>
              <w:bottom w:val="single" w:sz="4" w:space="0" w:color="auto"/>
              <w:right w:val="single" w:sz="4" w:space="0" w:color="auto"/>
            </w:tcBorders>
            <w:noWrap/>
            <w:vAlign w:val="center"/>
            <w:hideMark/>
          </w:tcPr>
          <w:p w14:paraId="548F400C"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10%</w:t>
            </w:r>
          </w:p>
        </w:tc>
      </w:tr>
      <w:tr w:rsidR="00492EB5" w:rsidRPr="00962752" w14:paraId="628E25C9" w14:textId="77777777" w:rsidTr="00530DD1">
        <w:trPr>
          <w:trHeight w:val="96"/>
          <w:jc w:val="center"/>
        </w:trPr>
        <w:tc>
          <w:tcPr>
            <w:tcW w:w="4895" w:type="dxa"/>
            <w:tcBorders>
              <w:top w:val="nil"/>
              <w:left w:val="single" w:sz="4" w:space="0" w:color="auto"/>
              <w:bottom w:val="single" w:sz="4" w:space="0" w:color="auto"/>
              <w:right w:val="single" w:sz="4" w:space="0" w:color="auto"/>
            </w:tcBorders>
            <w:noWrap/>
            <w:vAlign w:val="center"/>
          </w:tcPr>
          <w:p w14:paraId="056D458E" w14:textId="77777777" w:rsidR="00492EB5" w:rsidRPr="00962752" w:rsidRDefault="00492EB5" w:rsidP="00A95ADF">
            <w:pPr>
              <w:rPr>
                <w:rFonts w:ascii="Century Gothic" w:hAnsi="Century Gothic"/>
                <w:b/>
                <w:bCs/>
                <w:color w:val="000000"/>
                <w:szCs w:val="16"/>
                <w:u w:val="single"/>
              </w:rPr>
            </w:pPr>
          </w:p>
        </w:tc>
        <w:tc>
          <w:tcPr>
            <w:tcW w:w="1194" w:type="dxa"/>
            <w:tcBorders>
              <w:top w:val="nil"/>
              <w:left w:val="nil"/>
              <w:bottom w:val="single" w:sz="4" w:space="0" w:color="auto"/>
              <w:right w:val="single" w:sz="4" w:space="0" w:color="auto"/>
            </w:tcBorders>
            <w:noWrap/>
            <w:vAlign w:val="center"/>
          </w:tcPr>
          <w:p w14:paraId="4C11FA01" w14:textId="77777777" w:rsidR="00492EB5" w:rsidRPr="00962752" w:rsidRDefault="00492EB5" w:rsidP="00A95ADF">
            <w:pPr>
              <w:jc w:val="center"/>
              <w:rPr>
                <w:rFonts w:ascii="Century Gothic" w:hAnsi="Century Gothic"/>
                <w:color w:val="000000"/>
                <w:szCs w:val="16"/>
              </w:rPr>
            </w:pPr>
          </w:p>
        </w:tc>
        <w:tc>
          <w:tcPr>
            <w:tcW w:w="1991" w:type="dxa"/>
            <w:tcBorders>
              <w:top w:val="nil"/>
              <w:left w:val="nil"/>
              <w:bottom w:val="single" w:sz="4" w:space="0" w:color="auto"/>
              <w:right w:val="single" w:sz="4" w:space="0" w:color="auto"/>
            </w:tcBorders>
            <w:noWrap/>
            <w:vAlign w:val="center"/>
          </w:tcPr>
          <w:p w14:paraId="68B0D2A6" w14:textId="77777777" w:rsidR="00492EB5" w:rsidRPr="00962752" w:rsidRDefault="00492EB5" w:rsidP="00A95ADF">
            <w:pPr>
              <w:jc w:val="center"/>
              <w:rPr>
                <w:rFonts w:ascii="Century Gothic" w:hAnsi="Century Gothic"/>
                <w:color w:val="000000"/>
                <w:szCs w:val="16"/>
              </w:rPr>
            </w:pPr>
          </w:p>
        </w:tc>
      </w:tr>
      <w:tr w:rsidR="00492EB5" w:rsidRPr="00962752" w14:paraId="692A6796" w14:textId="77777777" w:rsidTr="00530DD1">
        <w:trPr>
          <w:trHeight w:val="96"/>
          <w:jc w:val="center"/>
        </w:trPr>
        <w:tc>
          <w:tcPr>
            <w:tcW w:w="4895" w:type="dxa"/>
            <w:tcBorders>
              <w:top w:val="nil"/>
              <w:left w:val="single" w:sz="4" w:space="0" w:color="auto"/>
              <w:bottom w:val="single" w:sz="4" w:space="0" w:color="auto"/>
              <w:right w:val="single" w:sz="4" w:space="0" w:color="auto"/>
            </w:tcBorders>
            <w:noWrap/>
            <w:vAlign w:val="center"/>
            <w:hideMark/>
          </w:tcPr>
          <w:p w14:paraId="024C770D" w14:textId="77777777" w:rsidR="00492EB5" w:rsidRPr="00962752" w:rsidRDefault="00492EB5" w:rsidP="00A95ADF">
            <w:pPr>
              <w:rPr>
                <w:rFonts w:ascii="Century Gothic" w:hAnsi="Century Gothic"/>
                <w:b/>
                <w:bCs/>
                <w:color w:val="000000"/>
                <w:szCs w:val="16"/>
                <w:u w:val="single"/>
              </w:rPr>
            </w:pPr>
            <w:r w:rsidRPr="00962752">
              <w:rPr>
                <w:rFonts w:ascii="Century Gothic" w:hAnsi="Century Gothic"/>
                <w:b/>
                <w:bCs/>
                <w:color w:val="000000"/>
                <w:szCs w:val="16"/>
                <w:u w:val="single"/>
              </w:rPr>
              <w:t>Vehículos y Equipo de Transporte</w:t>
            </w:r>
          </w:p>
        </w:tc>
        <w:tc>
          <w:tcPr>
            <w:tcW w:w="1194" w:type="dxa"/>
            <w:tcBorders>
              <w:top w:val="nil"/>
              <w:left w:val="nil"/>
              <w:bottom w:val="single" w:sz="4" w:space="0" w:color="auto"/>
              <w:right w:val="single" w:sz="4" w:space="0" w:color="auto"/>
            </w:tcBorders>
            <w:noWrap/>
            <w:vAlign w:val="center"/>
            <w:hideMark/>
          </w:tcPr>
          <w:p w14:paraId="4A7FD7D5" w14:textId="77777777" w:rsidR="00492EB5" w:rsidRPr="00962752" w:rsidRDefault="00492EB5" w:rsidP="00A95ADF">
            <w:pPr>
              <w:jc w:val="center"/>
              <w:rPr>
                <w:rFonts w:ascii="Century Gothic" w:hAnsi="Century Gothic"/>
                <w:color w:val="000000"/>
                <w:szCs w:val="16"/>
              </w:rPr>
            </w:pPr>
          </w:p>
        </w:tc>
        <w:tc>
          <w:tcPr>
            <w:tcW w:w="1991" w:type="dxa"/>
            <w:tcBorders>
              <w:top w:val="nil"/>
              <w:left w:val="nil"/>
              <w:bottom w:val="single" w:sz="4" w:space="0" w:color="auto"/>
              <w:right w:val="single" w:sz="4" w:space="0" w:color="auto"/>
            </w:tcBorders>
            <w:noWrap/>
            <w:vAlign w:val="center"/>
            <w:hideMark/>
          </w:tcPr>
          <w:p w14:paraId="2587E35F" w14:textId="77777777" w:rsidR="00492EB5" w:rsidRPr="00962752" w:rsidRDefault="00492EB5" w:rsidP="00A95ADF">
            <w:pPr>
              <w:jc w:val="center"/>
              <w:rPr>
                <w:rFonts w:ascii="Century Gothic" w:hAnsi="Century Gothic"/>
                <w:color w:val="000000"/>
                <w:szCs w:val="16"/>
              </w:rPr>
            </w:pPr>
          </w:p>
        </w:tc>
      </w:tr>
      <w:tr w:rsidR="00492EB5" w:rsidRPr="00962752" w14:paraId="5688E933" w14:textId="77777777" w:rsidTr="00530DD1">
        <w:trPr>
          <w:trHeight w:val="96"/>
          <w:jc w:val="center"/>
        </w:trPr>
        <w:tc>
          <w:tcPr>
            <w:tcW w:w="4895" w:type="dxa"/>
            <w:tcBorders>
              <w:top w:val="nil"/>
              <w:left w:val="single" w:sz="4" w:space="0" w:color="auto"/>
              <w:bottom w:val="single" w:sz="4" w:space="0" w:color="auto"/>
              <w:right w:val="single" w:sz="4" w:space="0" w:color="auto"/>
            </w:tcBorders>
            <w:noWrap/>
            <w:vAlign w:val="center"/>
          </w:tcPr>
          <w:p w14:paraId="1AD4C88D" w14:textId="77777777" w:rsidR="00492EB5" w:rsidRPr="00962752" w:rsidRDefault="00492EB5" w:rsidP="00A95ADF">
            <w:pPr>
              <w:rPr>
                <w:rFonts w:ascii="Century Gothic" w:hAnsi="Century Gothic"/>
                <w:b/>
                <w:bCs/>
                <w:color w:val="000000"/>
                <w:szCs w:val="16"/>
                <w:u w:val="single"/>
              </w:rPr>
            </w:pPr>
          </w:p>
        </w:tc>
        <w:tc>
          <w:tcPr>
            <w:tcW w:w="1194" w:type="dxa"/>
            <w:tcBorders>
              <w:top w:val="nil"/>
              <w:left w:val="nil"/>
              <w:bottom w:val="single" w:sz="4" w:space="0" w:color="auto"/>
              <w:right w:val="single" w:sz="4" w:space="0" w:color="auto"/>
            </w:tcBorders>
            <w:noWrap/>
            <w:vAlign w:val="center"/>
          </w:tcPr>
          <w:p w14:paraId="701E81A4" w14:textId="77777777" w:rsidR="00492EB5" w:rsidRPr="00962752" w:rsidRDefault="00492EB5" w:rsidP="00A95ADF">
            <w:pPr>
              <w:jc w:val="center"/>
              <w:rPr>
                <w:rFonts w:ascii="Century Gothic" w:hAnsi="Century Gothic"/>
                <w:color w:val="000000"/>
                <w:szCs w:val="16"/>
              </w:rPr>
            </w:pPr>
          </w:p>
        </w:tc>
        <w:tc>
          <w:tcPr>
            <w:tcW w:w="1991" w:type="dxa"/>
            <w:tcBorders>
              <w:top w:val="nil"/>
              <w:left w:val="nil"/>
              <w:bottom w:val="single" w:sz="4" w:space="0" w:color="auto"/>
              <w:right w:val="single" w:sz="4" w:space="0" w:color="auto"/>
            </w:tcBorders>
            <w:noWrap/>
            <w:vAlign w:val="center"/>
          </w:tcPr>
          <w:p w14:paraId="5D60682A" w14:textId="77777777" w:rsidR="00492EB5" w:rsidRPr="00962752" w:rsidRDefault="00492EB5" w:rsidP="00A95ADF">
            <w:pPr>
              <w:jc w:val="center"/>
              <w:rPr>
                <w:rFonts w:ascii="Century Gothic" w:hAnsi="Century Gothic"/>
                <w:color w:val="000000"/>
                <w:szCs w:val="16"/>
              </w:rPr>
            </w:pPr>
          </w:p>
        </w:tc>
      </w:tr>
      <w:tr w:rsidR="00492EB5" w:rsidRPr="00962752" w14:paraId="0C772FEC" w14:textId="77777777" w:rsidTr="00530DD1">
        <w:trPr>
          <w:trHeight w:val="96"/>
          <w:jc w:val="center"/>
        </w:trPr>
        <w:tc>
          <w:tcPr>
            <w:tcW w:w="4895" w:type="dxa"/>
            <w:tcBorders>
              <w:top w:val="nil"/>
              <w:left w:val="single" w:sz="4" w:space="0" w:color="auto"/>
              <w:bottom w:val="single" w:sz="4" w:space="0" w:color="auto"/>
              <w:right w:val="single" w:sz="4" w:space="0" w:color="auto"/>
            </w:tcBorders>
            <w:noWrap/>
            <w:vAlign w:val="center"/>
            <w:hideMark/>
          </w:tcPr>
          <w:p w14:paraId="5D67307A" w14:textId="77777777" w:rsidR="00492EB5" w:rsidRPr="00962752" w:rsidRDefault="00492EB5" w:rsidP="00A95ADF">
            <w:pPr>
              <w:rPr>
                <w:rFonts w:ascii="Century Gothic" w:hAnsi="Century Gothic"/>
                <w:color w:val="000000"/>
                <w:szCs w:val="16"/>
              </w:rPr>
            </w:pPr>
            <w:r w:rsidRPr="00962752">
              <w:rPr>
                <w:rFonts w:ascii="Century Gothic" w:hAnsi="Century Gothic"/>
                <w:color w:val="000000"/>
                <w:szCs w:val="16"/>
              </w:rPr>
              <w:t xml:space="preserve">Automóviles </w:t>
            </w:r>
          </w:p>
        </w:tc>
        <w:tc>
          <w:tcPr>
            <w:tcW w:w="1194" w:type="dxa"/>
            <w:tcBorders>
              <w:top w:val="nil"/>
              <w:left w:val="nil"/>
              <w:bottom w:val="single" w:sz="4" w:space="0" w:color="auto"/>
              <w:right w:val="single" w:sz="4" w:space="0" w:color="auto"/>
            </w:tcBorders>
            <w:noWrap/>
            <w:vAlign w:val="center"/>
            <w:hideMark/>
          </w:tcPr>
          <w:p w14:paraId="5ABBA830"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12</w:t>
            </w:r>
          </w:p>
        </w:tc>
        <w:tc>
          <w:tcPr>
            <w:tcW w:w="1991" w:type="dxa"/>
            <w:tcBorders>
              <w:top w:val="nil"/>
              <w:left w:val="nil"/>
              <w:bottom w:val="single" w:sz="4" w:space="0" w:color="auto"/>
              <w:right w:val="single" w:sz="4" w:space="0" w:color="auto"/>
            </w:tcBorders>
            <w:noWrap/>
            <w:vAlign w:val="center"/>
            <w:hideMark/>
          </w:tcPr>
          <w:p w14:paraId="6C301A8B" w14:textId="77777777" w:rsidR="00492EB5" w:rsidRPr="00962752" w:rsidRDefault="00492EB5" w:rsidP="00A95ADF">
            <w:pPr>
              <w:jc w:val="center"/>
              <w:rPr>
                <w:rFonts w:ascii="Century Gothic" w:hAnsi="Century Gothic"/>
                <w:color w:val="000000"/>
                <w:szCs w:val="16"/>
              </w:rPr>
            </w:pPr>
            <w:r w:rsidRPr="00962752">
              <w:rPr>
                <w:rFonts w:ascii="Century Gothic" w:hAnsi="Century Gothic"/>
                <w:color w:val="000000"/>
                <w:szCs w:val="16"/>
              </w:rPr>
              <w:t>25%</w:t>
            </w:r>
          </w:p>
        </w:tc>
      </w:tr>
    </w:tbl>
    <w:p w14:paraId="53763A17" w14:textId="77777777" w:rsidR="00AC16F9" w:rsidRDefault="00AC16F9" w:rsidP="00492EB5">
      <w:pPr>
        <w:jc w:val="both"/>
        <w:rPr>
          <w:rFonts w:ascii="Century Gothic" w:hAnsi="Century Gothic" w:cs="Arial"/>
          <w:b/>
          <w:color w:val="000000"/>
        </w:rPr>
      </w:pPr>
    </w:p>
    <w:p w14:paraId="799F5786" w14:textId="77777777" w:rsidR="00492EB5" w:rsidRPr="006E193D" w:rsidRDefault="00492EB5" w:rsidP="00492EB5">
      <w:pPr>
        <w:jc w:val="both"/>
        <w:rPr>
          <w:rFonts w:ascii="Century Gothic" w:hAnsi="Century Gothic" w:cs="Arial"/>
          <w:b/>
          <w:color w:val="000000"/>
        </w:rPr>
      </w:pPr>
      <w:r w:rsidRPr="006E193D">
        <w:rPr>
          <w:rFonts w:ascii="Century Gothic" w:hAnsi="Century Gothic" w:cs="Arial"/>
          <w:b/>
          <w:color w:val="000000"/>
        </w:rPr>
        <w:t>Sección C</w:t>
      </w:r>
    </w:p>
    <w:p w14:paraId="70EDA158" w14:textId="77777777" w:rsidR="00492EB5" w:rsidRPr="006E193D" w:rsidRDefault="00492EB5" w:rsidP="00492EB5">
      <w:pPr>
        <w:pStyle w:val="Prrafodelista"/>
        <w:autoSpaceDE w:val="0"/>
        <w:autoSpaceDN w:val="0"/>
        <w:adjustRightInd w:val="0"/>
        <w:ind w:left="0"/>
        <w:jc w:val="both"/>
        <w:rPr>
          <w:rFonts w:ascii="Century Gothic" w:hAnsi="Century Gothic" w:cs="Arial"/>
          <w:b/>
          <w:color w:val="000000"/>
        </w:rPr>
      </w:pPr>
      <w:r w:rsidRPr="006E193D">
        <w:rPr>
          <w:rFonts w:ascii="Century Gothic" w:hAnsi="Century Gothic" w:cs="Arial"/>
          <w:b/>
        </w:rPr>
        <w:t>Políticas</w:t>
      </w:r>
      <w:r w:rsidRPr="006E193D">
        <w:rPr>
          <w:rFonts w:ascii="Century Gothic" w:hAnsi="Century Gothic" w:cs="Arial"/>
          <w:b/>
          <w:color w:val="000000"/>
        </w:rPr>
        <w:t xml:space="preserve"> para Administrar los Recursos Humanos</w:t>
      </w:r>
    </w:p>
    <w:p w14:paraId="67539BEF" w14:textId="77777777" w:rsidR="00492EB5" w:rsidRPr="00E24AB9" w:rsidRDefault="00492EB5" w:rsidP="00492EB5">
      <w:pPr>
        <w:jc w:val="both"/>
        <w:rPr>
          <w:rFonts w:ascii="Century Gothic" w:hAnsi="Century Gothic" w:cs="Arial"/>
          <w:color w:val="808080"/>
        </w:rPr>
      </w:pPr>
    </w:p>
    <w:p w14:paraId="0D92207B" w14:textId="77777777" w:rsidR="00492EB5" w:rsidRDefault="00492EB5" w:rsidP="00492EB5">
      <w:pPr>
        <w:pStyle w:val="Prrafodelista"/>
        <w:autoSpaceDE w:val="0"/>
        <w:autoSpaceDN w:val="0"/>
        <w:adjustRightInd w:val="0"/>
        <w:ind w:left="0"/>
        <w:jc w:val="both"/>
        <w:rPr>
          <w:rFonts w:ascii="Century Gothic" w:hAnsi="Century Gothic" w:cs="Arial"/>
          <w:b/>
        </w:rPr>
      </w:pPr>
      <w:r>
        <w:rPr>
          <w:rFonts w:ascii="Century Gothic" w:hAnsi="Century Gothic" w:cs="Arial"/>
          <w:b/>
        </w:rPr>
        <w:lastRenderedPageBreak/>
        <w:t>Apartado 1.</w:t>
      </w:r>
    </w:p>
    <w:p w14:paraId="39F4BD71"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Control de Asistencia.</w:t>
      </w:r>
    </w:p>
    <w:p w14:paraId="7D1458B6" w14:textId="77777777" w:rsidR="00492EB5" w:rsidRPr="00E24AB9" w:rsidRDefault="00492EB5" w:rsidP="00492EB5">
      <w:pPr>
        <w:jc w:val="both"/>
        <w:rPr>
          <w:rFonts w:ascii="Century Gothic" w:hAnsi="Century Gothic" w:cs="Arial"/>
          <w:color w:val="808080"/>
        </w:rPr>
      </w:pPr>
    </w:p>
    <w:p w14:paraId="109C34F5" w14:textId="77777777" w:rsidR="00492EB5" w:rsidRDefault="00492EB5" w:rsidP="00A95ADF">
      <w:pPr>
        <w:numPr>
          <w:ilvl w:val="0"/>
          <w:numId w:val="28"/>
        </w:numPr>
        <w:spacing w:after="0" w:line="240" w:lineRule="auto"/>
        <w:jc w:val="both"/>
        <w:rPr>
          <w:rFonts w:ascii="Century Gothic" w:hAnsi="Century Gothic" w:cs="Arial"/>
          <w:color w:val="808080"/>
        </w:rPr>
      </w:pPr>
      <w:r w:rsidRPr="00E24AB9">
        <w:rPr>
          <w:rFonts w:ascii="Century Gothic" w:hAnsi="Century Gothic" w:cs="Arial"/>
          <w:color w:val="808080"/>
        </w:rPr>
        <w:t>Los Trabajadores deberán registrar su entrada dentro de los quince minutos siguientes  a la hora establecida de entrada.</w:t>
      </w:r>
    </w:p>
    <w:p w14:paraId="53A851C7" w14:textId="77777777" w:rsidR="00492EB5" w:rsidRPr="00E24AB9" w:rsidRDefault="00492EB5" w:rsidP="00492EB5">
      <w:pPr>
        <w:ind w:left="825"/>
        <w:jc w:val="both"/>
        <w:rPr>
          <w:rFonts w:ascii="Century Gothic" w:hAnsi="Century Gothic" w:cs="Arial"/>
          <w:color w:val="808080"/>
        </w:rPr>
      </w:pPr>
    </w:p>
    <w:p w14:paraId="7B5610A9" w14:textId="77777777" w:rsidR="00492EB5" w:rsidRDefault="00492EB5" w:rsidP="00A95ADF">
      <w:pPr>
        <w:numPr>
          <w:ilvl w:val="0"/>
          <w:numId w:val="28"/>
        </w:numPr>
        <w:spacing w:after="0" w:line="240" w:lineRule="auto"/>
        <w:jc w:val="both"/>
        <w:rPr>
          <w:rFonts w:ascii="Century Gothic" w:hAnsi="Century Gothic" w:cs="Arial"/>
          <w:color w:val="808080"/>
        </w:rPr>
      </w:pPr>
      <w:r w:rsidRPr="00E24AB9">
        <w:rPr>
          <w:rFonts w:ascii="Century Gothic" w:hAnsi="Century Gothic" w:cs="Arial"/>
          <w:color w:val="808080"/>
        </w:rPr>
        <w:t>El registro de asistencia entre los dieciséis  y los treinta minutos después de la hora señalada para ingresar a laborar se consideran retardo, por cada tres retardos en la quincena se considera una falta injustificada; por lo que la Coordinación de Recursos Humanos procederá a realizar el descuento correspondiente en el  periodo siguiente de la nómina.</w:t>
      </w:r>
    </w:p>
    <w:p w14:paraId="2FCA2DA3" w14:textId="77777777" w:rsidR="00492EB5" w:rsidRPr="00E24AB9" w:rsidRDefault="00492EB5" w:rsidP="00492EB5">
      <w:pPr>
        <w:jc w:val="both"/>
        <w:rPr>
          <w:rFonts w:ascii="Century Gothic" w:hAnsi="Century Gothic" w:cs="Arial"/>
          <w:color w:val="808080"/>
        </w:rPr>
      </w:pPr>
    </w:p>
    <w:p w14:paraId="7A45A4FF" w14:textId="77777777" w:rsidR="00492EB5" w:rsidRDefault="00492EB5" w:rsidP="00A95ADF">
      <w:pPr>
        <w:numPr>
          <w:ilvl w:val="0"/>
          <w:numId w:val="28"/>
        </w:numPr>
        <w:spacing w:after="0" w:line="240" w:lineRule="auto"/>
        <w:jc w:val="both"/>
        <w:rPr>
          <w:rFonts w:ascii="Century Gothic" w:hAnsi="Century Gothic" w:cs="Arial"/>
          <w:color w:val="808080"/>
        </w:rPr>
      </w:pPr>
      <w:r w:rsidRPr="00E24AB9">
        <w:rPr>
          <w:rFonts w:ascii="Century Gothic" w:hAnsi="Century Gothic" w:cs="Arial"/>
          <w:color w:val="808080"/>
        </w:rPr>
        <w:t>Los trabajadores no podrán ingresar al centro de trabajo pasados los treinta minutos posteriores a la hora de entrada establecida sino hasta que presente por escrito la autorización  avalada por su superior inmediato ante la Coordinación de Recursos Humanos con la justificación razonable que demuestre la demora.</w:t>
      </w:r>
    </w:p>
    <w:p w14:paraId="5CD7C239" w14:textId="77777777" w:rsidR="00492EB5" w:rsidRPr="00E24AB9" w:rsidRDefault="00492EB5" w:rsidP="00492EB5">
      <w:pPr>
        <w:jc w:val="both"/>
        <w:rPr>
          <w:rFonts w:ascii="Century Gothic" w:hAnsi="Century Gothic" w:cs="Arial"/>
          <w:color w:val="808080"/>
        </w:rPr>
      </w:pPr>
    </w:p>
    <w:p w14:paraId="5C42DAA6" w14:textId="77777777" w:rsidR="00492EB5" w:rsidRDefault="00492EB5" w:rsidP="00A95ADF">
      <w:pPr>
        <w:numPr>
          <w:ilvl w:val="0"/>
          <w:numId w:val="28"/>
        </w:numPr>
        <w:spacing w:after="0" w:line="240" w:lineRule="auto"/>
        <w:jc w:val="both"/>
        <w:rPr>
          <w:rFonts w:ascii="Century Gothic" w:hAnsi="Century Gothic" w:cs="Arial"/>
          <w:color w:val="808080"/>
        </w:rPr>
      </w:pPr>
      <w:r w:rsidRPr="00E24AB9">
        <w:rPr>
          <w:rFonts w:ascii="Century Gothic" w:hAnsi="Century Gothic" w:cs="Arial"/>
          <w:color w:val="808080"/>
        </w:rPr>
        <w:t>Para los casos en que el trabajador tenga necesidad de salir del centro de trabajo dentro del horario establecido deberán contar con pase de salida u oficio de comisión firmado por su superior jerárquico y entregarlo a la Coordinación de Recursos Humanos y/o registrar la justificación en el sistema de la Red COFOCE. En caso contrario contará con un plazo de 36 horas posteriores al evento para solventar su ausencia, de lo contrario se aplicará el descuento correspondiente.</w:t>
      </w:r>
    </w:p>
    <w:p w14:paraId="04C9227C" w14:textId="26BE72CD" w:rsidR="00492EB5" w:rsidRPr="00E24AB9" w:rsidRDefault="00492EB5" w:rsidP="00492EB5">
      <w:pPr>
        <w:jc w:val="both"/>
        <w:rPr>
          <w:rFonts w:ascii="Century Gothic" w:hAnsi="Century Gothic" w:cs="Arial"/>
          <w:color w:val="808080"/>
        </w:rPr>
      </w:pPr>
    </w:p>
    <w:p w14:paraId="333CA9CB" w14:textId="77777777" w:rsidR="00492EB5" w:rsidRDefault="00492EB5" w:rsidP="00492EB5">
      <w:pPr>
        <w:pStyle w:val="Prrafodelista"/>
        <w:autoSpaceDE w:val="0"/>
        <w:autoSpaceDN w:val="0"/>
        <w:adjustRightInd w:val="0"/>
        <w:ind w:left="0"/>
        <w:jc w:val="both"/>
        <w:rPr>
          <w:rFonts w:ascii="Century Gothic" w:hAnsi="Century Gothic" w:cs="Arial"/>
          <w:b/>
        </w:rPr>
      </w:pPr>
      <w:r>
        <w:rPr>
          <w:rFonts w:ascii="Century Gothic" w:hAnsi="Century Gothic" w:cs="Arial"/>
          <w:b/>
        </w:rPr>
        <w:t>Apartado 2.</w:t>
      </w:r>
    </w:p>
    <w:p w14:paraId="394A93CF"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 xml:space="preserve">Licencias, permisos y días de descanso </w:t>
      </w:r>
    </w:p>
    <w:p w14:paraId="31B17BE3" w14:textId="77777777" w:rsidR="00492EB5" w:rsidRPr="006E193D" w:rsidRDefault="00492EB5" w:rsidP="00492EB5">
      <w:pPr>
        <w:jc w:val="both"/>
        <w:rPr>
          <w:rFonts w:ascii="Century Gothic" w:hAnsi="Century Gothic" w:cs="Arial"/>
          <w:b/>
          <w:i/>
        </w:rPr>
      </w:pPr>
      <w:r w:rsidRPr="006E193D">
        <w:rPr>
          <w:rFonts w:ascii="Century Gothic" w:hAnsi="Century Gothic" w:cs="Arial"/>
          <w:b/>
          <w:i/>
        </w:rPr>
        <w:t xml:space="preserve">LICENCIA DE TRES DÍAS CON GOCE DE SUELDO </w:t>
      </w:r>
    </w:p>
    <w:p w14:paraId="00EA82F8" w14:textId="77777777" w:rsidR="00492EB5" w:rsidRPr="00E24AB9" w:rsidRDefault="00492EB5" w:rsidP="00A95ADF">
      <w:pPr>
        <w:numPr>
          <w:ilvl w:val="0"/>
          <w:numId w:val="30"/>
        </w:numPr>
        <w:spacing w:after="0" w:line="240" w:lineRule="auto"/>
        <w:jc w:val="both"/>
        <w:rPr>
          <w:rFonts w:ascii="Century Gothic" w:hAnsi="Century Gothic" w:cs="Arial"/>
          <w:color w:val="808080"/>
        </w:rPr>
      </w:pPr>
      <w:r w:rsidRPr="00E24AB9">
        <w:rPr>
          <w:rFonts w:ascii="Century Gothic" w:hAnsi="Century Gothic" w:cs="Arial"/>
          <w:color w:val="808080"/>
        </w:rPr>
        <w:t>Por  nacimiento de un hijo.</w:t>
      </w:r>
    </w:p>
    <w:p w14:paraId="3FAF0CDB" w14:textId="77777777" w:rsidR="00492EB5" w:rsidRPr="00E24AB9" w:rsidRDefault="00492EB5" w:rsidP="00A95ADF">
      <w:pPr>
        <w:numPr>
          <w:ilvl w:val="0"/>
          <w:numId w:val="30"/>
        </w:numPr>
        <w:spacing w:after="0" w:line="240" w:lineRule="auto"/>
        <w:jc w:val="both"/>
        <w:rPr>
          <w:rFonts w:ascii="Century Gothic" w:hAnsi="Century Gothic" w:cs="Arial"/>
          <w:color w:val="808080"/>
        </w:rPr>
      </w:pPr>
      <w:r w:rsidRPr="00E24AB9">
        <w:rPr>
          <w:rFonts w:ascii="Century Gothic" w:hAnsi="Century Gothic" w:cs="Arial"/>
          <w:color w:val="808080"/>
        </w:rPr>
        <w:t>Por adopción de un hijo recién nacido.</w:t>
      </w:r>
    </w:p>
    <w:p w14:paraId="398D0035" w14:textId="77777777" w:rsidR="00492EB5" w:rsidRPr="00E24AB9" w:rsidRDefault="00492EB5" w:rsidP="00A95ADF">
      <w:pPr>
        <w:numPr>
          <w:ilvl w:val="0"/>
          <w:numId w:val="30"/>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Por enfermedad  o accidente que ponga en grave peligro la vida de sus menores hijos o de su cónyuge o esposa.</w:t>
      </w:r>
    </w:p>
    <w:p w14:paraId="714DBD9A" w14:textId="77777777" w:rsidR="00492EB5" w:rsidRPr="00E24AB9" w:rsidRDefault="00492EB5" w:rsidP="00492EB5">
      <w:pPr>
        <w:jc w:val="both"/>
        <w:rPr>
          <w:rFonts w:ascii="Century Gothic" w:hAnsi="Century Gothic" w:cs="Arial"/>
          <w:color w:val="808080"/>
        </w:rPr>
      </w:pPr>
    </w:p>
    <w:p w14:paraId="4E6FC0AB" w14:textId="77777777" w:rsidR="00492EB5" w:rsidRPr="00E24AB9" w:rsidRDefault="00492EB5" w:rsidP="00492EB5">
      <w:pPr>
        <w:jc w:val="both"/>
        <w:rPr>
          <w:rFonts w:ascii="Century Gothic" w:hAnsi="Century Gothic" w:cs="Arial"/>
          <w:color w:val="808080"/>
        </w:rPr>
      </w:pPr>
      <w:r w:rsidRPr="00E24AB9">
        <w:rPr>
          <w:rFonts w:ascii="Century Gothic" w:hAnsi="Century Gothic" w:cs="Arial"/>
          <w:color w:val="808080"/>
        </w:rPr>
        <w:t xml:space="preserve">En los casos señalados, el derechohabiente deberá entregar la documental que acredite el motivo de la licencia. </w:t>
      </w:r>
    </w:p>
    <w:p w14:paraId="303F468D" w14:textId="77777777" w:rsidR="00492EB5" w:rsidRPr="00E24AB9" w:rsidRDefault="00492EB5" w:rsidP="00492EB5">
      <w:pPr>
        <w:jc w:val="both"/>
        <w:rPr>
          <w:rFonts w:ascii="Century Gothic" w:hAnsi="Century Gothic" w:cs="Arial"/>
          <w:color w:val="808080"/>
        </w:rPr>
      </w:pPr>
    </w:p>
    <w:p w14:paraId="06824E51" w14:textId="77777777" w:rsidR="00492EB5" w:rsidRPr="006E193D" w:rsidRDefault="00492EB5" w:rsidP="00492EB5">
      <w:pPr>
        <w:jc w:val="both"/>
        <w:rPr>
          <w:rFonts w:ascii="Century Gothic" w:hAnsi="Century Gothic" w:cs="Arial"/>
          <w:b/>
          <w:i/>
        </w:rPr>
      </w:pPr>
      <w:r w:rsidRPr="006E193D">
        <w:rPr>
          <w:rFonts w:ascii="Century Gothic" w:hAnsi="Century Gothic" w:cs="Arial"/>
          <w:b/>
          <w:i/>
        </w:rPr>
        <w:t>PERMISOS ECONÓMICOS</w:t>
      </w:r>
    </w:p>
    <w:p w14:paraId="50032AA7" w14:textId="77777777" w:rsidR="00492EB5" w:rsidRPr="00E24AB9" w:rsidRDefault="00492EB5" w:rsidP="00492EB5">
      <w:pPr>
        <w:jc w:val="both"/>
        <w:rPr>
          <w:rFonts w:ascii="Century Gothic" w:hAnsi="Century Gothic" w:cs="Arial"/>
          <w:color w:val="808080"/>
        </w:rPr>
      </w:pPr>
    </w:p>
    <w:p w14:paraId="24882F79" w14:textId="77777777" w:rsidR="00492EB5" w:rsidRDefault="00492EB5" w:rsidP="00A95ADF">
      <w:pPr>
        <w:numPr>
          <w:ilvl w:val="0"/>
          <w:numId w:val="29"/>
        </w:numPr>
        <w:spacing w:after="0" w:line="240" w:lineRule="auto"/>
        <w:jc w:val="both"/>
        <w:rPr>
          <w:rFonts w:ascii="Century Gothic" w:hAnsi="Century Gothic" w:cs="Arial"/>
          <w:color w:val="808080"/>
        </w:rPr>
      </w:pPr>
      <w:r w:rsidRPr="00E24AB9">
        <w:rPr>
          <w:rFonts w:ascii="Century Gothic" w:hAnsi="Century Gothic" w:cs="Arial"/>
          <w:color w:val="808080"/>
        </w:rPr>
        <w:t>Hasta por tres días en un mes calendario con goce de sueldo, para atender asuntos particulares que así lo requieran, previa justificación ante la Dirección General y con autorización de ésta, lo cual deberá ser notificado a la Coordinación de Recursos Humanos. El máximo de estos permisos será de tres en un año también calendario y una vez cumplido el primer año de servicios.</w:t>
      </w:r>
    </w:p>
    <w:p w14:paraId="1791F087" w14:textId="77777777" w:rsidR="00492EB5" w:rsidRPr="00E24AB9" w:rsidRDefault="00492EB5" w:rsidP="00492EB5">
      <w:pPr>
        <w:ind w:left="825"/>
        <w:jc w:val="both"/>
        <w:rPr>
          <w:rFonts w:ascii="Century Gothic" w:hAnsi="Century Gothic" w:cs="Arial"/>
          <w:color w:val="808080"/>
        </w:rPr>
      </w:pPr>
    </w:p>
    <w:p w14:paraId="54C52E07" w14:textId="77777777" w:rsidR="00492EB5" w:rsidRDefault="00492EB5" w:rsidP="00A95ADF">
      <w:pPr>
        <w:numPr>
          <w:ilvl w:val="0"/>
          <w:numId w:val="29"/>
        </w:numPr>
        <w:spacing w:after="0" w:line="240" w:lineRule="auto"/>
        <w:jc w:val="both"/>
        <w:rPr>
          <w:rFonts w:ascii="Century Gothic" w:hAnsi="Century Gothic" w:cs="Arial"/>
          <w:color w:val="808080"/>
        </w:rPr>
      </w:pPr>
      <w:r w:rsidRPr="00E24AB9">
        <w:rPr>
          <w:rFonts w:ascii="Century Gothic" w:hAnsi="Century Gothic" w:cs="Arial"/>
          <w:color w:val="808080"/>
        </w:rPr>
        <w:t>Cuando la trabajadora o el trabajador contraiga nupcias, y tenga como mínimo un año de prestar su servicios, por un periodo de hasta cinco días hábiles.</w:t>
      </w:r>
    </w:p>
    <w:p w14:paraId="2B83AB38" w14:textId="77777777" w:rsidR="00492EB5" w:rsidRPr="00E24AB9" w:rsidRDefault="00492EB5" w:rsidP="00492EB5">
      <w:pPr>
        <w:jc w:val="both"/>
        <w:rPr>
          <w:rFonts w:ascii="Century Gothic" w:hAnsi="Century Gothic" w:cs="Arial"/>
          <w:color w:val="808080"/>
        </w:rPr>
      </w:pPr>
    </w:p>
    <w:p w14:paraId="754C53AA" w14:textId="77777777" w:rsidR="00492EB5" w:rsidRDefault="00492EB5" w:rsidP="00492EB5">
      <w:pPr>
        <w:ind w:left="706"/>
        <w:jc w:val="both"/>
        <w:rPr>
          <w:rFonts w:ascii="Century Gothic" w:hAnsi="Century Gothic" w:cs="Arial"/>
          <w:color w:val="808080"/>
        </w:rPr>
      </w:pPr>
      <w:r w:rsidRPr="00E24AB9">
        <w:rPr>
          <w:rFonts w:ascii="Century Gothic" w:hAnsi="Century Gothic" w:cs="Arial"/>
          <w:color w:val="808080"/>
        </w:rPr>
        <w:t>Estos dos tipos de licencias deberán ser presentadas por escrito ante el jefe inmediato de la trabajadora o del trabajador para ser presentada ante el Titular de COFOCE, quien es el funcionario facultado para autorizarla o negarla, además de notificar a la Coordinación de Recursos Humanos con una copia de la autorización para la justificación de la ausencia.</w:t>
      </w:r>
    </w:p>
    <w:p w14:paraId="0C32962D" w14:textId="77777777" w:rsidR="00492EB5" w:rsidRPr="00E24AB9" w:rsidRDefault="00492EB5" w:rsidP="00492EB5">
      <w:pPr>
        <w:ind w:left="706"/>
        <w:jc w:val="both"/>
        <w:rPr>
          <w:rFonts w:ascii="Century Gothic" w:hAnsi="Century Gothic" w:cs="Arial"/>
          <w:color w:val="808080"/>
        </w:rPr>
      </w:pPr>
    </w:p>
    <w:p w14:paraId="0BB7E1BE" w14:textId="77777777" w:rsidR="00492EB5" w:rsidRPr="00E24AB9" w:rsidRDefault="00492EB5" w:rsidP="00A95ADF">
      <w:pPr>
        <w:numPr>
          <w:ilvl w:val="0"/>
          <w:numId w:val="29"/>
        </w:numPr>
        <w:spacing w:after="0" w:line="240" w:lineRule="auto"/>
        <w:jc w:val="both"/>
        <w:rPr>
          <w:rFonts w:ascii="Century Gothic" w:hAnsi="Century Gothic" w:cs="Arial"/>
          <w:color w:val="808080"/>
        </w:rPr>
      </w:pPr>
      <w:r w:rsidRPr="00E24AB9">
        <w:rPr>
          <w:rFonts w:ascii="Century Gothic" w:hAnsi="Century Gothic" w:cs="Arial"/>
          <w:color w:val="808080"/>
        </w:rPr>
        <w:t>Cuando falleciere la o el cónyuge, o la persona con la que la trabajadora o el trabajador haya hecho vida conyugal, o bien, alguno de sus padres, hermanos o hijos, se le concederá un plazo de hasta cinco días hábiles. Al término de la licencia se deberá entregar copia simple del acta de defunción correspondiente a la Coordinación de Recursos Humanos.</w:t>
      </w:r>
    </w:p>
    <w:p w14:paraId="285BDBA4" w14:textId="77777777" w:rsidR="00492EB5" w:rsidRDefault="00492EB5" w:rsidP="00492EB5">
      <w:pPr>
        <w:jc w:val="both"/>
        <w:rPr>
          <w:rFonts w:ascii="Century Gothic" w:hAnsi="Century Gothic" w:cs="Arial"/>
          <w:color w:val="808080"/>
        </w:rPr>
      </w:pPr>
    </w:p>
    <w:p w14:paraId="6705DD18" w14:textId="77777777" w:rsidR="00492EB5" w:rsidRPr="006E193D" w:rsidRDefault="00492EB5" w:rsidP="00492EB5">
      <w:pPr>
        <w:jc w:val="both"/>
        <w:rPr>
          <w:rFonts w:ascii="Century Gothic" w:hAnsi="Century Gothic" w:cs="Arial"/>
          <w:b/>
          <w:i/>
        </w:rPr>
      </w:pPr>
      <w:r w:rsidRPr="006E193D">
        <w:rPr>
          <w:rFonts w:ascii="Century Gothic" w:hAnsi="Century Gothic" w:cs="Arial"/>
          <w:b/>
          <w:i/>
        </w:rPr>
        <w:lastRenderedPageBreak/>
        <w:t xml:space="preserve">PERMISOS PARA MADRES TRABAJADORAS   </w:t>
      </w:r>
    </w:p>
    <w:p w14:paraId="66FFDC99" w14:textId="77777777" w:rsidR="00492EB5" w:rsidRPr="00E24AB9" w:rsidRDefault="00492EB5" w:rsidP="00492EB5">
      <w:pPr>
        <w:jc w:val="both"/>
        <w:rPr>
          <w:rFonts w:ascii="Century Gothic" w:hAnsi="Century Gothic" w:cs="Arial"/>
          <w:color w:val="808080"/>
        </w:rPr>
      </w:pPr>
    </w:p>
    <w:p w14:paraId="00BED598" w14:textId="77777777" w:rsidR="00492EB5" w:rsidRDefault="00492EB5" w:rsidP="00A95ADF">
      <w:pPr>
        <w:numPr>
          <w:ilvl w:val="0"/>
          <w:numId w:val="31"/>
        </w:numPr>
        <w:spacing w:after="0" w:line="240" w:lineRule="auto"/>
        <w:jc w:val="both"/>
        <w:rPr>
          <w:rFonts w:ascii="Century Gothic" w:hAnsi="Century Gothic" w:cs="Arial"/>
          <w:color w:val="808080"/>
        </w:rPr>
      </w:pPr>
      <w:r w:rsidRPr="00E24AB9">
        <w:rPr>
          <w:rFonts w:ascii="Century Gothic" w:hAnsi="Century Gothic" w:cs="Arial"/>
          <w:color w:val="808080"/>
        </w:rPr>
        <w:t xml:space="preserve">  Para las derechohabientes del ISSSTE: disfrutarán de un descanso de cuarenta y dos días anteriores a la fecha aproximada que se fije para el parto y cuarenta y dos días posteriores al parto. </w:t>
      </w:r>
    </w:p>
    <w:p w14:paraId="3414CCEF" w14:textId="77777777" w:rsidR="00492EB5" w:rsidRPr="00E24AB9" w:rsidRDefault="00492EB5" w:rsidP="00492EB5">
      <w:pPr>
        <w:ind w:left="825"/>
        <w:jc w:val="both"/>
        <w:rPr>
          <w:rFonts w:ascii="Century Gothic" w:hAnsi="Century Gothic" w:cs="Arial"/>
          <w:color w:val="808080"/>
        </w:rPr>
      </w:pPr>
    </w:p>
    <w:p w14:paraId="1D06C6D1" w14:textId="77777777" w:rsidR="00492EB5" w:rsidRDefault="00492EB5" w:rsidP="00A95ADF">
      <w:pPr>
        <w:numPr>
          <w:ilvl w:val="0"/>
          <w:numId w:val="31"/>
        </w:numPr>
        <w:spacing w:after="0" w:line="240" w:lineRule="auto"/>
        <w:jc w:val="both"/>
        <w:rPr>
          <w:rFonts w:ascii="Century Gothic" w:hAnsi="Century Gothic" w:cs="Arial"/>
          <w:color w:val="808080"/>
        </w:rPr>
      </w:pPr>
      <w:r w:rsidRPr="00E24AB9">
        <w:rPr>
          <w:rFonts w:ascii="Century Gothic" w:hAnsi="Century Gothic" w:cs="Arial"/>
          <w:color w:val="808080"/>
        </w:rPr>
        <w:t xml:space="preserve">  Para las derechohabientes de Red médica: disfrutarán de un descanso de cuarenta y cinco días anteriores a la fecha aproximada que se fije para el parto y cuarenta y cinco días posteriores al parto. </w:t>
      </w:r>
    </w:p>
    <w:p w14:paraId="280604AD" w14:textId="77777777" w:rsidR="00492EB5" w:rsidRPr="00E24AB9" w:rsidRDefault="00492EB5" w:rsidP="00492EB5">
      <w:pPr>
        <w:jc w:val="both"/>
        <w:rPr>
          <w:rFonts w:ascii="Century Gothic" w:hAnsi="Century Gothic" w:cs="Arial"/>
          <w:color w:val="808080"/>
        </w:rPr>
      </w:pPr>
    </w:p>
    <w:p w14:paraId="09EE1A49" w14:textId="77777777" w:rsidR="00492EB5" w:rsidRDefault="00492EB5" w:rsidP="00492EB5">
      <w:pPr>
        <w:ind w:left="706"/>
        <w:jc w:val="both"/>
        <w:rPr>
          <w:rFonts w:ascii="Century Gothic" w:hAnsi="Century Gothic" w:cs="Arial"/>
          <w:color w:val="808080"/>
        </w:rPr>
      </w:pPr>
      <w:r w:rsidRPr="00E24AB9">
        <w:rPr>
          <w:rFonts w:ascii="Century Gothic" w:hAnsi="Century Gothic" w:cs="Arial"/>
          <w:color w:val="808080"/>
        </w:rPr>
        <w:t>En ambos casos se deberá entregar la documental expedida por el médico tratante a la Coordinación de Recursos Humanos.</w:t>
      </w:r>
    </w:p>
    <w:p w14:paraId="0E730B8C" w14:textId="77777777" w:rsidR="00492EB5" w:rsidRPr="00E24AB9" w:rsidRDefault="00492EB5" w:rsidP="00492EB5">
      <w:pPr>
        <w:jc w:val="both"/>
        <w:rPr>
          <w:rFonts w:ascii="Century Gothic" w:hAnsi="Century Gothic" w:cs="Arial"/>
          <w:color w:val="808080"/>
        </w:rPr>
      </w:pPr>
    </w:p>
    <w:p w14:paraId="6E8EAB59" w14:textId="77777777" w:rsidR="00492EB5" w:rsidRDefault="00492EB5" w:rsidP="005545FE">
      <w:pPr>
        <w:numPr>
          <w:ilvl w:val="0"/>
          <w:numId w:val="31"/>
        </w:numPr>
        <w:spacing w:after="0" w:line="240" w:lineRule="auto"/>
        <w:jc w:val="both"/>
        <w:rPr>
          <w:rFonts w:ascii="Century Gothic" w:hAnsi="Century Gothic" w:cs="Arial"/>
          <w:color w:val="808080"/>
        </w:rPr>
      </w:pPr>
      <w:r w:rsidRPr="006A436A">
        <w:rPr>
          <w:rFonts w:ascii="Century Gothic" w:hAnsi="Century Gothic" w:cs="Arial"/>
          <w:color w:val="808080"/>
        </w:rPr>
        <w:t xml:space="preserve">Las madres trabajadores tendrán derecho a disfrutar de un periodo de lactancia de hasta ciento ochenta días naturales contados a partir de la fecha del nacimiento. Durante el periodo de lactancia tendrán dos descansos extraordinarios por día de media hora cada uno. Para tal efecto la madre trabajadora deberá entregar copia del acta de nacimiento certificada por el oficial del registro civil a la Coordinación de Recursos Humanos. La madre trabajadora podrá acumular ambos descansos para disfrutarlos modificando la hora de ingreso o salida establecida. </w:t>
      </w:r>
    </w:p>
    <w:p w14:paraId="72506157" w14:textId="77777777" w:rsidR="006A436A" w:rsidRPr="006A436A" w:rsidRDefault="006A436A" w:rsidP="006A436A">
      <w:pPr>
        <w:spacing w:after="0" w:line="240" w:lineRule="auto"/>
        <w:ind w:left="360"/>
        <w:jc w:val="both"/>
        <w:rPr>
          <w:rFonts w:ascii="Century Gothic" w:hAnsi="Century Gothic" w:cs="Arial"/>
          <w:color w:val="808080"/>
        </w:rPr>
      </w:pPr>
    </w:p>
    <w:p w14:paraId="10B32D56" w14:textId="77777777" w:rsidR="00492EB5" w:rsidRDefault="00492EB5" w:rsidP="00492EB5">
      <w:pPr>
        <w:pStyle w:val="Prrafodelista"/>
        <w:autoSpaceDE w:val="0"/>
        <w:autoSpaceDN w:val="0"/>
        <w:adjustRightInd w:val="0"/>
        <w:ind w:left="0"/>
        <w:jc w:val="both"/>
        <w:rPr>
          <w:rFonts w:ascii="Century Gothic" w:hAnsi="Century Gothic" w:cs="Arial"/>
          <w:b/>
        </w:rPr>
      </w:pPr>
      <w:r>
        <w:rPr>
          <w:rFonts w:ascii="Century Gothic" w:hAnsi="Century Gothic" w:cs="Arial"/>
          <w:b/>
        </w:rPr>
        <w:t>Apartado 3.</w:t>
      </w:r>
    </w:p>
    <w:p w14:paraId="44DEF0EB"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Servicio de Red Médica.</w:t>
      </w:r>
    </w:p>
    <w:p w14:paraId="56883A98"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t xml:space="preserve">El trabajador o trabajadora que opte por este </w:t>
      </w:r>
      <w:r w:rsidR="00AC16F9" w:rsidRPr="00E24AB9">
        <w:rPr>
          <w:rFonts w:ascii="Century Gothic" w:hAnsi="Century Gothic" w:cs="Arial"/>
          <w:color w:val="808080"/>
        </w:rPr>
        <w:t>servicio</w:t>
      </w:r>
      <w:r w:rsidRPr="00E24AB9">
        <w:rPr>
          <w:rFonts w:ascii="Century Gothic" w:hAnsi="Century Gothic" w:cs="Arial"/>
          <w:color w:val="808080"/>
        </w:rPr>
        <w:t xml:space="preserve"> deberá contar con un Seguro de Gastos Médicos Mayores. (P.R.M. 5.9)</w:t>
      </w:r>
    </w:p>
    <w:p w14:paraId="433CAD70" w14:textId="77777777" w:rsidR="00492EB5" w:rsidRPr="00E24AB9" w:rsidRDefault="00492EB5" w:rsidP="00492EB5">
      <w:pPr>
        <w:ind w:left="825"/>
        <w:jc w:val="both"/>
        <w:rPr>
          <w:rFonts w:ascii="Century Gothic" w:hAnsi="Century Gothic" w:cs="Arial"/>
          <w:color w:val="808080"/>
        </w:rPr>
      </w:pPr>
    </w:p>
    <w:p w14:paraId="09D681D3"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t>El trabajador o trabajadora deberá solicitarlo por escrito en el formato denominado cédula de afiliación.</w:t>
      </w:r>
    </w:p>
    <w:p w14:paraId="053F30DB" w14:textId="77777777" w:rsidR="00492EB5" w:rsidRPr="00E24AB9" w:rsidRDefault="00492EB5" w:rsidP="00492EB5">
      <w:pPr>
        <w:jc w:val="both"/>
        <w:rPr>
          <w:rFonts w:ascii="Century Gothic" w:hAnsi="Century Gothic" w:cs="Arial"/>
          <w:color w:val="808080"/>
        </w:rPr>
      </w:pPr>
    </w:p>
    <w:p w14:paraId="6441F3AF"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Presentar Acta de Matrimonio en el caso de que él o la cónyuge sea beneficiaria o beneficiario.</w:t>
      </w:r>
    </w:p>
    <w:p w14:paraId="512E6E45" w14:textId="77777777" w:rsidR="00492EB5" w:rsidRPr="00E24AB9" w:rsidRDefault="00492EB5" w:rsidP="00492EB5">
      <w:pPr>
        <w:jc w:val="both"/>
        <w:rPr>
          <w:rFonts w:ascii="Century Gothic" w:hAnsi="Century Gothic" w:cs="Arial"/>
          <w:color w:val="808080"/>
        </w:rPr>
      </w:pPr>
    </w:p>
    <w:p w14:paraId="7D4923E8"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t xml:space="preserve">Presentar acta de nacimiento de los </w:t>
      </w:r>
      <w:r w:rsidR="00AC16F9" w:rsidRPr="00E24AB9">
        <w:rPr>
          <w:rFonts w:ascii="Century Gothic" w:hAnsi="Century Gothic" w:cs="Arial"/>
          <w:color w:val="808080"/>
        </w:rPr>
        <w:t>hijos beneficiarios</w:t>
      </w:r>
      <w:r w:rsidRPr="00E24AB9">
        <w:rPr>
          <w:rFonts w:ascii="Century Gothic" w:hAnsi="Century Gothic" w:cs="Arial"/>
          <w:color w:val="808080"/>
        </w:rPr>
        <w:t>.</w:t>
      </w:r>
    </w:p>
    <w:p w14:paraId="79F3691F" w14:textId="77777777" w:rsidR="00492EB5" w:rsidRPr="00E24AB9" w:rsidRDefault="00492EB5" w:rsidP="00492EB5">
      <w:pPr>
        <w:jc w:val="both"/>
        <w:rPr>
          <w:rFonts w:ascii="Century Gothic" w:hAnsi="Century Gothic" w:cs="Arial"/>
          <w:color w:val="808080"/>
        </w:rPr>
      </w:pPr>
    </w:p>
    <w:p w14:paraId="0A14D58F"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t>El apoyo para la adquisición de lentes se otorgará con base en lo establecido en las Políticas de Red Médica.</w:t>
      </w:r>
    </w:p>
    <w:p w14:paraId="5C5175D6" w14:textId="77777777" w:rsidR="00492EB5" w:rsidRPr="00E24AB9" w:rsidRDefault="00492EB5" w:rsidP="00492EB5">
      <w:pPr>
        <w:jc w:val="both"/>
        <w:rPr>
          <w:rFonts w:ascii="Century Gothic" w:hAnsi="Century Gothic" w:cs="Arial"/>
          <w:color w:val="808080"/>
        </w:rPr>
      </w:pPr>
    </w:p>
    <w:p w14:paraId="3C2276FF"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t xml:space="preserve">El beneficiario de la Red Médica contará con el apoyo para el periodo de </w:t>
      </w:r>
      <w:r w:rsidR="00AC16F9" w:rsidRPr="00E24AB9">
        <w:rPr>
          <w:rFonts w:ascii="Century Gothic" w:hAnsi="Century Gothic" w:cs="Arial"/>
          <w:color w:val="808080"/>
        </w:rPr>
        <w:t>Lactancia hasta</w:t>
      </w:r>
      <w:r w:rsidRPr="00E24AB9">
        <w:rPr>
          <w:rFonts w:ascii="Century Gothic" w:hAnsi="Century Gothic" w:cs="Arial"/>
          <w:color w:val="808080"/>
        </w:rPr>
        <w:t xml:space="preserve"> por 6 meses.</w:t>
      </w:r>
    </w:p>
    <w:p w14:paraId="113BEFD4" w14:textId="77777777" w:rsidR="00492EB5" w:rsidRPr="00E24AB9" w:rsidRDefault="00492EB5" w:rsidP="00492EB5">
      <w:pPr>
        <w:jc w:val="both"/>
        <w:rPr>
          <w:rFonts w:ascii="Century Gothic" w:hAnsi="Century Gothic" w:cs="Arial"/>
          <w:color w:val="808080"/>
        </w:rPr>
      </w:pPr>
    </w:p>
    <w:p w14:paraId="436C4DAA"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t>El apoyo será  hasta 5 latas de 400 gramos por mes o su equivalente (5.18 P.R.M).</w:t>
      </w:r>
    </w:p>
    <w:p w14:paraId="2CEC4EB2" w14:textId="77777777" w:rsidR="00492EB5" w:rsidRPr="00E24AB9" w:rsidRDefault="00492EB5" w:rsidP="00492EB5">
      <w:pPr>
        <w:jc w:val="both"/>
        <w:rPr>
          <w:rFonts w:ascii="Century Gothic" w:hAnsi="Century Gothic" w:cs="Arial"/>
          <w:color w:val="808080"/>
        </w:rPr>
      </w:pPr>
    </w:p>
    <w:p w14:paraId="0093D7A3"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t>Para darse de baja de la Red Médica, tendrá que ser por oficio  los días  3 y/o 18 de cada mes. (P.R.M 85.10).</w:t>
      </w:r>
    </w:p>
    <w:p w14:paraId="42C43AF1" w14:textId="77777777" w:rsidR="00492EB5" w:rsidRPr="00E24AB9" w:rsidRDefault="00492EB5" w:rsidP="00492EB5">
      <w:pPr>
        <w:jc w:val="both"/>
        <w:rPr>
          <w:rFonts w:ascii="Century Gothic" w:hAnsi="Century Gothic" w:cs="Arial"/>
          <w:color w:val="808080"/>
        </w:rPr>
      </w:pPr>
    </w:p>
    <w:p w14:paraId="7D160843"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t>Del reingreso a  la Red Médica  tendrá  que pasar 6 meses después de su baja  para efectos de trámites ante ISSSTE. (P.R.M. 5.11).</w:t>
      </w:r>
    </w:p>
    <w:p w14:paraId="51480067" w14:textId="77777777" w:rsidR="00492EB5" w:rsidRPr="00E24AB9" w:rsidRDefault="00492EB5" w:rsidP="00492EB5">
      <w:pPr>
        <w:jc w:val="both"/>
        <w:rPr>
          <w:rFonts w:ascii="Century Gothic" w:hAnsi="Century Gothic" w:cs="Arial"/>
          <w:color w:val="808080"/>
        </w:rPr>
      </w:pPr>
    </w:p>
    <w:p w14:paraId="5244583E"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t>Toda la documentación deberá ser entregada a la Coordinación de Recursos Humanos.</w:t>
      </w:r>
    </w:p>
    <w:p w14:paraId="22FA20C9" w14:textId="77777777" w:rsidR="00492EB5" w:rsidRPr="00E24AB9" w:rsidRDefault="00492EB5" w:rsidP="00492EB5">
      <w:pPr>
        <w:jc w:val="both"/>
        <w:rPr>
          <w:rFonts w:ascii="Century Gothic" w:hAnsi="Century Gothic" w:cs="Arial"/>
          <w:color w:val="808080"/>
        </w:rPr>
      </w:pPr>
    </w:p>
    <w:p w14:paraId="70C885D3" w14:textId="77777777" w:rsidR="00492EB5" w:rsidRDefault="00492EB5" w:rsidP="00A95ADF">
      <w:pPr>
        <w:numPr>
          <w:ilvl w:val="0"/>
          <w:numId w:val="32"/>
        </w:numPr>
        <w:spacing w:after="0" w:line="240" w:lineRule="auto"/>
        <w:jc w:val="both"/>
        <w:rPr>
          <w:rFonts w:ascii="Century Gothic" w:hAnsi="Century Gothic" w:cs="Arial"/>
          <w:color w:val="808080"/>
        </w:rPr>
      </w:pPr>
      <w:r w:rsidRPr="00E24AB9">
        <w:rPr>
          <w:rFonts w:ascii="Century Gothic" w:hAnsi="Century Gothic" w:cs="Arial"/>
          <w:color w:val="808080"/>
        </w:rPr>
        <w:t>Cualquier duda o aclaración en mérito de alguno de estos puntos, deberá resolverse con base en lo establecido en las políticas emitidas para el efecto en materia de Red Médica.</w:t>
      </w:r>
    </w:p>
    <w:p w14:paraId="57C2E271" w14:textId="77777777" w:rsidR="00492EB5" w:rsidRPr="00E24AB9" w:rsidRDefault="00492EB5" w:rsidP="00492EB5">
      <w:pPr>
        <w:jc w:val="both"/>
        <w:rPr>
          <w:rFonts w:ascii="Century Gothic" w:hAnsi="Century Gothic" w:cs="Arial"/>
          <w:color w:val="808080"/>
        </w:rPr>
      </w:pPr>
    </w:p>
    <w:p w14:paraId="6A75ED61" w14:textId="77777777" w:rsidR="00492EB5"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4.</w:t>
      </w:r>
    </w:p>
    <w:p w14:paraId="49208465"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Servicios de Apoyo por  Practicantes Universitarios.</w:t>
      </w:r>
    </w:p>
    <w:p w14:paraId="7F83EE94" w14:textId="77777777" w:rsidR="00492EB5" w:rsidRPr="00E24AB9" w:rsidRDefault="00492EB5" w:rsidP="00492EB5">
      <w:pPr>
        <w:jc w:val="both"/>
        <w:rPr>
          <w:rFonts w:ascii="Century Gothic" w:hAnsi="Century Gothic" w:cs="Arial"/>
          <w:color w:val="808080"/>
        </w:rPr>
      </w:pPr>
    </w:p>
    <w:p w14:paraId="0364A672" w14:textId="77777777" w:rsidR="00492EB5" w:rsidRPr="00E24AB9" w:rsidRDefault="00492EB5" w:rsidP="00492EB5">
      <w:pPr>
        <w:autoSpaceDE w:val="0"/>
        <w:autoSpaceDN w:val="0"/>
        <w:adjustRightInd w:val="0"/>
        <w:ind w:firstLine="1134"/>
        <w:jc w:val="both"/>
        <w:rPr>
          <w:rFonts w:ascii="Century Gothic" w:hAnsi="Century Gothic" w:cs="Arial"/>
          <w:color w:val="808080"/>
        </w:rPr>
      </w:pPr>
      <w:r w:rsidRPr="00E24AB9">
        <w:rPr>
          <w:rFonts w:ascii="Century Gothic" w:hAnsi="Century Gothic" w:cs="Arial"/>
          <w:color w:val="808080"/>
        </w:rPr>
        <w:lastRenderedPageBreak/>
        <w:t xml:space="preserve">A fin de contar con estos servicios, las áreas atenderán lo siguiente: </w:t>
      </w:r>
    </w:p>
    <w:p w14:paraId="47520E7F" w14:textId="77777777" w:rsidR="00492EB5" w:rsidRPr="00E24AB9" w:rsidRDefault="00492EB5" w:rsidP="00492EB5">
      <w:pPr>
        <w:jc w:val="both"/>
        <w:rPr>
          <w:rFonts w:ascii="Century Gothic" w:hAnsi="Century Gothic" w:cs="Arial"/>
          <w:color w:val="808080"/>
        </w:rPr>
      </w:pPr>
    </w:p>
    <w:p w14:paraId="320308FC" w14:textId="77777777" w:rsidR="00492EB5" w:rsidRDefault="00492EB5" w:rsidP="00A95ADF">
      <w:pPr>
        <w:numPr>
          <w:ilvl w:val="0"/>
          <w:numId w:val="33"/>
        </w:numPr>
        <w:spacing w:after="0" w:line="240" w:lineRule="auto"/>
        <w:jc w:val="both"/>
        <w:rPr>
          <w:rFonts w:ascii="Century Gothic" w:hAnsi="Century Gothic" w:cs="Arial"/>
          <w:color w:val="808080"/>
        </w:rPr>
      </w:pPr>
      <w:r w:rsidRPr="00E24AB9">
        <w:rPr>
          <w:rFonts w:ascii="Century Gothic" w:hAnsi="Century Gothic" w:cs="Arial"/>
          <w:color w:val="808080"/>
        </w:rPr>
        <w:t>Entrevista  realizada por Recursos Humanos y el área solicitante.</w:t>
      </w:r>
    </w:p>
    <w:p w14:paraId="397C8623" w14:textId="77777777" w:rsidR="00492EB5" w:rsidRPr="00E24AB9" w:rsidRDefault="00492EB5" w:rsidP="00492EB5">
      <w:pPr>
        <w:ind w:left="825"/>
        <w:jc w:val="both"/>
        <w:rPr>
          <w:rFonts w:ascii="Century Gothic" w:hAnsi="Century Gothic" w:cs="Arial"/>
          <w:color w:val="808080"/>
        </w:rPr>
      </w:pPr>
    </w:p>
    <w:p w14:paraId="7932B757" w14:textId="77777777" w:rsidR="00492EB5" w:rsidRDefault="00492EB5" w:rsidP="00A95ADF">
      <w:pPr>
        <w:numPr>
          <w:ilvl w:val="0"/>
          <w:numId w:val="33"/>
        </w:numPr>
        <w:spacing w:after="0" w:line="240" w:lineRule="auto"/>
        <w:jc w:val="both"/>
        <w:rPr>
          <w:rFonts w:ascii="Century Gothic" w:hAnsi="Century Gothic" w:cs="Arial"/>
          <w:color w:val="808080"/>
        </w:rPr>
      </w:pPr>
      <w:r w:rsidRPr="00E24AB9">
        <w:rPr>
          <w:rFonts w:ascii="Century Gothic" w:hAnsi="Century Gothic" w:cs="Arial"/>
          <w:color w:val="808080"/>
        </w:rPr>
        <w:t>Contar con un seguro escolar, IMSS, ISSSTE, Seguro Popular, o su equivalente.</w:t>
      </w:r>
    </w:p>
    <w:p w14:paraId="29B08183" w14:textId="77777777" w:rsidR="00492EB5" w:rsidRPr="00E24AB9" w:rsidRDefault="00492EB5" w:rsidP="00492EB5">
      <w:pPr>
        <w:jc w:val="both"/>
        <w:rPr>
          <w:rFonts w:ascii="Century Gothic" w:hAnsi="Century Gothic" w:cs="Arial"/>
          <w:color w:val="808080"/>
        </w:rPr>
      </w:pPr>
    </w:p>
    <w:p w14:paraId="736550A2" w14:textId="77777777" w:rsidR="00492EB5" w:rsidRDefault="00492EB5" w:rsidP="00A95ADF">
      <w:pPr>
        <w:numPr>
          <w:ilvl w:val="0"/>
          <w:numId w:val="33"/>
        </w:numPr>
        <w:spacing w:after="0" w:line="240" w:lineRule="auto"/>
        <w:jc w:val="both"/>
        <w:rPr>
          <w:rFonts w:ascii="Century Gothic" w:hAnsi="Century Gothic" w:cs="Arial"/>
          <w:color w:val="808080"/>
        </w:rPr>
      </w:pPr>
      <w:r w:rsidRPr="00E24AB9">
        <w:rPr>
          <w:rFonts w:ascii="Century Gothic" w:hAnsi="Century Gothic" w:cs="Arial"/>
          <w:color w:val="808080"/>
        </w:rPr>
        <w:t>Contar con Credencial de elector.</w:t>
      </w:r>
    </w:p>
    <w:p w14:paraId="10D35316" w14:textId="77777777" w:rsidR="00492EB5" w:rsidRPr="00E24AB9" w:rsidRDefault="00492EB5" w:rsidP="00492EB5">
      <w:pPr>
        <w:jc w:val="both"/>
        <w:rPr>
          <w:rFonts w:ascii="Century Gothic" w:hAnsi="Century Gothic" w:cs="Arial"/>
          <w:color w:val="808080"/>
        </w:rPr>
      </w:pPr>
    </w:p>
    <w:p w14:paraId="16272CC4" w14:textId="77777777" w:rsidR="00492EB5" w:rsidRDefault="00492EB5" w:rsidP="00A95ADF">
      <w:pPr>
        <w:numPr>
          <w:ilvl w:val="0"/>
          <w:numId w:val="33"/>
        </w:numPr>
        <w:spacing w:after="0" w:line="240" w:lineRule="auto"/>
        <w:jc w:val="both"/>
        <w:rPr>
          <w:rFonts w:ascii="Century Gothic" w:hAnsi="Century Gothic" w:cs="Arial"/>
          <w:color w:val="808080"/>
        </w:rPr>
      </w:pPr>
      <w:r w:rsidRPr="00E24AB9">
        <w:rPr>
          <w:rFonts w:ascii="Century Gothic" w:hAnsi="Century Gothic" w:cs="Arial"/>
          <w:color w:val="808080"/>
        </w:rPr>
        <w:t>Presentar constancia de estudios.</w:t>
      </w:r>
    </w:p>
    <w:p w14:paraId="77ED1066" w14:textId="77777777" w:rsidR="00492EB5" w:rsidRPr="00E24AB9" w:rsidRDefault="00492EB5" w:rsidP="00492EB5">
      <w:pPr>
        <w:jc w:val="both"/>
        <w:rPr>
          <w:rFonts w:ascii="Century Gothic" w:hAnsi="Century Gothic" w:cs="Arial"/>
          <w:color w:val="808080"/>
        </w:rPr>
      </w:pPr>
    </w:p>
    <w:p w14:paraId="5C9B17E8" w14:textId="77777777" w:rsidR="00492EB5" w:rsidRDefault="00492EB5" w:rsidP="00A95ADF">
      <w:pPr>
        <w:numPr>
          <w:ilvl w:val="0"/>
          <w:numId w:val="33"/>
        </w:numPr>
        <w:spacing w:after="0" w:line="240" w:lineRule="auto"/>
        <w:jc w:val="both"/>
        <w:rPr>
          <w:rFonts w:ascii="Century Gothic" w:hAnsi="Century Gothic" w:cs="Arial"/>
          <w:color w:val="808080"/>
        </w:rPr>
      </w:pPr>
      <w:r w:rsidRPr="00E24AB9">
        <w:rPr>
          <w:rFonts w:ascii="Century Gothic" w:hAnsi="Century Gothic" w:cs="Arial"/>
          <w:color w:val="808080"/>
        </w:rPr>
        <w:t>Celebrar convenio de colaboración Institución Educativa – COFOCE.</w:t>
      </w:r>
    </w:p>
    <w:p w14:paraId="44F10D0D" w14:textId="77777777" w:rsidR="00492EB5" w:rsidRPr="00E24AB9" w:rsidRDefault="00492EB5" w:rsidP="00492EB5">
      <w:pPr>
        <w:jc w:val="both"/>
        <w:rPr>
          <w:rFonts w:ascii="Century Gothic" w:hAnsi="Century Gothic" w:cs="Arial"/>
          <w:color w:val="808080"/>
        </w:rPr>
      </w:pPr>
    </w:p>
    <w:p w14:paraId="6E8E8988" w14:textId="77777777" w:rsidR="00492EB5" w:rsidRDefault="00492EB5" w:rsidP="00A95ADF">
      <w:pPr>
        <w:numPr>
          <w:ilvl w:val="0"/>
          <w:numId w:val="33"/>
        </w:numPr>
        <w:spacing w:after="0" w:line="240" w:lineRule="auto"/>
        <w:jc w:val="both"/>
        <w:rPr>
          <w:rFonts w:ascii="Century Gothic" w:hAnsi="Century Gothic" w:cs="Arial"/>
          <w:color w:val="808080"/>
        </w:rPr>
      </w:pPr>
      <w:r w:rsidRPr="00E24AB9">
        <w:rPr>
          <w:rFonts w:ascii="Century Gothic" w:hAnsi="Century Gothic" w:cs="Arial"/>
          <w:color w:val="808080"/>
        </w:rPr>
        <w:t>Presentar carta intención donde el estudiante manifieste su interés por prestar sus servicios en COFOCE.</w:t>
      </w:r>
    </w:p>
    <w:p w14:paraId="6D3F1021" w14:textId="77777777" w:rsidR="00492EB5" w:rsidRPr="00E24AB9" w:rsidRDefault="00492EB5" w:rsidP="00492EB5">
      <w:pPr>
        <w:ind w:left="825"/>
        <w:jc w:val="both"/>
        <w:rPr>
          <w:rFonts w:ascii="Century Gothic" w:hAnsi="Century Gothic" w:cs="Arial"/>
          <w:color w:val="808080"/>
        </w:rPr>
      </w:pPr>
    </w:p>
    <w:p w14:paraId="275AA738" w14:textId="77777777" w:rsidR="00492EB5" w:rsidRPr="00E24AB9" w:rsidRDefault="00492EB5" w:rsidP="00A95ADF">
      <w:pPr>
        <w:numPr>
          <w:ilvl w:val="0"/>
          <w:numId w:val="33"/>
        </w:numPr>
        <w:spacing w:after="0" w:line="240" w:lineRule="auto"/>
        <w:jc w:val="both"/>
        <w:rPr>
          <w:rFonts w:ascii="Century Gothic" w:hAnsi="Century Gothic" w:cs="Arial"/>
          <w:color w:val="808080"/>
        </w:rPr>
      </w:pPr>
      <w:r w:rsidRPr="00E24AB9">
        <w:rPr>
          <w:rFonts w:ascii="Century Gothic" w:hAnsi="Century Gothic" w:cs="Arial"/>
          <w:color w:val="808080"/>
        </w:rPr>
        <w:t>Toda documentación deberá ser entregada en original y copia a la Coordinación de Recursos Humanos antes del ingreso.</w:t>
      </w:r>
    </w:p>
    <w:p w14:paraId="5BCDD21A" w14:textId="77777777" w:rsidR="00492EB5" w:rsidRPr="00E24AB9" w:rsidRDefault="00492EB5" w:rsidP="00492EB5">
      <w:pPr>
        <w:jc w:val="both"/>
        <w:rPr>
          <w:rFonts w:ascii="Century Gothic" w:hAnsi="Century Gothic" w:cs="Arial"/>
          <w:color w:val="808080"/>
        </w:rPr>
      </w:pPr>
    </w:p>
    <w:p w14:paraId="02022995"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Apartado 5.- Capacitación y desarrollo profesional.</w:t>
      </w:r>
    </w:p>
    <w:p w14:paraId="2801EF74" w14:textId="77777777" w:rsidR="00492EB5" w:rsidRPr="00E24AB9" w:rsidRDefault="00492EB5" w:rsidP="00492EB5">
      <w:pPr>
        <w:jc w:val="both"/>
        <w:rPr>
          <w:rFonts w:ascii="Century Gothic" w:hAnsi="Century Gothic" w:cs="Arial"/>
          <w:color w:val="808080"/>
        </w:rPr>
      </w:pPr>
    </w:p>
    <w:p w14:paraId="6D4C0311" w14:textId="77777777" w:rsidR="00492EB5" w:rsidRDefault="00492EB5" w:rsidP="00A95ADF">
      <w:pPr>
        <w:numPr>
          <w:ilvl w:val="0"/>
          <w:numId w:val="34"/>
        </w:numPr>
        <w:spacing w:after="0" w:line="240" w:lineRule="auto"/>
        <w:jc w:val="both"/>
        <w:rPr>
          <w:rFonts w:ascii="Century Gothic" w:hAnsi="Century Gothic" w:cs="Arial"/>
          <w:color w:val="808080"/>
        </w:rPr>
      </w:pPr>
      <w:r w:rsidRPr="00E24AB9">
        <w:rPr>
          <w:rFonts w:ascii="Century Gothic" w:hAnsi="Century Gothic" w:cs="Arial"/>
          <w:color w:val="808080"/>
        </w:rPr>
        <w:t xml:space="preserve">Todo evento de capacitación se deberá solicitar mediante el formato denominado “Requerimientos para validación de eventos de capacitación técnica” ante la Coordinación de Recursos </w:t>
      </w:r>
      <w:r w:rsidR="00AC16F9" w:rsidRPr="00E24AB9">
        <w:rPr>
          <w:rFonts w:ascii="Century Gothic" w:hAnsi="Century Gothic" w:cs="Arial"/>
          <w:color w:val="808080"/>
        </w:rPr>
        <w:t>Humanos en</w:t>
      </w:r>
      <w:r w:rsidRPr="00E24AB9">
        <w:rPr>
          <w:rFonts w:ascii="Century Gothic" w:hAnsi="Century Gothic" w:cs="Arial"/>
          <w:color w:val="808080"/>
        </w:rPr>
        <w:t xml:space="preserve"> electrónico e impreso, con una anticipación mínima de 15 días hábiles previos a la fecha  del evento.</w:t>
      </w:r>
    </w:p>
    <w:p w14:paraId="679752C7" w14:textId="77777777" w:rsidR="00492EB5" w:rsidRDefault="00492EB5" w:rsidP="00A95ADF">
      <w:pPr>
        <w:numPr>
          <w:ilvl w:val="0"/>
          <w:numId w:val="34"/>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 xml:space="preserve">La capacitación Externa del personal de COFOCE deberá ser </w:t>
      </w:r>
      <w:proofErr w:type="gramStart"/>
      <w:r w:rsidRPr="00E24AB9">
        <w:rPr>
          <w:rFonts w:ascii="Century Gothic" w:hAnsi="Century Gothic" w:cs="Arial"/>
          <w:color w:val="808080"/>
        </w:rPr>
        <w:t>de acuerdo a</w:t>
      </w:r>
      <w:proofErr w:type="gramEnd"/>
      <w:r w:rsidRPr="00E24AB9">
        <w:rPr>
          <w:rFonts w:ascii="Century Gothic" w:hAnsi="Century Gothic" w:cs="Arial"/>
          <w:color w:val="808080"/>
        </w:rPr>
        <w:t xml:space="preserve"> la necesidad de capacitación del trabajador.</w:t>
      </w:r>
    </w:p>
    <w:p w14:paraId="334F8A70" w14:textId="77777777" w:rsidR="00492EB5" w:rsidRPr="00E24AB9" w:rsidRDefault="00492EB5" w:rsidP="00492EB5">
      <w:pPr>
        <w:jc w:val="both"/>
        <w:rPr>
          <w:rFonts w:ascii="Century Gothic" w:hAnsi="Century Gothic" w:cs="Arial"/>
          <w:color w:val="808080"/>
        </w:rPr>
      </w:pPr>
    </w:p>
    <w:p w14:paraId="0D7EC4FB" w14:textId="77777777" w:rsidR="00492EB5" w:rsidRDefault="00492EB5" w:rsidP="00A95ADF">
      <w:pPr>
        <w:numPr>
          <w:ilvl w:val="0"/>
          <w:numId w:val="34"/>
        </w:numPr>
        <w:spacing w:after="0" w:line="240" w:lineRule="auto"/>
        <w:jc w:val="both"/>
        <w:rPr>
          <w:rFonts w:ascii="Century Gothic" w:hAnsi="Century Gothic" w:cs="Arial"/>
          <w:color w:val="808080"/>
        </w:rPr>
      </w:pPr>
      <w:r w:rsidRPr="00E24AB9">
        <w:rPr>
          <w:rFonts w:ascii="Century Gothic" w:hAnsi="Century Gothic" w:cs="Arial"/>
          <w:color w:val="808080"/>
        </w:rPr>
        <w:t xml:space="preserve">La capacitación debe de ser justificada de acuerdo a las metas de </w:t>
      </w:r>
      <w:r>
        <w:rPr>
          <w:rFonts w:ascii="Century Gothic" w:hAnsi="Century Gothic" w:cs="Arial"/>
          <w:color w:val="808080"/>
        </w:rPr>
        <w:t>Buen Gobierno y metas de COFOCE.</w:t>
      </w:r>
    </w:p>
    <w:p w14:paraId="53577FF0" w14:textId="77777777" w:rsidR="00492EB5" w:rsidRPr="00E24AB9" w:rsidRDefault="00492EB5" w:rsidP="00492EB5">
      <w:pPr>
        <w:jc w:val="both"/>
        <w:rPr>
          <w:rFonts w:ascii="Century Gothic" w:hAnsi="Century Gothic" w:cs="Arial"/>
          <w:color w:val="808080"/>
        </w:rPr>
      </w:pPr>
    </w:p>
    <w:p w14:paraId="5ED40136" w14:textId="77777777" w:rsidR="00492EB5" w:rsidRDefault="00492EB5" w:rsidP="00A95ADF">
      <w:pPr>
        <w:numPr>
          <w:ilvl w:val="0"/>
          <w:numId w:val="34"/>
        </w:numPr>
        <w:spacing w:after="0" w:line="240" w:lineRule="auto"/>
        <w:jc w:val="both"/>
        <w:rPr>
          <w:rFonts w:ascii="Century Gothic" w:hAnsi="Century Gothic" w:cs="Arial"/>
          <w:color w:val="808080"/>
        </w:rPr>
      </w:pPr>
      <w:r w:rsidRPr="00E24AB9">
        <w:rPr>
          <w:rFonts w:ascii="Century Gothic" w:hAnsi="Century Gothic" w:cs="Arial"/>
          <w:color w:val="808080"/>
        </w:rPr>
        <w:t xml:space="preserve">La capacitación deberá ser de acuerdo a </w:t>
      </w:r>
      <w:r w:rsidR="00AC16F9" w:rsidRPr="00E24AB9">
        <w:rPr>
          <w:rFonts w:ascii="Century Gothic" w:hAnsi="Century Gothic" w:cs="Arial"/>
          <w:color w:val="808080"/>
        </w:rPr>
        <w:t>las funciones</w:t>
      </w:r>
      <w:r w:rsidRPr="00E24AB9">
        <w:rPr>
          <w:rFonts w:ascii="Century Gothic" w:hAnsi="Century Gothic" w:cs="Arial"/>
          <w:color w:val="808080"/>
        </w:rPr>
        <w:t xml:space="preserve"> del perfil de quien lo solicita.</w:t>
      </w:r>
    </w:p>
    <w:p w14:paraId="063F6B75" w14:textId="77777777" w:rsidR="00492EB5" w:rsidRPr="00E24AB9" w:rsidRDefault="00492EB5" w:rsidP="00492EB5">
      <w:pPr>
        <w:jc w:val="both"/>
        <w:rPr>
          <w:rFonts w:ascii="Century Gothic" w:hAnsi="Century Gothic" w:cs="Arial"/>
          <w:color w:val="808080"/>
        </w:rPr>
      </w:pPr>
    </w:p>
    <w:p w14:paraId="4A0A1E20" w14:textId="77777777" w:rsidR="00492EB5" w:rsidRDefault="00492EB5" w:rsidP="00A95ADF">
      <w:pPr>
        <w:numPr>
          <w:ilvl w:val="0"/>
          <w:numId w:val="34"/>
        </w:numPr>
        <w:spacing w:after="0" w:line="240" w:lineRule="auto"/>
        <w:jc w:val="both"/>
        <w:rPr>
          <w:rFonts w:ascii="Century Gothic" w:hAnsi="Century Gothic" w:cs="Arial"/>
          <w:color w:val="808080"/>
        </w:rPr>
      </w:pPr>
      <w:r w:rsidRPr="00E24AB9">
        <w:rPr>
          <w:rFonts w:ascii="Century Gothic" w:hAnsi="Century Gothic" w:cs="Arial"/>
          <w:color w:val="808080"/>
        </w:rPr>
        <w:t>Adjuntar el programa del evento de capacitación, el cual debe de contener: objetivo, temario, fecha, horario, proveedor y costo.</w:t>
      </w:r>
    </w:p>
    <w:p w14:paraId="01329B6E" w14:textId="77777777" w:rsidR="00492EB5" w:rsidRPr="00E24AB9" w:rsidRDefault="00492EB5" w:rsidP="00492EB5">
      <w:pPr>
        <w:jc w:val="both"/>
        <w:rPr>
          <w:rFonts w:ascii="Century Gothic" w:hAnsi="Century Gothic" w:cs="Arial"/>
          <w:color w:val="808080"/>
        </w:rPr>
      </w:pPr>
    </w:p>
    <w:p w14:paraId="38DA0305" w14:textId="58AA1C71" w:rsidR="00492EB5" w:rsidRPr="006B38A7" w:rsidRDefault="00492EB5" w:rsidP="00146057">
      <w:pPr>
        <w:numPr>
          <w:ilvl w:val="0"/>
          <w:numId w:val="34"/>
        </w:numPr>
        <w:spacing w:after="0" w:line="240" w:lineRule="auto"/>
        <w:jc w:val="both"/>
        <w:rPr>
          <w:rFonts w:ascii="Century Gothic" w:hAnsi="Century Gothic" w:cs="Arial"/>
          <w:b/>
        </w:rPr>
      </w:pPr>
      <w:r w:rsidRPr="006B38A7">
        <w:rPr>
          <w:rFonts w:ascii="Century Gothic" w:hAnsi="Century Gothic" w:cs="Arial"/>
          <w:color w:val="808080"/>
        </w:rPr>
        <w:t xml:space="preserve">El participante de cada evento de capacitación deberá entregar el reconocimiento o </w:t>
      </w:r>
      <w:r w:rsidR="00AC16F9" w:rsidRPr="006B38A7">
        <w:rPr>
          <w:rFonts w:ascii="Century Gothic" w:hAnsi="Century Gothic" w:cs="Arial"/>
          <w:color w:val="808080"/>
        </w:rPr>
        <w:t>constancia del</w:t>
      </w:r>
      <w:r w:rsidRPr="006B38A7">
        <w:rPr>
          <w:rFonts w:ascii="Century Gothic" w:hAnsi="Century Gothic" w:cs="Arial"/>
          <w:color w:val="808080"/>
        </w:rPr>
        <w:t xml:space="preserve"> evento.</w:t>
      </w:r>
      <w:r w:rsidRPr="006B38A7">
        <w:rPr>
          <w:rFonts w:ascii="Century Gothic" w:hAnsi="Century Gothic" w:cs="Arial"/>
          <w:color w:val="808080"/>
        </w:rPr>
        <w:br w:type="page"/>
      </w:r>
      <w:r w:rsidRPr="006B38A7">
        <w:rPr>
          <w:rFonts w:ascii="Century Gothic" w:hAnsi="Century Gothic" w:cs="Arial"/>
          <w:b/>
        </w:rPr>
        <w:lastRenderedPageBreak/>
        <w:t>Apartado 6.</w:t>
      </w:r>
    </w:p>
    <w:p w14:paraId="1EB2B39E" w14:textId="77777777" w:rsidR="00492EB5" w:rsidRPr="002650C8" w:rsidRDefault="00492EB5" w:rsidP="00492EB5">
      <w:pPr>
        <w:pStyle w:val="Prrafodelista"/>
        <w:autoSpaceDE w:val="0"/>
        <w:autoSpaceDN w:val="0"/>
        <w:adjustRightInd w:val="0"/>
        <w:ind w:left="0"/>
        <w:jc w:val="both"/>
        <w:rPr>
          <w:rFonts w:ascii="Century Gothic" w:hAnsi="Century Gothic" w:cs="Arial"/>
          <w:b/>
        </w:rPr>
      </w:pPr>
      <w:r w:rsidRPr="002650C8">
        <w:rPr>
          <w:rFonts w:ascii="Century Gothic" w:hAnsi="Century Gothic" w:cs="Arial"/>
          <w:b/>
        </w:rPr>
        <w:t>Otorgamiento de Becas y apoyos diversos.</w:t>
      </w:r>
    </w:p>
    <w:p w14:paraId="48A179A2" w14:textId="77777777" w:rsidR="00492EB5" w:rsidRPr="00E24AB9" w:rsidRDefault="00492EB5" w:rsidP="00492EB5">
      <w:pPr>
        <w:jc w:val="both"/>
        <w:rPr>
          <w:rFonts w:ascii="Century Gothic" w:hAnsi="Century Gothic" w:cs="Arial"/>
          <w:color w:val="808080"/>
        </w:rPr>
      </w:pPr>
    </w:p>
    <w:p w14:paraId="75C40F65" w14:textId="77777777" w:rsidR="00492EB5" w:rsidRPr="006E193D" w:rsidRDefault="00492EB5" w:rsidP="00492EB5">
      <w:pPr>
        <w:jc w:val="both"/>
        <w:rPr>
          <w:rFonts w:ascii="Century Gothic" w:hAnsi="Century Gothic" w:cs="Arial"/>
          <w:b/>
          <w:i/>
        </w:rPr>
      </w:pPr>
      <w:r w:rsidRPr="006E193D">
        <w:rPr>
          <w:rFonts w:ascii="Century Gothic" w:hAnsi="Century Gothic" w:cs="Arial"/>
          <w:b/>
          <w:i/>
        </w:rPr>
        <w:t xml:space="preserve">APOYOS PARA BECAS HIJOS </w:t>
      </w:r>
    </w:p>
    <w:p w14:paraId="7D8F83D5" w14:textId="77777777" w:rsidR="00492EB5" w:rsidRPr="00E24AB9" w:rsidRDefault="00492EB5" w:rsidP="00A95ADF">
      <w:pPr>
        <w:numPr>
          <w:ilvl w:val="0"/>
          <w:numId w:val="35"/>
        </w:numPr>
        <w:spacing w:after="0" w:line="240" w:lineRule="auto"/>
        <w:jc w:val="both"/>
        <w:rPr>
          <w:rFonts w:ascii="Century Gothic" w:hAnsi="Century Gothic" w:cs="Arial"/>
          <w:color w:val="808080"/>
        </w:rPr>
      </w:pPr>
      <w:r w:rsidRPr="00E24AB9">
        <w:rPr>
          <w:rFonts w:ascii="Century Gothic" w:hAnsi="Century Gothic" w:cs="Arial"/>
          <w:color w:val="808080"/>
        </w:rPr>
        <w:t xml:space="preserve">Que exista suficiencia presupuestal. </w:t>
      </w:r>
    </w:p>
    <w:p w14:paraId="05C1832F" w14:textId="77777777" w:rsidR="00492EB5" w:rsidRPr="00E24AB9" w:rsidRDefault="00492EB5" w:rsidP="00A95ADF">
      <w:pPr>
        <w:numPr>
          <w:ilvl w:val="0"/>
          <w:numId w:val="35"/>
        </w:numPr>
        <w:spacing w:after="0" w:line="240" w:lineRule="auto"/>
        <w:jc w:val="both"/>
        <w:rPr>
          <w:rFonts w:ascii="Century Gothic" w:hAnsi="Century Gothic" w:cs="Arial"/>
          <w:color w:val="808080"/>
        </w:rPr>
      </w:pPr>
      <w:r w:rsidRPr="00E24AB9">
        <w:rPr>
          <w:rFonts w:ascii="Century Gothic" w:hAnsi="Century Gothic" w:cs="Arial"/>
          <w:color w:val="808080"/>
        </w:rPr>
        <w:t>Copia del último recibo de nómina del solicitante.</w:t>
      </w:r>
    </w:p>
    <w:p w14:paraId="6BD25ED7" w14:textId="77777777" w:rsidR="00492EB5" w:rsidRPr="00E24AB9" w:rsidRDefault="00492EB5" w:rsidP="00A95ADF">
      <w:pPr>
        <w:numPr>
          <w:ilvl w:val="0"/>
          <w:numId w:val="35"/>
        </w:numPr>
        <w:spacing w:after="0" w:line="240" w:lineRule="auto"/>
        <w:jc w:val="both"/>
        <w:rPr>
          <w:rFonts w:ascii="Century Gothic" w:hAnsi="Century Gothic" w:cs="Arial"/>
          <w:color w:val="808080"/>
        </w:rPr>
      </w:pPr>
      <w:r w:rsidRPr="00E24AB9">
        <w:rPr>
          <w:rFonts w:ascii="Century Gothic" w:hAnsi="Century Gothic" w:cs="Arial"/>
          <w:color w:val="808080"/>
        </w:rPr>
        <w:t>Acta de nacimiento del solicitante.</w:t>
      </w:r>
    </w:p>
    <w:p w14:paraId="008D43DD" w14:textId="77777777" w:rsidR="00492EB5" w:rsidRPr="00E24AB9" w:rsidRDefault="00492EB5" w:rsidP="00A95ADF">
      <w:pPr>
        <w:numPr>
          <w:ilvl w:val="0"/>
          <w:numId w:val="35"/>
        </w:numPr>
        <w:spacing w:after="0" w:line="240" w:lineRule="auto"/>
        <w:jc w:val="both"/>
        <w:rPr>
          <w:rFonts w:ascii="Century Gothic" w:hAnsi="Century Gothic" w:cs="Arial"/>
          <w:color w:val="808080"/>
        </w:rPr>
      </w:pPr>
      <w:r w:rsidRPr="00E24AB9">
        <w:rPr>
          <w:rFonts w:ascii="Century Gothic" w:hAnsi="Century Gothic" w:cs="Arial"/>
          <w:color w:val="808080"/>
        </w:rPr>
        <w:t>Constancia y/o boleta de calificaciones del ciclo anterior sellada y firmada por la institución.</w:t>
      </w:r>
    </w:p>
    <w:p w14:paraId="46711C2C" w14:textId="77777777" w:rsidR="00492EB5" w:rsidRPr="00E24AB9" w:rsidRDefault="00492EB5" w:rsidP="00A95ADF">
      <w:pPr>
        <w:numPr>
          <w:ilvl w:val="0"/>
          <w:numId w:val="35"/>
        </w:numPr>
        <w:spacing w:after="0" w:line="240" w:lineRule="auto"/>
        <w:jc w:val="both"/>
        <w:rPr>
          <w:rFonts w:ascii="Century Gothic" w:hAnsi="Century Gothic" w:cs="Arial"/>
          <w:color w:val="808080"/>
        </w:rPr>
      </w:pPr>
      <w:r w:rsidRPr="00E24AB9">
        <w:rPr>
          <w:rFonts w:ascii="Century Gothic" w:hAnsi="Century Gothic" w:cs="Arial"/>
          <w:color w:val="808080"/>
        </w:rPr>
        <w:t>Copia de la CURP del estudiante.</w:t>
      </w:r>
    </w:p>
    <w:p w14:paraId="7C52A83C" w14:textId="77777777" w:rsidR="00492EB5" w:rsidRPr="00E24AB9" w:rsidRDefault="00492EB5" w:rsidP="00A95ADF">
      <w:pPr>
        <w:numPr>
          <w:ilvl w:val="0"/>
          <w:numId w:val="35"/>
        </w:numPr>
        <w:spacing w:after="0" w:line="240" w:lineRule="auto"/>
        <w:jc w:val="both"/>
        <w:rPr>
          <w:rFonts w:ascii="Century Gothic" w:hAnsi="Century Gothic" w:cs="Arial"/>
          <w:color w:val="808080"/>
        </w:rPr>
      </w:pPr>
      <w:r w:rsidRPr="00E24AB9">
        <w:rPr>
          <w:rFonts w:ascii="Century Gothic" w:hAnsi="Century Gothic" w:cs="Arial"/>
          <w:color w:val="808080"/>
        </w:rPr>
        <w:t>En caso de que el trabajador no sea el ascendiente directo, presentar el documento que acredite la patria potestad.</w:t>
      </w:r>
    </w:p>
    <w:p w14:paraId="0A0D12D1" w14:textId="77777777" w:rsidR="00492EB5" w:rsidRPr="00E24AB9" w:rsidRDefault="00492EB5" w:rsidP="00A95ADF">
      <w:pPr>
        <w:numPr>
          <w:ilvl w:val="0"/>
          <w:numId w:val="35"/>
        </w:numPr>
        <w:spacing w:after="0" w:line="240" w:lineRule="auto"/>
        <w:jc w:val="both"/>
        <w:rPr>
          <w:rFonts w:ascii="Century Gothic" w:hAnsi="Century Gothic" w:cs="Arial"/>
          <w:color w:val="808080"/>
        </w:rPr>
      </w:pPr>
      <w:r w:rsidRPr="00E24AB9">
        <w:rPr>
          <w:rFonts w:ascii="Century Gothic" w:hAnsi="Century Gothic" w:cs="Arial"/>
          <w:color w:val="808080"/>
        </w:rPr>
        <w:t>En el caso de becarios mayores de 16 años, presentar escrito donde manifieste que no se encuentra casado o viviendo en concubinato.</w:t>
      </w:r>
    </w:p>
    <w:p w14:paraId="329789B5" w14:textId="77777777" w:rsidR="00492EB5" w:rsidRPr="00E24AB9" w:rsidRDefault="00492EB5" w:rsidP="00A95ADF">
      <w:pPr>
        <w:numPr>
          <w:ilvl w:val="0"/>
          <w:numId w:val="35"/>
        </w:numPr>
        <w:spacing w:after="0" w:line="240" w:lineRule="auto"/>
        <w:jc w:val="both"/>
        <w:rPr>
          <w:rFonts w:ascii="Century Gothic" w:hAnsi="Century Gothic" w:cs="Arial"/>
          <w:color w:val="808080"/>
        </w:rPr>
      </w:pPr>
      <w:r w:rsidRPr="00E24AB9">
        <w:rPr>
          <w:rFonts w:ascii="Century Gothic" w:hAnsi="Century Gothic" w:cs="Arial"/>
          <w:color w:val="808080"/>
        </w:rPr>
        <w:t xml:space="preserve">Toda la documentación deberá ser entregada a la Coordinación de Recursos Humanos. </w:t>
      </w:r>
    </w:p>
    <w:p w14:paraId="7A8ABDEA" w14:textId="77777777" w:rsidR="00492EB5" w:rsidRPr="006E193D" w:rsidRDefault="00492EB5" w:rsidP="00492EB5">
      <w:pPr>
        <w:jc w:val="both"/>
        <w:rPr>
          <w:rFonts w:ascii="Century Gothic" w:hAnsi="Century Gothic" w:cs="Arial"/>
          <w:b/>
          <w:i/>
        </w:rPr>
      </w:pPr>
      <w:r w:rsidRPr="006E193D">
        <w:rPr>
          <w:rFonts w:ascii="Century Gothic" w:hAnsi="Century Gothic" w:cs="Arial"/>
          <w:b/>
          <w:i/>
        </w:rPr>
        <w:t xml:space="preserve">APOYO DE GASTOS MEDICOS MAYORES  </w:t>
      </w:r>
    </w:p>
    <w:p w14:paraId="37A4C00E" w14:textId="77777777" w:rsidR="00492EB5" w:rsidRPr="00E24AB9" w:rsidRDefault="00492EB5" w:rsidP="00A95ADF">
      <w:pPr>
        <w:numPr>
          <w:ilvl w:val="0"/>
          <w:numId w:val="36"/>
        </w:numPr>
        <w:spacing w:after="0" w:line="240" w:lineRule="auto"/>
        <w:jc w:val="both"/>
        <w:rPr>
          <w:rFonts w:ascii="Century Gothic" w:hAnsi="Century Gothic" w:cs="Arial"/>
          <w:color w:val="808080"/>
        </w:rPr>
      </w:pPr>
      <w:r w:rsidRPr="00E24AB9">
        <w:rPr>
          <w:rFonts w:ascii="Century Gothic" w:hAnsi="Century Gothic" w:cs="Arial"/>
          <w:color w:val="808080"/>
        </w:rPr>
        <w:t>Que exista suficiencia presupuestal.</w:t>
      </w:r>
    </w:p>
    <w:p w14:paraId="4668B147" w14:textId="77777777" w:rsidR="00492EB5" w:rsidRPr="00E24AB9" w:rsidRDefault="00492EB5" w:rsidP="00A95ADF">
      <w:pPr>
        <w:numPr>
          <w:ilvl w:val="0"/>
          <w:numId w:val="36"/>
        </w:numPr>
        <w:spacing w:after="0" w:line="240" w:lineRule="auto"/>
        <w:jc w:val="both"/>
        <w:rPr>
          <w:rFonts w:ascii="Century Gothic" w:hAnsi="Century Gothic" w:cs="Arial"/>
          <w:color w:val="808080"/>
        </w:rPr>
      </w:pPr>
      <w:r w:rsidRPr="00E24AB9">
        <w:rPr>
          <w:rFonts w:ascii="Century Gothic" w:hAnsi="Century Gothic" w:cs="Arial"/>
          <w:color w:val="808080"/>
        </w:rPr>
        <w:t>Contratar una póliza de Gastos Médicos Mayores.</w:t>
      </w:r>
    </w:p>
    <w:p w14:paraId="3965C29E" w14:textId="77777777" w:rsidR="00492EB5" w:rsidRPr="00E24AB9" w:rsidRDefault="00492EB5" w:rsidP="00A95ADF">
      <w:pPr>
        <w:numPr>
          <w:ilvl w:val="0"/>
          <w:numId w:val="36"/>
        </w:numPr>
        <w:spacing w:after="0" w:line="240" w:lineRule="auto"/>
        <w:jc w:val="both"/>
        <w:rPr>
          <w:rFonts w:ascii="Century Gothic" w:hAnsi="Century Gothic" w:cs="Arial"/>
          <w:color w:val="808080"/>
        </w:rPr>
      </w:pPr>
      <w:r w:rsidRPr="00E24AB9">
        <w:rPr>
          <w:rFonts w:ascii="Century Gothic" w:hAnsi="Century Gothic" w:cs="Arial"/>
          <w:color w:val="808080"/>
        </w:rPr>
        <w:t>Factura de la adquisición del seguro a nombre del trabajador.</w:t>
      </w:r>
    </w:p>
    <w:p w14:paraId="0FE7E85D" w14:textId="77777777" w:rsidR="00492EB5" w:rsidRPr="00E24AB9" w:rsidRDefault="00492EB5" w:rsidP="00A95ADF">
      <w:pPr>
        <w:numPr>
          <w:ilvl w:val="0"/>
          <w:numId w:val="36"/>
        </w:numPr>
        <w:spacing w:after="0" w:line="240" w:lineRule="auto"/>
        <w:jc w:val="both"/>
        <w:rPr>
          <w:rFonts w:ascii="Century Gothic" w:hAnsi="Century Gothic" w:cs="Arial"/>
          <w:color w:val="808080"/>
        </w:rPr>
      </w:pPr>
      <w:r w:rsidRPr="00E24AB9">
        <w:rPr>
          <w:rFonts w:ascii="Century Gothic" w:hAnsi="Century Gothic" w:cs="Arial"/>
          <w:color w:val="808080"/>
        </w:rPr>
        <w:t>Comprobante de pago de la póliza (voucher, estado de cuenta donde se refleja el pago, factura con el sello de pagado, recibo de pago oficial).</w:t>
      </w:r>
    </w:p>
    <w:p w14:paraId="4EC9FDC5" w14:textId="77777777" w:rsidR="00492EB5" w:rsidRPr="00E24AB9" w:rsidRDefault="00492EB5" w:rsidP="00A95ADF">
      <w:pPr>
        <w:numPr>
          <w:ilvl w:val="0"/>
          <w:numId w:val="36"/>
        </w:numPr>
        <w:spacing w:after="0" w:line="240" w:lineRule="auto"/>
        <w:jc w:val="both"/>
        <w:rPr>
          <w:rFonts w:ascii="Century Gothic" w:hAnsi="Century Gothic" w:cs="Arial"/>
          <w:color w:val="808080"/>
        </w:rPr>
      </w:pPr>
      <w:r w:rsidRPr="00E24AB9">
        <w:rPr>
          <w:rFonts w:ascii="Century Gothic" w:hAnsi="Century Gothic" w:cs="Arial"/>
          <w:color w:val="808080"/>
        </w:rPr>
        <w:t>Presentar la solicitud de apoyo por escrito dirigida a la Coordinación de Recursos Humanos.</w:t>
      </w:r>
    </w:p>
    <w:p w14:paraId="36193B12" w14:textId="77777777" w:rsidR="00492EB5" w:rsidRPr="00E24AB9" w:rsidRDefault="00492EB5" w:rsidP="00A95ADF">
      <w:pPr>
        <w:numPr>
          <w:ilvl w:val="0"/>
          <w:numId w:val="36"/>
        </w:numPr>
        <w:spacing w:after="0" w:line="240" w:lineRule="auto"/>
        <w:jc w:val="both"/>
        <w:rPr>
          <w:rFonts w:ascii="Century Gothic" w:hAnsi="Century Gothic" w:cs="Arial"/>
          <w:color w:val="808080"/>
        </w:rPr>
      </w:pPr>
      <w:r w:rsidRPr="00E24AB9">
        <w:rPr>
          <w:rFonts w:ascii="Century Gothic" w:hAnsi="Century Gothic" w:cs="Arial"/>
          <w:color w:val="808080"/>
        </w:rPr>
        <w:t>Toda la documentación deberá ser entregada a la Coordinación de Recursos Humanos.</w:t>
      </w:r>
    </w:p>
    <w:p w14:paraId="00FBE67A" w14:textId="77777777" w:rsidR="00492EB5" w:rsidRPr="006E193D" w:rsidRDefault="00492EB5" w:rsidP="00492EB5">
      <w:pPr>
        <w:jc w:val="both"/>
        <w:rPr>
          <w:rFonts w:ascii="Century Gothic" w:hAnsi="Century Gothic" w:cs="Arial"/>
          <w:b/>
          <w:i/>
        </w:rPr>
      </w:pPr>
      <w:r w:rsidRPr="006E193D">
        <w:rPr>
          <w:rFonts w:ascii="Century Gothic" w:hAnsi="Century Gothic" w:cs="Arial"/>
          <w:b/>
          <w:i/>
        </w:rPr>
        <w:t xml:space="preserve">APOYOS EDUCATIVOS  </w:t>
      </w:r>
    </w:p>
    <w:p w14:paraId="5AC58DFE" w14:textId="77777777" w:rsidR="00492EB5" w:rsidRPr="00E24AB9" w:rsidRDefault="00492EB5" w:rsidP="00A95ADF">
      <w:pPr>
        <w:numPr>
          <w:ilvl w:val="0"/>
          <w:numId w:val="37"/>
        </w:numPr>
        <w:spacing w:after="0" w:line="240" w:lineRule="auto"/>
        <w:jc w:val="both"/>
        <w:rPr>
          <w:rFonts w:ascii="Century Gothic" w:hAnsi="Century Gothic" w:cs="Arial"/>
          <w:color w:val="808080"/>
        </w:rPr>
      </w:pPr>
      <w:r w:rsidRPr="00E24AB9">
        <w:rPr>
          <w:rFonts w:ascii="Century Gothic" w:hAnsi="Century Gothic" w:cs="Arial"/>
          <w:color w:val="808080"/>
        </w:rPr>
        <w:t>Que exista suficiencia presupuestal.</w:t>
      </w:r>
    </w:p>
    <w:p w14:paraId="67E5218A" w14:textId="77777777" w:rsidR="00492EB5" w:rsidRPr="00E24AB9" w:rsidRDefault="00492EB5" w:rsidP="00A95ADF">
      <w:pPr>
        <w:numPr>
          <w:ilvl w:val="0"/>
          <w:numId w:val="37"/>
        </w:numPr>
        <w:spacing w:after="0" w:line="240" w:lineRule="auto"/>
        <w:jc w:val="both"/>
        <w:rPr>
          <w:rFonts w:ascii="Century Gothic" w:hAnsi="Century Gothic" w:cs="Arial"/>
          <w:color w:val="808080"/>
        </w:rPr>
      </w:pPr>
      <w:r w:rsidRPr="00E24AB9">
        <w:rPr>
          <w:rFonts w:ascii="Century Gothic" w:hAnsi="Century Gothic" w:cs="Arial"/>
          <w:color w:val="808080"/>
        </w:rPr>
        <w:t>Presentar solicitud elaborada.</w:t>
      </w:r>
    </w:p>
    <w:p w14:paraId="5C448F63" w14:textId="77777777" w:rsidR="00492EB5" w:rsidRPr="00E24AB9" w:rsidRDefault="00492EB5" w:rsidP="00A95ADF">
      <w:pPr>
        <w:numPr>
          <w:ilvl w:val="0"/>
          <w:numId w:val="37"/>
        </w:numPr>
        <w:spacing w:after="0" w:line="240" w:lineRule="auto"/>
        <w:jc w:val="both"/>
        <w:rPr>
          <w:rFonts w:ascii="Century Gothic" w:hAnsi="Century Gothic" w:cs="Arial"/>
          <w:color w:val="808080"/>
        </w:rPr>
      </w:pPr>
      <w:r w:rsidRPr="00E24AB9">
        <w:rPr>
          <w:rFonts w:ascii="Century Gothic" w:hAnsi="Century Gothic" w:cs="Arial"/>
          <w:color w:val="808080"/>
        </w:rPr>
        <w:t>Deberá sujetarse al monto establecido en los Lineamientos para la Administración de los Recursos Humanos Adscritos a las Dependencias y Entidades de la Administración Pública Estatal.</w:t>
      </w:r>
    </w:p>
    <w:p w14:paraId="4D3DA427" w14:textId="77777777" w:rsidR="00492EB5" w:rsidRPr="00E24AB9" w:rsidRDefault="00492EB5" w:rsidP="00A95ADF">
      <w:pPr>
        <w:numPr>
          <w:ilvl w:val="0"/>
          <w:numId w:val="37"/>
        </w:numPr>
        <w:spacing w:after="0" w:line="240" w:lineRule="auto"/>
        <w:jc w:val="both"/>
        <w:rPr>
          <w:rFonts w:ascii="Century Gothic" w:hAnsi="Century Gothic" w:cs="Arial"/>
          <w:color w:val="808080"/>
        </w:rPr>
      </w:pPr>
      <w:r w:rsidRPr="00DD4E44">
        <w:rPr>
          <w:rFonts w:ascii="Century Gothic" w:hAnsi="Century Gothic" w:cs="Arial"/>
          <w:color w:val="808080"/>
        </w:rPr>
        <w:t xml:space="preserve"> </w:t>
      </w:r>
      <w:r w:rsidRPr="00E24AB9">
        <w:rPr>
          <w:rFonts w:ascii="Century Gothic" w:hAnsi="Century Gothic" w:cs="Arial"/>
          <w:color w:val="808080"/>
        </w:rPr>
        <w:t>Contar con un promedio mínimo de 8.5.</w:t>
      </w:r>
    </w:p>
    <w:p w14:paraId="50CF482E" w14:textId="77777777" w:rsidR="00492EB5" w:rsidRPr="00E24AB9" w:rsidRDefault="00492EB5" w:rsidP="00A95ADF">
      <w:pPr>
        <w:numPr>
          <w:ilvl w:val="0"/>
          <w:numId w:val="37"/>
        </w:numPr>
        <w:spacing w:after="0" w:line="240" w:lineRule="auto"/>
        <w:jc w:val="both"/>
        <w:rPr>
          <w:rFonts w:ascii="Century Gothic" w:hAnsi="Century Gothic" w:cs="Arial"/>
          <w:color w:val="808080"/>
        </w:rPr>
      </w:pPr>
      <w:r w:rsidRPr="00E24AB9">
        <w:rPr>
          <w:rFonts w:ascii="Century Gothic" w:hAnsi="Century Gothic" w:cs="Arial"/>
          <w:color w:val="808080"/>
        </w:rPr>
        <w:t>Contar con un nivel de desempeño satisfactorio como resultado de la evaluación al desempeño.</w:t>
      </w:r>
    </w:p>
    <w:p w14:paraId="3B10E8A6" w14:textId="77777777" w:rsidR="00492EB5" w:rsidRPr="00E24AB9" w:rsidRDefault="00492EB5" w:rsidP="00A95ADF">
      <w:pPr>
        <w:numPr>
          <w:ilvl w:val="0"/>
          <w:numId w:val="37"/>
        </w:numPr>
        <w:spacing w:after="0" w:line="240" w:lineRule="auto"/>
        <w:jc w:val="both"/>
        <w:rPr>
          <w:rFonts w:ascii="Century Gothic" w:hAnsi="Century Gothic" w:cs="Arial"/>
          <w:color w:val="808080"/>
        </w:rPr>
      </w:pPr>
      <w:r w:rsidRPr="00E24AB9">
        <w:rPr>
          <w:rFonts w:ascii="Century Gothic" w:hAnsi="Century Gothic" w:cs="Arial"/>
          <w:color w:val="808080"/>
        </w:rPr>
        <w:lastRenderedPageBreak/>
        <w:t>Presentar carta compromiso para desempeñarse como tutor del Servicio Civil de Carrera (Campus Guanajuato).</w:t>
      </w:r>
    </w:p>
    <w:p w14:paraId="12B9FD47" w14:textId="77777777" w:rsidR="00492EB5" w:rsidRPr="00E24AB9" w:rsidRDefault="00492EB5" w:rsidP="00A95ADF">
      <w:pPr>
        <w:numPr>
          <w:ilvl w:val="0"/>
          <w:numId w:val="37"/>
        </w:numPr>
        <w:spacing w:after="0" w:line="240" w:lineRule="auto"/>
        <w:jc w:val="both"/>
        <w:rPr>
          <w:rFonts w:ascii="Century Gothic" w:hAnsi="Century Gothic" w:cs="Arial"/>
          <w:color w:val="808080"/>
        </w:rPr>
      </w:pPr>
      <w:r w:rsidRPr="00E24AB9">
        <w:rPr>
          <w:rFonts w:ascii="Century Gothic" w:hAnsi="Century Gothic" w:cs="Arial"/>
          <w:color w:val="808080"/>
        </w:rPr>
        <w:t>Contar con la currícula de materias a cursar.</w:t>
      </w:r>
    </w:p>
    <w:p w14:paraId="04363F86" w14:textId="77777777" w:rsidR="00492EB5" w:rsidRPr="00E24AB9" w:rsidRDefault="00492EB5" w:rsidP="00A95ADF">
      <w:pPr>
        <w:numPr>
          <w:ilvl w:val="0"/>
          <w:numId w:val="37"/>
        </w:numPr>
        <w:spacing w:after="0" w:line="240" w:lineRule="auto"/>
        <w:jc w:val="both"/>
        <w:rPr>
          <w:rFonts w:ascii="Century Gothic" w:hAnsi="Century Gothic" w:cs="Arial"/>
          <w:color w:val="808080"/>
        </w:rPr>
      </w:pPr>
      <w:r w:rsidRPr="009E25F1">
        <w:rPr>
          <w:rFonts w:ascii="Century Gothic" w:hAnsi="Century Gothic" w:cs="Arial"/>
          <w:color w:val="808080"/>
        </w:rPr>
        <w:t xml:space="preserve"> </w:t>
      </w:r>
      <w:r w:rsidRPr="00E24AB9">
        <w:rPr>
          <w:rFonts w:ascii="Century Gothic" w:hAnsi="Century Gothic" w:cs="Arial"/>
          <w:color w:val="808080"/>
        </w:rPr>
        <w:t>Entregar la constancia o documento oficial de calificaciones del grado o nivel académico anterior inmediato.</w:t>
      </w:r>
    </w:p>
    <w:p w14:paraId="302FAA08" w14:textId="77777777" w:rsidR="00492EB5" w:rsidRDefault="00492EB5" w:rsidP="00A95ADF">
      <w:pPr>
        <w:numPr>
          <w:ilvl w:val="0"/>
          <w:numId w:val="37"/>
        </w:numPr>
        <w:spacing w:after="0" w:line="240" w:lineRule="auto"/>
        <w:jc w:val="both"/>
        <w:rPr>
          <w:rFonts w:ascii="Century Gothic" w:hAnsi="Century Gothic" w:cs="Arial"/>
          <w:color w:val="808080"/>
        </w:rPr>
      </w:pPr>
      <w:r w:rsidRPr="00E24AB9">
        <w:rPr>
          <w:rFonts w:ascii="Century Gothic" w:hAnsi="Century Gothic" w:cs="Arial"/>
          <w:color w:val="808080"/>
        </w:rPr>
        <w:t xml:space="preserve">Comprobante de pago fiscal a nombre del funcionario solicitante. </w:t>
      </w:r>
    </w:p>
    <w:p w14:paraId="2F9AD125" w14:textId="77777777" w:rsidR="00492EB5" w:rsidRDefault="00492EB5" w:rsidP="00492EB5">
      <w:pPr>
        <w:pStyle w:val="Prrafodelista"/>
        <w:rPr>
          <w:rFonts w:ascii="Century Gothic" w:hAnsi="Century Gothic" w:cs="Arial"/>
          <w:color w:val="808080"/>
        </w:rPr>
      </w:pPr>
    </w:p>
    <w:p w14:paraId="615642EB" w14:textId="77777777" w:rsidR="00492EB5" w:rsidRPr="00D1711B" w:rsidRDefault="00492EB5" w:rsidP="00492EB5">
      <w:pPr>
        <w:jc w:val="both"/>
        <w:rPr>
          <w:rFonts w:ascii="Century Gothic" w:hAnsi="Century Gothic" w:cs="Arial"/>
          <w:b/>
          <w:color w:val="000000"/>
        </w:rPr>
      </w:pPr>
      <w:r w:rsidRPr="00D1711B">
        <w:rPr>
          <w:rFonts w:ascii="Century Gothic" w:hAnsi="Century Gothic" w:cs="Arial"/>
          <w:b/>
          <w:color w:val="000000"/>
        </w:rPr>
        <w:t>Sección D</w:t>
      </w:r>
    </w:p>
    <w:p w14:paraId="7AAF83D1" w14:textId="77777777" w:rsidR="00492EB5" w:rsidRPr="00D1711B" w:rsidRDefault="00492EB5" w:rsidP="00492EB5">
      <w:pPr>
        <w:pStyle w:val="Prrafodelista"/>
        <w:autoSpaceDE w:val="0"/>
        <w:autoSpaceDN w:val="0"/>
        <w:adjustRightInd w:val="0"/>
        <w:ind w:left="0"/>
        <w:jc w:val="both"/>
        <w:rPr>
          <w:rFonts w:ascii="Century Gothic" w:hAnsi="Century Gothic" w:cs="Arial"/>
          <w:b/>
          <w:color w:val="000000"/>
        </w:rPr>
      </w:pPr>
      <w:r w:rsidRPr="00D1711B">
        <w:rPr>
          <w:rFonts w:ascii="Century Gothic" w:hAnsi="Century Gothic" w:cs="Arial"/>
          <w:b/>
        </w:rPr>
        <w:t>Política</w:t>
      </w:r>
      <w:r w:rsidRPr="00D1711B">
        <w:rPr>
          <w:rFonts w:ascii="Century Gothic" w:hAnsi="Century Gothic" w:cs="Arial"/>
          <w:b/>
          <w:color w:val="000000"/>
        </w:rPr>
        <w:t xml:space="preserve"> para la Aplicación de </w:t>
      </w:r>
      <w:r>
        <w:rPr>
          <w:rFonts w:ascii="Century Gothic" w:hAnsi="Century Gothic" w:cs="Arial"/>
          <w:b/>
          <w:color w:val="000000"/>
        </w:rPr>
        <w:t>Ingresos</w:t>
      </w:r>
      <w:r w:rsidRPr="00D1711B">
        <w:rPr>
          <w:rFonts w:ascii="Century Gothic" w:hAnsi="Century Gothic" w:cs="Arial"/>
          <w:b/>
          <w:color w:val="000000"/>
        </w:rPr>
        <w:t xml:space="preserve"> Propios</w:t>
      </w:r>
    </w:p>
    <w:p w14:paraId="311BFCE9" w14:textId="77777777" w:rsidR="00492EB5" w:rsidRPr="005238C8" w:rsidRDefault="00492EB5" w:rsidP="00A95ADF">
      <w:pPr>
        <w:pStyle w:val="Prrafodelista"/>
        <w:numPr>
          <w:ilvl w:val="0"/>
          <w:numId w:val="50"/>
        </w:numPr>
        <w:spacing w:line="240" w:lineRule="auto"/>
        <w:jc w:val="center"/>
        <w:rPr>
          <w:rFonts w:ascii="Century Gothic" w:eastAsia="Cambria" w:hAnsi="Century Gothic" w:cs="Calibri"/>
          <w:b/>
          <w:color w:val="215868"/>
        </w:rPr>
      </w:pPr>
      <w:r w:rsidRPr="005238C8">
        <w:rPr>
          <w:rFonts w:ascii="Century Gothic" w:eastAsia="Cambria" w:hAnsi="Century Gothic" w:cs="Calibri"/>
          <w:b/>
          <w:color w:val="215868"/>
        </w:rPr>
        <w:t>DISPOSICIONES GENERALES</w:t>
      </w:r>
    </w:p>
    <w:p w14:paraId="19C24DB7" w14:textId="77777777" w:rsidR="00492EB5" w:rsidRDefault="00492EB5" w:rsidP="00492EB5">
      <w:pPr>
        <w:pStyle w:val="Prrafodelista"/>
        <w:ind w:left="0" w:firstLine="426"/>
        <w:rPr>
          <w:b/>
        </w:rPr>
      </w:pPr>
    </w:p>
    <w:p w14:paraId="4E2C1B81"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 xml:space="preserve">Art. </w:t>
      </w:r>
      <w:r w:rsidRPr="008974C4">
        <w:rPr>
          <w:rFonts w:ascii="Century Gothic" w:eastAsia="Cambria" w:hAnsi="Century Gothic" w:cs="Calibri"/>
          <w:b/>
          <w:color w:val="215868"/>
        </w:rPr>
        <w:t>1</w:t>
      </w:r>
      <w:r>
        <w:rPr>
          <w:rFonts w:ascii="Century Gothic" w:eastAsia="Cambria" w:hAnsi="Century Gothic" w:cs="Calibri"/>
          <w:color w:val="215868"/>
        </w:rPr>
        <w:t xml:space="preserve"> La presente política tiene</w:t>
      </w:r>
      <w:r w:rsidRPr="00DE486A">
        <w:rPr>
          <w:rFonts w:ascii="Century Gothic" w:eastAsia="Cambria" w:hAnsi="Century Gothic" w:cs="Calibri"/>
          <w:color w:val="215868"/>
        </w:rPr>
        <w:t xml:space="preserve"> como </w:t>
      </w:r>
      <w:r w:rsidRPr="00967EC2">
        <w:rPr>
          <w:rFonts w:ascii="Century Gothic" w:eastAsia="Cambria" w:hAnsi="Century Gothic" w:cs="Calibri"/>
          <w:color w:val="215868"/>
        </w:rPr>
        <w:t>objetivo</w:t>
      </w:r>
      <w:r w:rsidRPr="00DE486A">
        <w:rPr>
          <w:rFonts w:ascii="Century Gothic" w:eastAsia="Cambria" w:hAnsi="Century Gothic" w:cs="Calibri"/>
          <w:color w:val="215868"/>
        </w:rPr>
        <w:t xml:space="preserve"> establecer </w:t>
      </w:r>
      <w:r>
        <w:rPr>
          <w:rFonts w:ascii="Century Gothic" w:eastAsia="Cambria" w:hAnsi="Century Gothic" w:cs="Calibri"/>
          <w:color w:val="215868"/>
        </w:rPr>
        <w:t xml:space="preserve">los lineamientos </w:t>
      </w:r>
      <w:r w:rsidRPr="00DE486A">
        <w:rPr>
          <w:rFonts w:ascii="Century Gothic" w:eastAsia="Cambria" w:hAnsi="Century Gothic" w:cs="Calibri"/>
          <w:color w:val="215868"/>
        </w:rPr>
        <w:t>que regirán</w:t>
      </w:r>
      <w:r>
        <w:rPr>
          <w:rFonts w:ascii="Century Gothic" w:eastAsia="Cambria" w:hAnsi="Century Gothic" w:cs="Calibri"/>
          <w:color w:val="215868"/>
        </w:rPr>
        <w:t xml:space="preserve"> la captación, administración, aplicación y </w:t>
      </w:r>
      <w:r w:rsidRPr="00DE486A">
        <w:rPr>
          <w:rFonts w:ascii="Century Gothic" w:eastAsia="Cambria" w:hAnsi="Century Gothic" w:cs="Calibri"/>
          <w:color w:val="215868"/>
        </w:rPr>
        <w:t xml:space="preserve">el ejercicio de los </w:t>
      </w:r>
      <w:r>
        <w:rPr>
          <w:rFonts w:ascii="Century Gothic" w:eastAsia="Cambria" w:hAnsi="Century Gothic" w:cs="Calibri"/>
          <w:color w:val="215868"/>
        </w:rPr>
        <w:t xml:space="preserve">ingresos y/o </w:t>
      </w:r>
      <w:r w:rsidRPr="00DE486A">
        <w:rPr>
          <w:rFonts w:ascii="Century Gothic" w:eastAsia="Cambria" w:hAnsi="Century Gothic" w:cs="Calibri"/>
          <w:color w:val="215868"/>
        </w:rPr>
        <w:t>Recursos</w:t>
      </w:r>
      <w:r>
        <w:rPr>
          <w:rFonts w:ascii="Century Gothic" w:eastAsia="Cambria" w:hAnsi="Century Gothic" w:cs="Calibri"/>
          <w:color w:val="215868"/>
        </w:rPr>
        <w:t xml:space="preserve"> Propios</w:t>
      </w:r>
      <w:r w:rsidRPr="00DE486A">
        <w:rPr>
          <w:rFonts w:ascii="Century Gothic" w:eastAsia="Cambria" w:hAnsi="Century Gothic" w:cs="Calibri"/>
          <w:color w:val="215868"/>
        </w:rPr>
        <w:t xml:space="preserve"> </w:t>
      </w:r>
      <w:r>
        <w:rPr>
          <w:rFonts w:ascii="Century Gothic" w:eastAsia="Cambria" w:hAnsi="Century Gothic" w:cs="Calibri"/>
          <w:color w:val="215868"/>
        </w:rPr>
        <w:t>de la COFOCE</w:t>
      </w:r>
      <w:r w:rsidRPr="00DE486A">
        <w:rPr>
          <w:rFonts w:ascii="Century Gothic" w:eastAsia="Cambria" w:hAnsi="Century Gothic" w:cs="Calibri"/>
          <w:color w:val="215868"/>
        </w:rPr>
        <w:t xml:space="preserve">, en términos </w:t>
      </w:r>
      <w:r>
        <w:rPr>
          <w:rFonts w:ascii="Century Gothic" w:eastAsia="Cambria" w:hAnsi="Century Gothic" w:cs="Calibri"/>
          <w:color w:val="215868"/>
        </w:rPr>
        <w:t>de las necesidades del organismo y la normatividad vigente</w:t>
      </w:r>
      <w:r w:rsidRPr="00DE486A">
        <w:rPr>
          <w:rFonts w:ascii="Century Gothic" w:eastAsia="Cambria" w:hAnsi="Century Gothic" w:cs="Calibri"/>
          <w:color w:val="215868"/>
        </w:rPr>
        <w:t>.</w:t>
      </w:r>
    </w:p>
    <w:p w14:paraId="0D27FC48" w14:textId="77777777" w:rsidR="00492EB5" w:rsidRDefault="00492EB5" w:rsidP="00492EB5">
      <w:pPr>
        <w:autoSpaceDE w:val="0"/>
        <w:autoSpaceDN w:val="0"/>
        <w:adjustRightInd w:val="0"/>
        <w:jc w:val="both"/>
        <w:rPr>
          <w:rFonts w:ascii="Century Gothic" w:eastAsia="Cambria" w:hAnsi="Century Gothic" w:cs="Calibri"/>
          <w:color w:val="215868"/>
        </w:rPr>
      </w:pPr>
    </w:p>
    <w:p w14:paraId="52061685"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 xml:space="preserve">Art. </w:t>
      </w:r>
      <w:r w:rsidRPr="008974C4">
        <w:rPr>
          <w:rFonts w:ascii="Century Gothic" w:eastAsia="Cambria" w:hAnsi="Century Gothic" w:cs="Calibri"/>
          <w:b/>
          <w:color w:val="215868"/>
        </w:rPr>
        <w:t>2</w:t>
      </w:r>
      <w:r>
        <w:rPr>
          <w:rFonts w:ascii="Century Gothic" w:eastAsia="Cambria" w:hAnsi="Century Gothic" w:cs="Calibri"/>
          <w:color w:val="215868"/>
        </w:rPr>
        <w:t xml:space="preserve"> Para efectos de la presente política </w:t>
      </w:r>
      <w:r w:rsidRPr="005238C8">
        <w:rPr>
          <w:rFonts w:ascii="Century Gothic" w:eastAsia="Cambria" w:hAnsi="Century Gothic" w:cs="Calibri"/>
          <w:color w:val="215868"/>
        </w:rPr>
        <w:t>se entenderá</w:t>
      </w:r>
      <w:r w:rsidRPr="00853DF2">
        <w:rPr>
          <w:rFonts w:ascii="Century Gothic" w:eastAsia="Cambria" w:hAnsi="Century Gothic" w:cs="Calibri"/>
          <w:color w:val="215868"/>
        </w:rPr>
        <w:t xml:space="preserve"> por:</w:t>
      </w:r>
    </w:p>
    <w:p w14:paraId="4E9AC747" w14:textId="77777777" w:rsidR="00492EB5" w:rsidRPr="00853DF2" w:rsidRDefault="00492EB5" w:rsidP="00492EB5">
      <w:pPr>
        <w:autoSpaceDE w:val="0"/>
        <w:autoSpaceDN w:val="0"/>
        <w:adjustRightInd w:val="0"/>
        <w:ind w:firstLine="708"/>
        <w:jc w:val="both"/>
        <w:rPr>
          <w:rFonts w:ascii="Century Gothic" w:eastAsia="Cambria" w:hAnsi="Century Gothic" w:cs="Calibri"/>
          <w:color w:val="215868"/>
        </w:rPr>
      </w:pPr>
      <w:r w:rsidRPr="00853DF2">
        <w:rPr>
          <w:rFonts w:ascii="Century Gothic" w:eastAsia="Cambria" w:hAnsi="Century Gothic" w:cs="Calibri"/>
          <w:b/>
          <w:color w:val="215868"/>
        </w:rPr>
        <w:t>I.</w:t>
      </w:r>
      <w:r w:rsidRPr="00853DF2">
        <w:rPr>
          <w:rFonts w:ascii="Century Gothic" w:eastAsia="Cambria" w:hAnsi="Century Gothic" w:cs="Calibri"/>
          <w:color w:val="215868"/>
        </w:rPr>
        <w:t xml:space="preserve"> </w:t>
      </w:r>
      <w:r>
        <w:rPr>
          <w:rFonts w:ascii="Century Gothic" w:eastAsia="Cambria" w:hAnsi="Century Gothic" w:cs="Calibri"/>
          <w:b/>
          <w:color w:val="215868"/>
        </w:rPr>
        <w:t>Áreas Estratégicas:</w:t>
      </w:r>
      <w:r w:rsidRPr="00853DF2">
        <w:rPr>
          <w:rFonts w:ascii="Century Gothic" w:eastAsia="Cambria" w:hAnsi="Century Gothic" w:cs="Calibri"/>
          <w:color w:val="215868"/>
        </w:rPr>
        <w:t xml:space="preserve"> </w:t>
      </w:r>
      <w:r>
        <w:rPr>
          <w:rFonts w:ascii="Century Gothic" w:eastAsia="Cambria" w:hAnsi="Century Gothic" w:cs="Calibri"/>
          <w:color w:val="215868"/>
        </w:rPr>
        <w:t>La Dirección General, la Dirección de Capacitación y Certificaciones Internacionales, La Dirección de Promoción para la Exportación, La Dirección de Servicios de Apoyo al Comercio Exterior y la Dirección Financiera y de Administración -o sus equivalentes-, adscritas a la Coordinadora de Fomento al Comercio Exterior del Estado de Guanajuato.</w:t>
      </w:r>
    </w:p>
    <w:p w14:paraId="22DBDC44" w14:textId="77777777" w:rsidR="00492EB5" w:rsidRPr="00853DF2" w:rsidRDefault="00492EB5" w:rsidP="00492EB5">
      <w:pPr>
        <w:autoSpaceDE w:val="0"/>
        <w:autoSpaceDN w:val="0"/>
        <w:adjustRightInd w:val="0"/>
        <w:ind w:firstLine="708"/>
        <w:jc w:val="both"/>
        <w:rPr>
          <w:rFonts w:ascii="Century Gothic" w:eastAsia="Cambria" w:hAnsi="Century Gothic" w:cs="Calibri"/>
          <w:color w:val="215868"/>
        </w:rPr>
      </w:pPr>
      <w:r w:rsidRPr="00853DF2">
        <w:rPr>
          <w:rFonts w:ascii="Century Gothic" w:eastAsia="Cambria" w:hAnsi="Century Gothic" w:cs="Calibri"/>
          <w:b/>
          <w:color w:val="215868"/>
        </w:rPr>
        <w:t>II.</w:t>
      </w:r>
      <w:r w:rsidRPr="00853DF2">
        <w:rPr>
          <w:rFonts w:ascii="Century Gothic" w:eastAsia="Cambria" w:hAnsi="Century Gothic" w:cs="Calibri"/>
          <w:color w:val="215868"/>
        </w:rPr>
        <w:t xml:space="preserve"> </w:t>
      </w:r>
      <w:r w:rsidRPr="00B23BB0">
        <w:rPr>
          <w:rFonts w:ascii="Century Gothic" w:eastAsia="Cambria" w:hAnsi="Century Gothic" w:cs="Calibri"/>
          <w:b/>
          <w:color w:val="215868"/>
        </w:rPr>
        <w:t>Áreas Operativas</w:t>
      </w:r>
      <w:r>
        <w:rPr>
          <w:rFonts w:ascii="Century Gothic" w:eastAsia="Cambria" w:hAnsi="Century Gothic" w:cs="Calibri"/>
          <w:b/>
          <w:color w:val="215868"/>
        </w:rPr>
        <w:t>:</w:t>
      </w:r>
      <w:r w:rsidRPr="00853DF2">
        <w:rPr>
          <w:rFonts w:ascii="Century Gothic" w:eastAsia="Cambria" w:hAnsi="Century Gothic" w:cs="Calibri"/>
          <w:color w:val="215868"/>
        </w:rPr>
        <w:t xml:space="preserve"> </w:t>
      </w:r>
      <w:r>
        <w:rPr>
          <w:rFonts w:ascii="Century Gothic" w:eastAsia="Cambria" w:hAnsi="Century Gothic" w:cs="Calibri"/>
          <w:color w:val="215868"/>
        </w:rPr>
        <w:t>Coordinaciones, Jefaturas y/o cualquier unidad responsable adscrita a las áreas estratégicas de la COFOCE.</w:t>
      </w:r>
    </w:p>
    <w:p w14:paraId="679DDEA3" w14:textId="77777777" w:rsidR="00492EB5" w:rsidRPr="00853DF2" w:rsidRDefault="00492EB5" w:rsidP="00492EB5">
      <w:pPr>
        <w:autoSpaceDE w:val="0"/>
        <w:autoSpaceDN w:val="0"/>
        <w:adjustRightInd w:val="0"/>
        <w:ind w:firstLine="708"/>
        <w:jc w:val="both"/>
        <w:rPr>
          <w:rFonts w:ascii="Century Gothic" w:eastAsia="Cambria" w:hAnsi="Century Gothic" w:cs="Calibri"/>
          <w:color w:val="215868"/>
        </w:rPr>
      </w:pPr>
      <w:r w:rsidRPr="00846855">
        <w:rPr>
          <w:rFonts w:ascii="Century Gothic" w:eastAsia="Cambria" w:hAnsi="Century Gothic" w:cs="Calibri"/>
          <w:b/>
          <w:color w:val="215868"/>
        </w:rPr>
        <w:t>III.</w:t>
      </w:r>
      <w:r w:rsidRPr="00846855">
        <w:rPr>
          <w:rFonts w:ascii="Century Gothic" w:eastAsia="Cambria" w:hAnsi="Century Gothic" w:cs="Calibri"/>
          <w:color w:val="215868"/>
        </w:rPr>
        <w:t xml:space="preserve"> </w:t>
      </w:r>
      <w:r w:rsidRPr="00846855">
        <w:rPr>
          <w:rFonts w:ascii="Century Gothic" w:eastAsia="Cambria" w:hAnsi="Century Gothic" w:cs="Calibri"/>
          <w:b/>
          <w:color w:val="215868"/>
        </w:rPr>
        <w:t>Sesiones</w:t>
      </w:r>
      <w:r>
        <w:rPr>
          <w:rFonts w:ascii="Century Gothic" w:eastAsia="Cambria" w:hAnsi="Century Gothic" w:cs="Calibri"/>
          <w:b/>
          <w:color w:val="215868"/>
        </w:rPr>
        <w:t xml:space="preserve"> ordinarias</w:t>
      </w:r>
      <w:r>
        <w:rPr>
          <w:rFonts w:ascii="Century Gothic" w:eastAsia="Cambria" w:hAnsi="Century Gothic" w:cs="Calibri"/>
          <w:color w:val="215868"/>
        </w:rPr>
        <w:t>: Proceso protocolario de desarrollo de las reuniones ejecutivas del Consejo Directivo, donde se exponen y analizan asuntos y temas estratégicos y/o administrativos para exponerles de  su conocimiento y gestionar la procedencia, validación y/o autorización respectiva</w:t>
      </w:r>
      <w:r w:rsidRPr="00853DF2">
        <w:rPr>
          <w:rFonts w:ascii="Century Gothic" w:eastAsia="Cambria" w:hAnsi="Century Gothic" w:cs="Calibri"/>
          <w:color w:val="215868"/>
        </w:rPr>
        <w:t>.</w:t>
      </w:r>
    </w:p>
    <w:p w14:paraId="2E730D6D" w14:textId="77777777" w:rsidR="00492EB5" w:rsidRPr="00853DF2" w:rsidRDefault="00492EB5" w:rsidP="00492EB5">
      <w:pPr>
        <w:autoSpaceDE w:val="0"/>
        <w:autoSpaceDN w:val="0"/>
        <w:adjustRightInd w:val="0"/>
        <w:ind w:firstLine="708"/>
        <w:jc w:val="both"/>
        <w:rPr>
          <w:rFonts w:ascii="Century Gothic" w:eastAsia="Cambria" w:hAnsi="Century Gothic" w:cs="Calibri"/>
          <w:color w:val="215868"/>
        </w:rPr>
      </w:pPr>
      <w:r w:rsidRPr="00853DF2">
        <w:rPr>
          <w:rFonts w:ascii="Century Gothic" w:eastAsia="Cambria" w:hAnsi="Century Gothic" w:cs="Calibri"/>
          <w:b/>
          <w:color w:val="215868"/>
        </w:rPr>
        <w:t>IV.</w:t>
      </w:r>
      <w:r w:rsidRPr="00853DF2">
        <w:rPr>
          <w:rFonts w:ascii="Century Gothic" w:eastAsia="Cambria" w:hAnsi="Century Gothic" w:cs="Calibri"/>
          <w:color w:val="215868"/>
        </w:rPr>
        <w:t xml:space="preserve"> </w:t>
      </w:r>
      <w:r>
        <w:rPr>
          <w:rFonts w:ascii="Century Gothic" w:eastAsia="Cambria" w:hAnsi="Century Gothic" w:cs="Calibri"/>
          <w:b/>
          <w:color w:val="215868"/>
        </w:rPr>
        <w:t>Entidad:</w:t>
      </w:r>
      <w:r>
        <w:rPr>
          <w:rFonts w:ascii="Century Gothic" w:eastAsia="Cambria" w:hAnsi="Century Gothic" w:cs="Calibri"/>
          <w:color w:val="215868"/>
        </w:rPr>
        <w:t xml:space="preserve"> Refiere a la COFOCE, Coordinadora de Fomento al Comercio Exterior del Estado de Guanajuato</w:t>
      </w:r>
      <w:r w:rsidRPr="00853DF2">
        <w:rPr>
          <w:rFonts w:ascii="Century Gothic" w:eastAsia="Cambria" w:hAnsi="Century Gothic" w:cs="Calibri"/>
          <w:color w:val="215868"/>
        </w:rPr>
        <w:t>.</w:t>
      </w:r>
    </w:p>
    <w:p w14:paraId="0ED6CBE4" w14:textId="77777777" w:rsidR="00492EB5" w:rsidRPr="00853DF2" w:rsidRDefault="00492EB5" w:rsidP="00492EB5">
      <w:pPr>
        <w:autoSpaceDE w:val="0"/>
        <w:autoSpaceDN w:val="0"/>
        <w:adjustRightInd w:val="0"/>
        <w:ind w:firstLine="708"/>
        <w:jc w:val="both"/>
        <w:rPr>
          <w:rFonts w:ascii="Century Gothic" w:eastAsia="Cambria" w:hAnsi="Century Gothic" w:cs="Calibri"/>
          <w:color w:val="215868"/>
        </w:rPr>
      </w:pPr>
      <w:r w:rsidRPr="00853DF2">
        <w:rPr>
          <w:rFonts w:ascii="Century Gothic" w:eastAsia="Cambria" w:hAnsi="Century Gothic" w:cs="Calibri"/>
          <w:b/>
          <w:color w:val="215868"/>
        </w:rPr>
        <w:lastRenderedPageBreak/>
        <w:t>V.</w:t>
      </w:r>
      <w:r w:rsidRPr="00853DF2">
        <w:rPr>
          <w:rFonts w:ascii="Century Gothic" w:eastAsia="Cambria" w:hAnsi="Century Gothic" w:cs="Calibri"/>
          <w:color w:val="215868"/>
        </w:rPr>
        <w:t xml:space="preserve"> </w:t>
      </w:r>
      <w:r w:rsidRPr="00DC1E3F">
        <w:rPr>
          <w:rFonts w:ascii="Century Gothic" w:eastAsia="Cambria" w:hAnsi="Century Gothic" w:cs="Calibri"/>
          <w:b/>
          <w:color w:val="215868"/>
        </w:rPr>
        <w:t>Ingresos</w:t>
      </w:r>
      <w:r>
        <w:rPr>
          <w:rFonts w:ascii="Century Gothic" w:eastAsia="Cambria" w:hAnsi="Century Gothic" w:cs="Calibri"/>
          <w:b/>
          <w:color w:val="215868"/>
        </w:rPr>
        <w:t xml:space="preserve"> </w:t>
      </w:r>
      <w:r w:rsidRPr="00DC1E3F">
        <w:rPr>
          <w:rFonts w:ascii="Century Gothic" w:eastAsia="Cambria" w:hAnsi="Century Gothic" w:cs="Calibri"/>
          <w:b/>
          <w:color w:val="215868"/>
        </w:rPr>
        <w:t>Propios</w:t>
      </w:r>
      <w:r>
        <w:rPr>
          <w:rFonts w:ascii="Century Gothic" w:eastAsia="Cambria" w:hAnsi="Century Gothic" w:cs="Calibri"/>
          <w:color w:val="215868"/>
        </w:rPr>
        <w:t>:</w:t>
      </w:r>
      <w:r w:rsidRPr="00853DF2">
        <w:rPr>
          <w:rFonts w:ascii="Century Gothic" w:eastAsia="Cambria" w:hAnsi="Century Gothic" w:cs="Calibri"/>
          <w:color w:val="215868"/>
        </w:rPr>
        <w:t xml:space="preserve"> </w:t>
      </w:r>
      <w:r>
        <w:rPr>
          <w:rFonts w:ascii="Century Gothic" w:eastAsia="Cambria" w:hAnsi="Century Gothic" w:cs="Calibri"/>
          <w:color w:val="215868"/>
        </w:rPr>
        <w:t xml:space="preserve">Los importes en efectivo y/o </w:t>
      </w:r>
      <w:r w:rsidRPr="00853DF2">
        <w:rPr>
          <w:rFonts w:ascii="Century Gothic" w:eastAsia="Cambria" w:hAnsi="Century Gothic" w:cs="Calibri"/>
          <w:color w:val="215868"/>
        </w:rPr>
        <w:t>los recursos que p</w:t>
      </w:r>
      <w:r>
        <w:rPr>
          <w:rFonts w:ascii="Century Gothic" w:eastAsia="Cambria" w:hAnsi="Century Gothic" w:cs="Calibri"/>
          <w:color w:val="215868"/>
        </w:rPr>
        <w:t xml:space="preserve">or cualquier concepto obtenga la entidad, </w:t>
      </w:r>
      <w:r w:rsidRPr="00853DF2">
        <w:rPr>
          <w:rFonts w:ascii="Century Gothic" w:eastAsia="Cambria" w:hAnsi="Century Gothic" w:cs="Calibri"/>
          <w:color w:val="215868"/>
        </w:rPr>
        <w:t>distintos a los subsidios y transferencias</w:t>
      </w:r>
      <w:r>
        <w:rPr>
          <w:rFonts w:ascii="Century Gothic" w:eastAsia="Cambria" w:hAnsi="Century Gothic" w:cs="Calibri"/>
          <w:color w:val="215868"/>
        </w:rPr>
        <w:t xml:space="preserve"> recibidos de la Secretaría de Finanzas, Inversión y Administración</w:t>
      </w:r>
      <w:r w:rsidRPr="00853DF2">
        <w:rPr>
          <w:rFonts w:ascii="Century Gothic" w:eastAsia="Cambria" w:hAnsi="Century Gothic" w:cs="Calibri"/>
          <w:color w:val="215868"/>
        </w:rPr>
        <w:t xml:space="preserve">, </w:t>
      </w:r>
    </w:p>
    <w:p w14:paraId="6158B3A1" w14:textId="77777777" w:rsidR="00492EB5" w:rsidRPr="00C6199C" w:rsidRDefault="00492EB5" w:rsidP="00492EB5">
      <w:pPr>
        <w:autoSpaceDE w:val="0"/>
        <w:autoSpaceDN w:val="0"/>
        <w:adjustRightInd w:val="0"/>
        <w:ind w:firstLine="708"/>
        <w:jc w:val="both"/>
        <w:rPr>
          <w:rFonts w:ascii="Century Gothic" w:eastAsia="Cambria" w:hAnsi="Century Gothic" w:cs="Calibri"/>
          <w:color w:val="215868"/>
        </w:rPr>
      </w:pPr>
      <w:r w:rsidRPr="00C6199C">
        <w:rPr>
          <w:rFonts w:ascii="Century Gothic" w:eastAsia="Cambria" w:hAnsi="Century Gothic" w:cs="Calibri"/>
          <w:b/>
          <w:color w:val="215868"/>
        </w:rPr>
        <w:t>VIII.</w:t>
      </w:r>
      <w:r w:rsidRPr="00C6199C">
        <w:rPr>
          <w:rFonts w:ascii="Century Gothic" w:eastAsia="Cambria" w:hAnsi="Century Gothic" w:cs="Calibri"/>
          <w:color w:val="215868"/>
        </w:rPr>
        <w:t xml:space="preserve"> </w:t>
      </w:r>
      <w:r w:rsidRPr="00C6199C">
        <w:rPr>
          <w:rFonts w:ascii="Century Gothic" w:eastAsia="Cambria" w:hAnsi="Century Gothic" w:cs="Calibri"/>
          <w:b/>
          <w:color w:val="215868"/>
        </w:rPr>
        <w:t>Consejo Directivo</w:t>
      </w:r>
      <w:r w:rsidRPr="00C6199C">
        <w:rPr>
          <w:rFonts w:ascii="Century Gothic" w:eastAsia="Cambria" w:hAnsi="Century Gothic" w:cs="Calibri"/>
          <w:color w:val="215868"/>
        </w:rPr>
        <w:t>: Es el órgano</w:t>
      </w:r>
      <w:r>
        <w:rPr>
          <w:rFonts w:ascii="Century Gothic" w:eastAsia="Cambria" w:hAnsi="Century Gothic" w:cs="Calibri"/>
          <w:color w:val="215868"/>
        </w:rPr>
        <w:t xml:space="preserve"> de Gobierno y máxima autoridad </w:t>
      </w:r>
      <w:r w:rsidRPr="00C6199C">
        <w:rPr>
          <w:rFonts w:ascii="Century Gothic" w:eastAsia="Cambria" w:hAnsi="Century Gothic" w:cs="Calibri"/>
          <w:color w:val="215868"/>
        </w:rPr>
        <w:t xml:space="preserve">de </w:t>
      </w:r>
      <w:r>
        <w:rPr>
          <w:rFonts w:ascii="Century Gothic" w:eastAsia="Cambria" w:hAnsi="Century Gothic" w:cs="Calibri"/>
          <w:color w:val="215868"/>
        </w:rPr>
        <w:t xml:space="preserve">la </w:t>
      </w:r>
      <w:r w:rsidR="00531D0B" w:rsidRPr="00C6199C">
        <w:rPr>
          <w:rFonts w:ascii="Century Gothic" w:eastAsia="Cambria" w:hAnsi="Century Gothic" w:cs="Calibri"/>
          <w:color w:val="215868"/>
        </w:rPr>
        <w:t>entidad</w:t>
      </w:r>
      <w:r w:rsidR="00531D0B">
        <w:rPr>
          <w:rFonts w:ascii="Century Gothic" w:eastAsia="Cambria" w:hAnsi="Century Gothic" w:cs="Calibri"/>
          <w:color w:val="215868"/>
        </w:rPr>
        <w:t>.</w:t>
      </w:r>
    </w:p>
    <w:p w14:paraId="22F02479" w14:textId="77777777" w:rsidR="00492EB5" w:rsidRDefault="00492EB5" w:rsidP="00492EB5">
      <w:pPr>
        <w:autoSpaceDE w:val="0"/>
        <w:autoSpaceDN w:val="0"/>
        <w:adjustRightInd w:val="0"/>
        <w:ind w:firstLine="708"/>
        <w:jc w:val="both"/>
        <w:rPr>
          <w:rFonts w:ascii="Century Gothic" w:eastAsia="Cambria" w:hAnsi="Century Gothic" w:cs="Calibri"/>
          <w:color w:val="215868"/>
        </w:rPr>
      </w:pPr>
      <w:r w:rsidRPr="00C6199C">
        <w:rPr>
          <w:rFonts w:ascii="Century Gothic" w:eastAsia="Cambria" w:hAnsi="Century Gothic" w:cs="Calibri"/>
          <w:b/>
          <w:color w:val="215868"/>
        </w:rPr>
        <w:t>IX.</w:t>
      </w:r>
      <w:r w:rsidRPr="00C6199C">
        <w:rPr>
          <w:rFonts w:ascii="Century Gothic" w:eastAsia="Cambria" w:hAnsi="Century Gothic" w:cs="Calibri"/>
          <w:color w:val="215868"/>
        </w:rPr>
        <w:t xml:space="preserve"> </w:t>
      </w:r>
      <w:r w:rsidRPr="00C6199C">
        <w:rPr>
          <w:rFonts w:ascii="Century Gothic" w:eastAsia="Cambria" w:hAnsi="Century Gothic" w:cs="Calibri"/>
          <w:b/>
          <w:color w:val="215868"/>
        </w:rPr>
        <w:t>Licenciamiento:</w:t>
      </w:r>
      <w:r>
        <w:rPr>
          <w:rFonts w:ascii="Century Gothic" w:eastAsia="Cambria" w:hAnsi="Century Gothic" w:cs="Calibri"/>
          <w:color w:val="215868"/>
        </w:rPr>
        <w:t xml:space="preserve"> </w:t>
      </w:r>
      <w:r w:rsidRPr="00853DF2">
        <w:rPr>
          <w:rFonts w:ascii="Century Gothic" w:eastAsia="Cambria" w:hAnsi="Century Gothic" w:cs="Calibri"/>
          <w:color w:val="215868"/>
        </w:rPr>
        <w:t>contrato mediante el cual una persona física o moral, cede a otra el derecho de</w:t>
      </w:r>
      <w:r>
        <w:rPr>
          <w:rFonts w:ascii="Century Gothic" w:eastAsia="Cambria" w:hAnsi="Century Gothic" w:cs="Calibri"/>
          <w:color w:val="215868"/>
        </w:rPr>
        <w:t xml:space="preserve"> </w:t>
      </w:r>
      <w:r w:rsidRPr="00853DF2">
        <w:rPr>
          <w:rFonts w:ascii="Century Gothic" w:eastAsia="Cambria" w:hAnsi="Century Gothic" w:cs="Calibri"/>
          <w:color w:val="215868"/>
        </w:rPr>
        <w:t>uso de uno o varios de sus bienes, normalmente de carácter no tangible o intelectual,</w:t>
      </w:r>
      <w:r>
        <w:rPr>
          <w:rFonts w:ascii="Century Gothic" w:eastAsia="Cambria" w:hAnsi="Century Gothic" w:cs="Calibri"/>
          <w:color w:val="215868"/>
        </w:rPr>
        <w:t xml:space="preserve"> </w:t>
      </w:r>
      <w:r w:rsidRPr="00853DF2">
        <w:rPr>
          <w:rFonts w:ascii="Century Gothic" w:eastAsia="Cambria" w:hAnsi="Century Gothic" w:cs="Calibri"/>
          <w:color w:val="215868"/>
        </w:rPr>
        <w:t>pudiendo recibir a cambio el pago de un monto determinado por dicho uso.</w:t>
      </w:r>
    </w:p>
    <w:p w14:paraId="71B3E888" w14:textId="77777777" w:rsidR="00492EB5" w:rsidRDefault="00492EB5" w:rsidP="00492EB5">
      <w:pPr>
        <w:autoSpaceDE w:val="0"/>
        <w:autoSpaceDN w:val="0"/>
        <w:adjustRightInd w:val="0"/>
        <w:jc w:val="both"/>
        <w:rPr>
          <w:rFonts w:ascii="Century Gothic" w:eastAsia="Cambria" w:hAnsi="Century Gothic" w:cs="Calibri"/>
          <w:b/>
          <w:color w:val="215868"/>
        </w:rPr>
      </w:pPr>
    </w:p>
    <w:p w14:paraId="1DEC9A8D" w14:textId="77777777" w:rsidR="00492EB5" w:rsidRDefault="00492EB5" w:rsidP="00A95ADF">
      <w:pPr>
        <w:pStyle w:val="Prrafodelista"/>
        <w:numPr>
          <w:ilvl w:val="0"/>
          <w:numId w:val="50"/>
        </w:numPr>
        <w:spacing w:after="0" w:line="240" w:lineRule="auto"/>
        <w:contextualSpacing w:val="0"/>
        <w:rPr>
          <w:rFonts w:ascii="Century Gothic" w:eastAsia="Cambria" w:hAnsi="Century Gothic" w:cs="Calibri"/>
          <w:b/>
          <w:color w:val="215868"/>
        </w:rPr>
      </w:pPr>
      <w:r w:rsidRPr="008974C4">
        <w:rPr>
          <w:rFonts w:ascii="Century Gothic" w:eastAsia="Cambria" w:hAnsi="Century Gothic" w:cs="Calibri"/>
          <w:b/>
          <w:color w:val="215868"/>
        </w:rPr>
        <w:t>DE LA CAP</w:t>
      </w:r>
      <w:r>
        <w:rPr>
          <w:rFonts w:ascii="Century Gothic" w:eastAsia="Cambria" w:hAnsi="Century Gothic" w:cs="Calibri"/>
          <w:b/>
          <w:color w:val="215868"/>
        </w:rPr>
        <w:t xml:space="preserve">TACION DE LOS RECURSOS PROPIOS </w:t>
      </w:r>
    </w:p>
    <w:p w14:paraId="18F1D17E" w14:textId="77777777" w:rsidR="00492EB5" w:rsidRPr="008974C4" w:rsidRDefault="00492EB5" w:rsidP="00492EB5">
      <w:pPr>
        <w:pStyle w:val="Prrafodelista"/>
        <w:ind w:left="1146"/>
        <w:rPr>
          <w:rFonts w:ascii="Century Gothic" w:eastAsia="Cambria" w:hAnsi="Century Gothic" w:cs="Calibri"/>
          <w:b/>
          <w:color w:val="215868"/>
        </w:rPr>
      </w:pPr>
    </w:p>
    <w:p w14:paraId="0FFE8014"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3</w:t>
      </w:r>
      <w:r w:rsidRPr="008974C4">
        <w:rPr>
          <w:rFonts w:ascii="Century Gothic" w:eastAsia="Cambria" w:hAnsi="Century Gothic" w:cs="Calibri"/>
          <w:color w:val="215868"/>
        </w:rPr>
        <w:t xml:space="preserve"> </w:t>
      </w:r>
      <w:r w:rsidRPr="00B861F6">
        <w:rPr>
          <w:rFonts w:ascii="Century Gothic" w:eastAsia="Cambria" w:hAnsi="Century Gothic" w:cs="Calibri"/>
          <w:color w:val="215868"/>
        </w:rPr>
        <w:t>Corresponde a cualquiera de las áreas</w:t>
      </w:r>
      <w:r>
        <w:rPr>
          <w:rFonts w:ascii="Century Gothic" w:eastAsia="Cambria" w:hAnsi="Century Gothic" w:cs="Calibri"/>
          <w:color w:val="215868"/>
        </w:rPr>
        <w:t xml:space="preserve"> estratégicas</w:t>
      </w:r>
      <w:r w:rsidRPr="00B861F6">
        <w:rPr>
          <w:rFonts w:ascii="Century Gothic" w:eastAsia="Cambria" w:hAnsi="Century Gothic" w:cs="Calibri"/>
          <w:color w:val="215868"/>
        </w:rPr>
        <w:t xml:space="preserve"> y/o áreas operativas de</w:t>
      </w:r>
      <w:r>
        <w:rPr>
          <w:rFonts w:ascii="Century Gothic" w:eastAsia="Cambria" w:hAnsi="Century Gothic" w:cs="Calibri"/>
          <w:color w:val="215868"/>
        </w:rPr>
        <w:t xml:space="preserve"> </w:t>
      </w:r>
      <w:r w:rsidRPr="00B861F6">
        <w:rPr>
          <w:rFonts w:ascii="Century Gothic" w:eastAsia="Cambria" w:hAnsi="Century Gothic" w:cs="Calibri"/>
          <w:color w:val="215868"/>
        </w:rPr>
        <w:t>l</w:t>
      </w:r>
      <w:r>
        <w:rPr>
          <w:rFonts w:ascii="Century Gothic" w:eastAsia="Cambria" w:hAnsi="Century Gothic" w:cs="Calibri"/>
          <w:color w:val="215868"/>
        </w:rPr>
        <w:t>a</w:t>
      </w:r>
      <w:r w:rsidRPr="00B861F6">
        <w:rPr>
          <w:rFonts w:ascii="Century Gothic" w:eastAsia="Cambria" w:hAnsi="Century Gothic" w:cs="Calibri"/>
          <w:color w:val="215868"/>
        </w:rPr>
        <w:t xml:space="preserve"> </w:t>
      </w:r>
      <w:r>
        <w:rPr>
          <w:rFonts w:ascii="Century Gothic" w:eastAsia="Cambria" w:hAnsi="Century Gothic" w:cs="Calibri"/>
          <w:color w:val="215868"/>
        </w:rPr>
        <w:t xml:space="preserve">entidad, </w:t>
      </w:r>
      <w:r w:rsidRPr="00B861F6">
        <w:rPr>
          <w:rFonts w:ascii="Century Gothic" w:eastAsia="Cambria" w:hAnsi="Century Gothic" w:cs="Calibri"/>
          <w:color w:val="215868"/>
        </w:rPr>
        <w:t xml:space="preserve">contribuir a la obtención de </w:t>
      </w:r>
      <w:r>
        <w:rPr>
          <w:rFonts w:ascii="Century Gothic" w:eastAsia="Cambria" w:hAnsi="Century Gothic" w:cs="Calibri"/>
          <w:color w:val="215868"/>
        </w:rPr>
        <w:t xml:space="preserve">Ingresos y/o </w:t>
      </w:r>
      <w:r w:rsidRPr="00B861F6">
        <w:rPr>
          <w:rFonts w:ascii="Century Gothic" w:eastAsia="Cambria" w:hAnsi="Century Gothic" w:cs="Calibri"/>
          <w:color w:val="215868"/>
        </w:rPr>
        <w:t xml:space="preserve">Recursos </w:t>
      </w:r>
      <w:r>
        <w:rPr>
          <w:rFonts w:ascii="Century Gothic" w:eastAsia="Cambria" w:hAnsi="Century Gothic" w:cs="Calibri"/>
          <w:color w:val="215868"/>
        </w:rPr>
        <w:t>Propios a l</w:t>
      </w:r>
      <w:r w:rsidRPr="00B861F6">
        <w:rPr>
          <w:rFonts w:ascii="Century Gothic" w:eastAsia="Cambria" w:hAnsi="Century Gothic" w:cs="Calibri"/>
          <w:color w:val="215868"/>
        </w:rPr>
        <w:t xml:space="preserve">os </w:t>
      </w:r>
      <w:r>
        <w:rPr>
          <w:rFonts w:ascii="Century Gothic" w:eastAsia="Cambria" w:hAnsi="Century Gothic" w:cs="Calibri"/>
          <w:color w:val="215868"/>
        </w:rPr>
        <w:t>que refieren esta disposición</w:t>
      </w:r>
      <w:r w:rsidRPr="00B861F6">
        <w:rPr>
          <w:rFonts w:ascii="Century Gothic" w:eastAsia="Cambria" w:hAnsi="Century Gothic" w:cs="Calibri"/>
          <w:color w:val="215868"/>
        </w:rPr>
        <w:t>.</w:t>
      </w:r>
    </w:p>
    <w:p w14:paraId="318446AC" w14:textId="77777777" w:rsidR="00492EB5" w:rsidRPr="00B861F6" w:rsidRDefault="00492EB5" w:rsidP="00492EB5">
      <w:pPr>
        <w:autoSpaceDE w:val="0"/>
        <w:autoSpaceDN w:val="0"/>
        <w:adjustRightInd w:val="0"/>
        <w:jc w:val="both"/>
        <w:rPr>
          <w:rFonts w:ascii="Century Gothic" w:eastAsia="Cambria" w:hAnsi="Century Gothic" w:cs="Calibri"/>
          <w:color w:val="215868"/>
        </w:rPr>
      </w:pPr>
    </w:p>
    <w:p w14:paraId="3A98124C"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4</w:t>
      </w:r>
      <w:r w:rsidRPr="008974C4">
        <w:rPr>
          <w:rFonts w:ascii="Century Gothic" w:eastAsia="Cambria" w:hAnsi="Century Gothic" w:cs="Calibri"/>
          <w:color w:val="215868"/>
        </w:rPr>
        <w:t xml:space="preserve"> </w:t>
      </w:r>
      <w:r>
        <w:rPr>
          <w:rFonts w:ascii="Century Gothic" w:eastAsia="Cambria" w:hAnsi="Century Gothic" w:cs="Calibri"/>
          <w:color w:val="215868"/>
        </w:rPr>
        <w:t>El patrimonio</w:t>
      </w:r>
      <w:r w:rsidRPr="00B861F6">
        <w:rPr>
          <w:rFonts w:ascii="Century Gothic" w:eastAsia="Cambria" w:hAnsi="Century Gothic" w:cs="Calibri"/>
          <w:color w:val="215868"/>
        </w:rPr>
        <w:t xml:space="preserve"> </w:t>
      </w:r>
      <w:r>
        <w:rPr>
          <w:rFonts w:ascii="Century Gothic" w:eastAsia="Cambria" w:hAnsi="Century Gothic" w:cs="Calibri"/>
          <w:color w:val="215868"/>
        </w:rPr>
        <w:t xml:space="preserve">de la entidad se integra por los siguientes rubros, mismos que pueden </w:t>
      </w:r>
      <w:r w:rsidRPr="00B861F6">
        <w:rPr>
          <w:rFonts w:ascii="Century Gothic" w:eastAsia="Cambria" w:hAnsi="Century Gothic" w:cs="Calibri"/>
          <w:color w:val="215868"/>
        </w:rPr>
        <w:t xml:space="preserve">ser recibidos en cualquier momento del </w:t>
      </w:r>
      <w:r>
        <w:rPr>
          <w:rFonts w:ascii="Century Gothic" w:eastAsia="Cambria" w:hAnsi="Century Gothic" w:cs="Calibri"/>
          <w:color w:val="215868"/>
        </w:rPr>
        <w:t>ejercicio fiscal y serán destinados</w:t>
      </w:r>
      <w:r w:rsidRPr="00B861F6">
        <w:rPr>
          <w:rFonts w:ascii="Century Gothic" w:eastAsia="Cambria" w:hAnsi="Century Gothic" w:cs="Calibri"/>
          <w:color w:val="215868"/>
        </w:rPr>
        <w:t xml:space="preserve"> </w:t>
      </w:r>
      <w:r>
        <w:rPr>
          <w:rFonts w:ascii="Century Gothic" w:eastAsia="Cambria" w:hAnsi="Century Gothic" w:cs="Calibri"/>
          <w:color w:val="215868"/>
        </w:rPr>
        <w:t xml:space="preserve">a </w:t>
      </w:r>
      <w:r w:rsidRPr="00B861F6">
        <w:rPr>
          <w:rFonts w:ascii="Century Gothic" w:eastAsia="Cambria" w:hAnsi="Century Gothic" w:cs="Calibri"/>
          <w:color w:val="215868"/>
        </w:rPr>
        <w:t xml:space="preserve">cubrir </w:t>
      </w:r>
      <w:r>
        <w:rPr>
          <w:rFonts w:ascii="Century Gothic" w:eastAsia="Cambria" w:hAnsi="Century Gothic" w:cs="Calibri"/>
          <w:color w:val="215868"/>
        </w:rPr>
        <w:t>l</w:t>
      </w:r>
      <w:r w:rsidRPr="00B861F6">
        <w:rPr>
          <w:rFonts w:ascii="Century Gothic" w:eastAsia="Cambria" w:hAnsi="Century Gothic" w:cs="Calibri"/>
          <w:color w:val="215868"/>
        </w:rPr>
        <w:t xml:space="preserve">as necesidades del </w:t>
      </w:r>
      <w:r>
        <w:rPr>
          <w:rFonts w:ascii="Century Gothic" w:eastAsia="Cambria" w:hAnsi="Century Gothic" w:cs="Calibri"/>
          <w:color w:val="215868"/>
        </w:rPr>
        <w:t>Organismo siendo</w:t>
      </w:r>
      <w:r w:rsidRPr="00F50E0B">
        <w:rPr>
          <w:rFonts w:ascii="Century Gothic" w:eastAsia="Cambria" w:hAnsi="Century Gothic" w:cs="Calibri"/>
          <w:color w:val="215868"/>
        </w:rPr>
        <w:t xml:space="preserve"> aplicados en proyectos relacionados directamente con su objeto</w:t>
      </w:r>
      <w:r w:rsidRPr="00B33589">
        <w:rPr>
          <w:rFonts w:ascii="Century Gothic" w:eastAsia="Cambria" w:hAnsi="Century Gothic" w:cs="Calibri"/>
          <w:color w:val="215868"/>
          <w:sz w:val="20"/>
        </w:rPr>
        <w:t xml:space="preserve"> (ver Cap. III</w:t>
      </w:r>
      <w:r>
        <w:rPr>
          <w:rFonts w:ascii="Century Gothic" w:eastAsia="Cambria" w:hAnsi="Century Gothic" w:cs="Calibri"/>
          <w:color w:val="215868"/>
          <w:sz w:val="20"/>
        </w:rPr>
        <w:t xml:space="preserve"> </w:t>
      </w:r>
      <w:r w:rsidRPr="00A67B33">
        <w:rPr>
          <w:rFonts w:ascii="Century Gothic" w:eastAsia="Cambria" w:hAnsi="Century Gothic" w:cs="Calibri"/>
          <w:color w:val="215868"/>
          <w:sz w:val="20"/>
        </w:rPr>
        <w:t>DE LA ADMINISTRACIÓN, APLICACIÓN Y EJERCICIO DE LOS RECURSOS PROPIOS</w:t>
      </w:r>
      <w:r w:rsidRPr="00B33589">
        <w:rPr>
          <w:rFonts w:ascii="Century Gothic" w:eastAsia="Cambria" w:hAnsi="Century Gothic" w:cs="Calibri"/>
          <w:color w:val="215868"/>
          <w:sz w:val="20"/>
        </w:rPr>
        <w:t>)</w:t>
      </w:r>
      <w:r>
        <w:rPr>
          <w:rFonts w:ascii="Century Gothic" w:eastAsia="Cambria" w:hAnsi="Century Gothic" w:cs="Calibri"/>
          <w:color w:val="215868"/>
        </w:rPr>
        <w:t>:</w:t>
      </w:r>
    </w:p>
    <w:p w14:paraId="7702B0F8" w14:textId="77777777" w:rsidR="00492EB5" w:rsidRPr="00464C32" w:rsidRDefault="00492EB5" w:rsidP="00A95ADF">
      <w:pPr>
        <w:numPr>
          <w:ilvl w:val="0"/>
          <w:numId w:val="41"/>
        </w:numPr>
        <w:autoSpaceDE w:val="0"/>
        <w:autoSpaceDN w:val="0"/>
        <w:adjustRightInd w:val="0"/>
        <w:spacing w:after="0" w:line="240" w:lineRule="auto"/>
        <w:jc w:val="both"/>
        <w:rPr>
          <w:rFonts w:ascii="Century Gothic" w:eastAsia="Cambria" w:hAnsi="Century Gothic" w:cs="Calibri"/>
          <w:color w:val="215868"/>
        </w:rPr>
      </w:pPr>
      <w:r w:rsidRPr="00464C32">
        <w:rPr>
          <w:rFonts w:ascii="Century Gothic" w:eastAsia="Cambria" w:hAnsi="Century Gothic" w:cs="Calibri"/>
          <w:color w:val="215868"/>
        </w:rPr>
        <w:t>Los recursos que en su favor se establezcan en el presupuesto general de egresos del Estado;</w:t>
      </w:r>
    </w:p>
    <w:p w14:paraId="3D4BFF3F" w14:textId="77777777" w:rsidR="00492EB5" w:rsidRPr="00464C32" w:rsidRDefault="00492EB5" w:rsidP="00A95ADF">
      <w:pPr>
        <w:numPr>
          <w:ilvl w:val="0"/>
          <w:numId w:val="41"/>
        </w:numPr>
        <w:autoSpaceDE w:val="0"/>
        <w:autoSpaceDN w:val="0"/>
        <w:adjustRightInd w:val="0"/>
        <w:spacing w:after="0" w:line="240" w:lineRule="auto"/>
        <w:jc w:val="both"/>
        <w:rPr>
          <w:rFonts w:ascii="Century Gothic" w:eastAsia="Cambria" w:hAnsi="Century Gothic" w:cs="Calibri"/>
          <w:color w:val="215868"/>
        </w:rPr>
      </w:pPr>
      <w:r w:rsidRPr="00464C32">
        <w:rPr>
          <w:rFonts w:ascii="Century Gothic" w:eastAsia="Cambria" w:hAnsi="Century Gothic" w:cs="Calibri"/>
          <w:color w:val="215868"/>
        </w:rPr>
        <w:t>Las aportaciones, herencias, donaciones, legados y demás recursos en dinero o en especie,</w:t>
      </w:r>
      <w:r>
        <w:rPr>
          <w:rFonts w:ascii="Century Gothic" w:eastAsia="Cambria" w:hAnsi="Century Gothic" w:cs="Calibri"/>
          <w:color w:val="215868"/>
        </w:rPr>
        <w:t xml:space="preserve"> </w:t>
      </w:r>
      <w:r w:rsidRPr="00464C32">
        <w:rPr>
          <w:rFonts w:ascii="Century Gothic" w:eastAsia="Cambria" w:hAnsi="Century Gothic" w:cs="Calibri"/>
          <w:color w:val="215868"/>
        </w:rPr>
        <w:t>que reciba de personas físicas o morales por cualquier título legal;</w:t>
      </w:r>
    </w:p>
    <w:p w14:paraId="278BF61F" w14:textId="77777777" w:rsidR="00492EB5" w:rsidRPr="00464C32" w:rsidRDefault="00492EB5" w:rsidP="00A95ADF">
      <w:pPr>
        <w:numPr>
          <w:ilvl w:val="0"/>
          <w:numId w:val="41"/>
        </w:numPr>
        <w:autoSpaceDE w:val="0"/>
        <w:autoSpaceDN w:val="0"/>
        <w:adjustRightInd w:val="0"/>
        <w:spacing w:after="0" w:line="240" w:lineRule="auto"/>
        <w:jc w:val="both"/>
        <w:rPr>
          <w:rFonts w:ascii="Century Gothic" w:eastAsia="Cambria" w:hAnsi="Century Gothic" w:cs="Calibri"/>
          <w:color w:val="215868"/>
        </w:rPr>
      </w:pPr>
      <w:r w:rsidRPr="00464C32">
        <w:rPr>
          <w:rFonts w:ascii="Century Gothic" w:eastAsia="Cambria" w:hAnsi="Century Gothic" w:cs="Calibri"/>
          <w:color w:val="215868"/>
        </w:rPr>
        <w:t>Las aportaciones y subsidios que a su favor hagan la Federación y demás dependencias,</w:t>
      </w:r>
      <w:r>
        <w:rPr>
          <w:rFonts w:ascii="Century Gothic" w:eastAsia="Cambria" w:hAnsi="Century Gothic" w:cs="Calibri"/>
          <w:color w:val="215868"/>
        </w:rPr>
        <w:t xml:space="preserve"> </w:t>
      </w:r>
      <w:r w:rsidRPr="00464C32">
        <w:rPr>
          <w:rFonts w:ascii="Century Gothic" w:eastAsia="Cambria" w:hAnsi="Century Gothic" w:cs="Calibri"/>
          <w:color w:val="215868"/>
        </w:rPr>
        <w:t>entidades u organismos públicos o privados, nacionales y extranjeros;</w:t>
      </w:r>
    </w:p>
    <w:p w14:paraId="3F6DBBC2" w14:textId="77777777" w:rsidR="00492EB5" w:rsidRPr="00F50E0B" w:rsidRDefault="00492EB5" w:rsidP="00A95ADF">
      <w:pPr>
        <w:numPr>
          <w:ilvl w:val="0"/>
          <w:numId w:val="41"/>
        </w:numPr>
        <w:autoSpaceDE w:val="0"/>
        <w:autoSpaceDN w:val="0"/>
        <w:adjustRightInd w:val="0"/>
        <w:spacing w:after="0" w:line="240" w:lineRule="auto"/>
        <w:jc w:val="both"/>
        <w:rPr>
          <w:rFonts w:ascii="Century Gothic" w:eastAsia="Cambria" w:hAnsi="Century Gothic" w:cs="Calibri"/>
          <w:color w:val="215868"/>
        </w:rPr>
      </w:pPr>
      <w:r w:rsidRPr="00F50E0B">
        <w:rPr>
          <w:rFonts w:ascii="Century Gothic" w:eastAsia="Cambria" w:hAnsi="Century Gothic" w:cs="Calibri"/>
          <w:color w:val="215868"/>
        </w:rPr>
        <w:t>Los ingresos propios que genere el organismo, ya sea por la prestación de sus servicios y la comercialización de productos y derechos de propiedad intelectual, así como por las comisiones que se originen de las ventas de productos y servicios de aquellas empresas que así lo acuerden</w:t>
      </w:r>
    </w:p>
    <w:p w14:paraId="6FC8D9AA" w14:textId="77777777" w:rsidR="00492EB5" w:rsidRPr="00464C32" w:rsidRDefault="00492EB5" w:rsidP="00A95ADF">
      <w:pPr>
        <w:numPr>
          <w:ilvl w:val="0"/>
          <w:numId w:val="41"/>
        </w:numPr>
        <w:autoSpaceDE w:val="0"/>
        <w:autoSpaceDN w:val="0"/>
        <w:adjustRightInd w:val="0"/>
        <w:spacing w:after="0" w:line="240" w:lineRule="auto"/>
        <w:jc w:val="both"/>
        <w:rPr>
          <w:rFonts w:ascii="Century Gothic" w:eastAsia="Cambria" w:hAnsi="Century Gothic" w:cs="Calibri"/>
          <w:color w:val="215868"/>
        </w:rPr>
      </w:pPr>
      <w:r w:rsidRPr="00464C32">
        <w:rPr>
          <w:rFonts w:ascii="Century Gothic" w:eastAsia="Cambria" w:hAnsi="Century Gothic" w:cs="Calibri"/>
          <w:color w:val="215868"/>
        </w:rPr>
        <w:t>Los dividendos obtenidos p</w:t>
      </w:r>
      <w:r>
        <w:rPr>
          <w:rFonts w:ascii="Century Gothic" w:eastAsia="Cambria" w:hAnsi="Century Gothic" w:cs="Calibri"/>
          <w:color w:val="215868"/>
        </w:rPr>
        <w:t>or su participación en empresas;</w:t>
      </w:r>
    </w:p>
    <w:p w14:paraId="075346F2" w14:textId="77777777" w:rsidR="00492EB5" w:rsidRPr="00F50E0B" w:rsidRDefault="00492EB5" w:rsidP="00A95ADF">
      <w:pPr>
        <w:numPr>
          <w:ilvl w:val="0"/>
          <w:numId w:val="41"/>
        </w:numPr>
        <w:autoSpaceDE w:val="0"/>
        <w:autoSpaceDN w:val="0"/>
        <w:adjustRightInd w:val="0"/>
        <w:spacing w:after="0" w:line="240" w:lineRule="auto"/>
        <w:jc w:val="both"/>
        <w:rPr>
          <w:rFonts w:ascii="Century Gothic" w:eastAsia="Cambria" w:hAnsi="Century Gothic" w:cs="Calibri"/>
          <w:color w:val="215868"/>
        </w:rPr>
      </w:pPr>
      <w:r w:rsidRPr="00464C32">
        <w:rPr>
          <w:rFonts w:ascii="Century Gothic" w:eastAsia="Cambria" w:hAnsi="Century Gothic" w:cs="Calibri"/>
          <w:color w:val="215868"/>
        </w:rPr>
        <w:lastRenderedPageBreak/>
        <w:t>Los rendimientos o productos financieros, recuperaciones, bienes, derechos y demás ingresos</w:t>
      </w:r>
      <w:r>
        <w:rPr>
          <w:rFonts w:ascii="Century Gothic" w:eastAsia="Cambria" w:hAnsi="Century Gothic" w:cs="Calibri"/>
          <w:color w:val="215868"/>
        </w:rPr>
        <w:t xml:space="preserve"> </w:t>
      </w:r>
      <w:r w:rsidRPr="00464C32">
        <w:rPr>
          <w:rFonts w:ascii="Century Gothic" w:eastAsia="Cambria" w:hAnsi="Century Gothic" w:cs="Calibri"/>
          <w:color w:val="215868"/>
        </w:rPr>
        <w:t xml:space="preserve">que le generen sus inversiones en bancos y demás operaciones; </w:t>
      </w:r>
      <w:r>
        <w:rPr>
          <w:rFonts w:ascii="Century Gothic" w:eastAsia="Cambria" w:hAnsi="Century Gothic" w:cs="Calibri"/>
          <w:color w:val="215868"/>
        </w:rPr>
        <w:t>y</w:t>
      </w:r>
    </w:p>
    <w:p w14:paraId="20D572E1" w14:textId="77777777" w:rsidR="00492EB5" w:rsidRDefault="00492EB5" w:rsidP="00A95ADF">
      <w:pPr>
        <w:numPr>
          <w:ilvl w:val="0"/>
          <w:numId w:val="41"/>
        </w:numPr>
        <w:autoSpaceDE w:val="0"/>
        <w:autoSpaceDN w:val="0"/>
        <w:adjustRightInd w:val="0"/>
        <w:spacing w:after="0" w:line="240" w:lineRule="auto"/>
        <w:jc w:val="both"/>
        <w:rPr>
          <w:rFonts w:ascii="Century Gothic" w:eastAsia="Cambria" w:hAnsi="Century Gothic" w:cs="Calibri"/>
          <w:color w:val="215868"/>
        </w:rPr>
      </w:pPr>
      <w:r w:rsidRPr="00464C32">
        <w:rPr>
          <w:rFonts w:ascii="Century Gothic" w:eastAsia="Cambria" w:hAnsi="Century Gothic" w:cs="Calibri"/>
          <w:color w:val="215868"/>
        </w:rPr>
        <w:t>Los demás bienes o ingresos que adquiera o reciba por cualquier título legal.</w:t>
      </w:r>
    </w:p>
    <w:p w14:paraId="37A4E7B9" w14:textId="77777777" w:rsidR="00492EB5" w:rsidRDefault="00492EB5" w:rsidP="00492EB5">
      <w:pPr>
        <w:autoSpaceDE w:val="0"/>
        <w:autoSpaceDN w:val="0"/>
        <w:adjustRightInd w:val="0"/>
        <w:jc w:val="both"/>
        <w:rPr>
          <w:rFonts w:ascii="Century Gothic" w:eastAsia="Cambria" w:hAnsi="Century Gothic" w:cs="Calibri"/>
          <w:color w:val="215868"/>
        </w:rPr>
      </w:pPr>
    </w:p>
    <w:p w14:paraId="4C5A70B5"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5</w:t>
      </w:r>
      <w:r w:rsidRPr="008974C4">
        <w:rPr>
          <w:rFonts w:ascii="Century Gothic" w:eastAsia="Cambria" w:hAnsi="Century Gothic" w:cs="Calibri"/>
          <w:color w:val="215868"/>
        </w:rPr>
        <w:t xml:space="preserve"> </w:t>
      </w:r>
      <w:r w:rsidRPr="0086146B">
        <w:rPr>
          <w:rFonts w:ascii="Century Gothic" w:eastAsia="Cambria" w:hAnsi="Century Gothic" w:cs="Calibri"/>
          <w:color w:val="215868"/>
        </w:rPr>
        <w:t xml:space="preserve">Los Recursos </w:t>
      </w:r>
      <w:r>
        <w:rPr>
          <w:rFonts w:ascii="Century Gothic" w:eastAsia="Cambria" w:hAnsi="Century Gothic" w:cs="Calibri"/>
          <w:color w:val="215868"/>
        </w:rPr>
        <w:t>por I</w:t>
      </w:r>
      <w:r w:rsidRPr="0086146B">
        <w:rPr>
          <w:rFonts w:ascii="Century Gothic" w:eastAsia="Cambria" w:hAnsi="Century Gothic" w:cs="Calibri"/>
          <w:color w:val="215868"/>
        </w:rPr>
        <w:t>ngresos Propios forman parte del patrimonio de</w:t>
      </w:r>
      <w:r>
        <w:rPr>
          <w:rFonts w:ascii="Century Gothic" w:eastAsia="Cambria" w:hAnsi="Century Gothic" w:cs="Calibri"/>
          <w:color w:val="215868"/>
        </w:rPr>
        <w:t xml:space="preserve"> COFOCE</w:t>
      </w:r>
      <w:r w:rsidRPr="0086146B">
        <w:rPr>
          <w:rFonts w:ascii="Century Gothic" w:eastAsia="Cambria" w:hAnsi="Century Gothic" w:cs="Calibri"/>
          <w:color w:val="215868"/>
        </w:rPr>
        <w:t xml:space="preserve"> de conformidad con el Artículo </w:t>
      </w:r>
      <w:r>
        <w:rPr>
          <w:rFonts w:ascii="Century Gothic" w:eastAsia="Cambria" w:hAnsi="Century Gothic" w:cs="Calibri"/>
          <w:color w:val="215868"/>
        </w:rPr>
        <w:t>7</w:t>
      </w:r>
      <w:r w:rsidRPr="0086146B">
        <w:rPr>
          <w:rFonts w:ascii="Century Gothic" w:eastAsia="Cambria" w:hAnsi="Century Gothic" w:cs="Calibri"/>
          <w:color w:val="215868"/>
        </w:rPr>
        <w:t xml:space="preserve"> fracción </w:t>
      </w:r>
      <w:r>
        <w:rPr>
          <w:rFonts w:ascii="Century Gothic" w:eastAsia="Cambria" w:hAnsi="Century Gothic" w:cs="Calibri"/>
          <w:color w:val="215868"/>
        </w:rPr>
        <w:t>I a la VII del Decreto Gubernativo número 272 de fecha 14 de julio de 2006 y Decreto Gubernativo número 107 de fecha 08 de mayo del 2009.</w:t>
      </w:r>
    </w:p>
    <w:p w14:paraId="44A2BB0D" w14:textId="77777777" w:rsidR="00492EB5" w:rsidRDefault="00492EB5" w:rsidP="00492EB5">
      <w:pPr>
        <w:autoSpaceDE w:val="0"/>
        <w:autoSpaceDN w:val="0"/>
        <w:adjustRightInd w:val="0"/>
        <w:jc w:val="both"/>
        <w:rPr>
          <w:rFonts w:ascii="Century Gothic" w:eastAsia="Cambria" w:hAnsi="Century Gothic" w:cs="Calibri"/>
          <w:color w:val="215868"/>
        </w:rPr>
      </w:pPr>
    </w:p>
    <w:p w14:paraId="31EEBFC2"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6</w:t>
      </w:r>
      <w:r w:rsidRPr="008974C4">
        <w:rPr>
          <w:rFonts w:ascii="Century Gothic" w:eastAsia="Cambria" w:hAnsi="Century Gothic" w:cs="Calibri"/>
          <w:color w:val="215868"/>
        </w:rPr>
        <w:t xml:space="preserve"> </w:t>
      </w:r>
      <w:r>
        <w:rPr>
          <w:rFonts w:ascii="Century Gothic" w:eastAsia="Cambria" w:hAnsi="Century Gothic" w:cs="Calibri"/>
          <w:color w:val="215868"/>
        </w:rPr>
        <w:t>Los conceptos y actividades de las que derivan y se generan los recursos propios que integran el patrimonio del organismo son; entre otras; las siguientes:</w:t>
      </w:r>
    </w:p>
    <w:p w14:paraId="2F3F4DBE" w14:textId="77777777" w:rsidR="00492EB5" w:rsidRDefault="00492EB5" w:rsidP="00492EB5">
      <w:pPr>
        <w:autoSpaceDE w:val="0"/>
        <w:autoSpaceDN w:val="0"/>
        <w:adjustRightInd w:val="0"/>
        <w:jc w:val="both"/>
        <w:rPr>
          <w:rFonts w:ascii="Century Gothic" w:eastAsia="Cambria" w:hAnsi="Century Gothic" w:cs="Calibri"/>
          <w:color w:val="215868"/>
        </w:rPr>
      </w:pPr>
    </w:p>
    <w:p w14:paraId="2A964AD1" w14:textId="77777777" w:rsidR="00492EB5" w:rsidRDefault="00492EB5" w:rsidP="00A95ADF">
      <w:pPr>
        <w:numPr>
          <w:ilvl w:val="0"/>
          <w:numId w:val="40"/>
        </w:numPr>
        <w:autoSpaceDE w:val="0"/>
        <w:autoSpaceDN w:val="0"/>
        <w:adjustRightInd w:val="0"/>
        <w:spacing w:after="0" w:line="240" w:lineRule="auto"/>
        <w:jc w:val="both"/>
        <w:rPr>
          <w:rFonts w:ascii="Century Gothic" w:eastAsia="Cambria" w:hAnsi="Century Gothic" w:cs="Calibri"/>
          <w:color w:val="215868"/>
        </w:rPr>
      </w:pPr>
      <w:r w:rsidRPr="00344D72">
        <w:rPr>
          <w:rFonts w:ascii="Century Gothic" w:eastAsia="Cambria" w:hAnsi="Century Gothic" w:cs="Calibri"/>
          <w:color w:val="215868"/>
        </w:rPr>
        <w:t xml:space="preserve">Por la </w:t>
      </w:r>
      <w:r>
        <w:rPr>
          <w:rFonts w:ascii="Century Gothic" w:eastAsia="Cambria" w:hAnsi="Century Gothic" w:cs="Calibri"/>
          <w:color w:val="215868"/>
        </w:rPr>
        <w:t xml:space="preserve">venta de bienes y/o </w:t>
      </w:r>
      <w:r w:rsidRPr="00344D72">
        <w:rPr>
          <w:rFonts w:ascii="Century Gothic" w:eastAsia="Cambria" w:hAnsi="Century Gothic" w:cs="Calibri"/>
          <w:color w:val="215868"/>
        </w:rPr>
        <w:t>prestación de servicios autorizados en el Catálogo de Servicios de la Entidad</w:t>
      </w:r>
      <w:r>
        <w:rPr>
          <w:rFonts w:ascii="Century Gothic" w:eastAsia="Cambria" w:hAnsi="Century Gothic" w:cs="Calibri"/>
          <w:color w:val="215868"/>
        </w:rPr>
        <w:t>;</w:t>
      </w:r>
    </w:p>
    <w:p w14:paraId="62C0F0C4" w14:textId="77777777" w:rsidR="00492EB5" w:rsidRDefault="00492EB5" w:rsidP="00A95ADF">
      <w:pPr>
        <w:numPr>
          <w:ilvl w:val="0"/>
          <w:numId w:val="40"/>
        </w:numPr>
        <w:autoSpaceDE w:val="0"/>
        <w:autoSpaceDN w:val="0"/>
        <w:adjustRightInd w:val="0"/>
        <w:spacing w:after="0" w:line="240" w:lineRule="auto"/>
        <w:jc w:val="both"/>
        <w:rPr>
          <w:rFonts w:ascii="Century Gothic" w:eastAsia="Cambria" w:hAnsi="Century Gothic" w:cs="Calibri"/>
          <w:color w:val="215868"/>
        </w:rPr>
      </w:pPr>
      <w:r w:rsidRPr="00344D72">
        <w:rPr>
          <w:rFonts w:ascii="Century Gothic" w:eastAsia="Cambria" w:hAnsi="Century Gothic" w:cs="Calibri"/>
          <w:color w:val="215868"/>
        </w:rPr>
        <w:t xml:space="preserve">Por la venta, licenciamiento o cesión de los derechos de propiedad intelectual </w:t>
      </w:r>
      <w:r>
        <w:rPr>
          <w:rFonts w:ascii="Century Gothic" w:eastAsia="Cambria" w:hAnsi="Century Gothic" w:cs="Calibri"/>
          <w:color w:val="215868"/>
        </w:rPr>
        <w:t>de sistemas propios del Organismo.</w:t>
      </w:r>
    </w:p>
    <w:p w14:paraId="1EE17BED" w14:textId="77777777" w:rsidR="00492EB5" w:rsidRPr="001B35EE" w:rsidRDefault="00492EB5" w:rsidP="00A95ADF">
      <w:pPr>
        <w:numPr>
          <w:ilvl w:val="0"/>
          <w:numId w:val="40"/>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Por cualquier otra actividad relacionada directa o indirectamente con el objeto de COFOCE y/o el proceso de exportación, comercialización y/o internacionalización de los productos y servicios de las empresas exportadoras y/o potencialmente exportadoras del Estado de Guanajuato.</w:t>
      </w:r>
    </w:p>
    <w:p w14:paraId="4B5BFC14" w14:textId="77777777" w:rsidR="00492EB5" w:rsidRDefault="00492EB5" w:rsidP="00492EB5">
      <w:pPr>
        <w:pStyle w:val="Prrafodelista"/>
        <w:ind w:left="0" w:firstLine="426"/>
        <w:rPr>
          <w:rFonts w:ascii="Century Gothic" w:eastAsia="Cambria" w:hAnsi="Century Gothic" w:cs="Calibri"/>
          <w:b/>
          <w:color w:val="215868"/>
          <w:u w:val="single"/>
        </w:rPr>
      </w:pPr>
    </w:p>
    <w:p w14:paraId="22E261F6" w14:textId="77777777" w:rsidR="00492EB5" w:rsidRPr="007E644A" w:rsidRDefault="00492EB5" w:rsidP="00492EB5">
      <w:pPr>
        <w:pStyle w:val="Prrafodelista"/>
        <w:ind w:left="706"/>
        <w:jc w:val="both"/>
        <w:rPr>
          <w:rFonts w:ascii="Century Gothic" w:eastAsia="Cambria" w:hAnsi="Century Gothic" w:cs="Calibri"/>
          <w:b/>
          <w:color w:val="215868"/>
        </w:rPr>
      </w:pPr>
      <w:r>
        <w:rPr>
          <w:rFonts w:ascii="Century Gothic" w:eastAsia="Cambria" w:hAnsi="Century Gothic" w:cs="Calibri"/>
          <w:b/>
          <w:color w:val="215868"/>
        </w:rPr>
        <w:t xml:space="preserve">III. </w:t>
      </w:r>
      <w:r w:rsidRPr="007E644A">
        <w:rPr>
          <w:rFonts w:ascii="Century Gothic" w:eastAsia="Cambria" w:hAnsi="Century Gothic" w:cs="Calibri"/>
          <w:b/>
          <w:color w:val="215868"/>
        </w:rPr>
        <w:t xml:space="preserve">DE LA </w:t>
      </w:r>
      <w:r>
        <w:rPr>
          <w:rFonts w:ascii="Century Gothic" w:eastAsia="Cambria" w:hAnsi="Century Gothic" w:cs="Calibri"/>
          <w:b/>
          <w:color w:val="215868"/>
        </w:rPr>
        <w:t xml:space="preserve">ADMINISTRACIÓN, </w:t>
      </w:r>
      <w:r w:rsidRPr="007E644A">
        <w:rPr>
          <w:rFonts w:ascii="Century Gothic" w:eastAsia="Cambria" w:hAnsi="Century Gothic" w:cs="Calibri"/>
          <w:b/>
          <w:color w:val="215868"/>
        </w:rPr>
        <w:t>A</w:t>
      </w:r>
      <w:r>
        <w:rPr>
          <w:rFonts w:ascii="Century Gothic" w:eastAsia="Cambria" w:hAnsi="Century Gothic" w:cs="Calibri"/>
          <w:b/>
          <w:color w:val="215868"/>
        </w:rPr>
        <w:t>PLICACIÓN Y EJERCICIO DE LOS RECURSOS PROPIOS</w:t>
      </w:r>
    </w:p>
    <w:p w14:paraId="61D4D3E9" w14:textId="77777777" w:rsidR="00492EB5" w:rsidRDefault="00492EB5" w:rsidP="00492EB5">
      <w:pPr>
        <w:jc w:val="both"/>
        <w:outlineLvl w:val="0"/>
        <w:rPr>
          <w:rFonts w:ascii="Century Gothic" w:eastAsia="Cambria" w:hAnsi="Century Gothic" w:cs="Calibri"/>
          <w:color w:val="215868"/>
        </w:rPr>
      </w:pPr>
      <w:r>
        <w:rPr>
          <w:rFonts w:ascii="Century Gothic" w:eastAsia="Cambria" w:hAnsi="Century Gothic" w:cs="Calibri"/>
          <w:b/>
          <w:color w:val="215868"/>
        </w:rPr>
        <w:t xml:space="preserve">Art. 7 </w:t>
      </w:r>
      <w:r w:rsidRPr="00316ED0">
        <w:rPr>
          <w:rFonts w:ascii="Century Gothic" w:eastAsia="Cambria" w:hAnsi="Century Gothic" w:cs="Calibri"/>
          <w:color w:val="215868"/>
        </w:rPr>
        <w:t xml:space="preserve">Los recursos financieros </w:t>
      </w:r>
      <w:r>
        <w:rPr>
          <w:rFonts w:ascii="Century Gothic" w:eastAsia="Cambria" w:hAnsi="Century Gothic" w:cs="Calibri"/>
          <w:color w:val="215868"/>
        </w:rPr>
        <w:t>-</w:t>
      </w:r>
      <w:r w:rsidRPr="00A67B33">
        <w:rPr>
          <w:rFonts w:ascii="Century Gothic" w:eastAsia="Cambria" w:hAnsi="Century Gothic" w:cs="Calibri"/>
          <w:i/>
          <w:color w:val="215868"/>
        </w:rPr>
        <w:t>tanto los que ya se cuentan y los que se obtengan por los ingresos establecidos en los supuestos y conceptos mencionados en el artículo 7 fracciones VI y VII del Decreto Gubernativo Número 107 publicado en el Periódico Oficial del Gobierno del Estado de Guanajuato con fecha 08 de mayo del 2009 por el cual se reformó el Decreto Gubernativo número 272 donde se reestructura la organización interna de la Coordinadora de Fomento al Comercio Exterior del estado de Guanajuato, publicado en el Periódico Oficial del Gobierno del Estado de Guanajuato con fecha 14 de julio del 2006 y que forman el patrimonio de la Coordinadora de Fomento al Comercio Exterior</w:t>
      </w:r>
      <w:r>
        <w:rPr>
          <w:rFonts w:ascii="Century Gothic" w:eastAsia="Cambria" w:hAnsi="Century Gothic" w:cs="Calibri"/>
          <w:color w:val="215868"/>
        </w:rPr>
        <w:t>-</w:t>
      </w:r>
      <w:r w:rsidRPr="00316ED0">
        <w:rPr>
          <w:rFonts w:ascii="Century Gothic" w:eastAsia="Cambria" w:hAnsi="Century Gothic" w:cs="Calibri"/>
          <w:color w:val="215868"/>
        </w:rPr>
        <w:t xml:space="preserve"> se</w:t>
      </w:r>
      <w:r>
        <w:rPr>
          <w:rFonts w:ascii="Century Gothic" w:eastAsia="Cambria" w:hAnsi="Century Gothic" w:cs="Calibri"/>
          <w:color w:val="215868"/>
        </w:rPr>
        <w:t>rá</w:t>
      </w:r>
      <w:r w:rsidRPr="00316ED0">
        <w:rPr>
          <w:rFonts w:ascii="Century Gothic" w:eastAsia="Cambria" w:hAnsi="Century Gothic" w:cs="Calibri"/>
          <w:color w:val="215868"/>
        </w:rPr>
        <w:t>n dispuestos, destinados, aplicados, transferidos y reasignados a la aplicación de proyectos relacionados directamente con el objeto y las actividades de COFOCE.</w:t>
      </w:r>
    </w:p>
    <w:p w14:paraId="3CD27EAA" w14:textId="77777777" w:rsidR="00492EB5" w:rsidRPr="00C97FB8" w:rsidRDefault="00492EB5" w:rsidP="00492EB5">
      <w:pPr>
        <w:jc w:val="both"/>
        <w:outlineLvl w:val="0"/>
        <w:rPr>
          <w:color w:val="000000"/>
          <w:lang w:eastAsia="es-MX"/>
        </w:rPr>
      </w:pPr>
      <w:r>
        <w:rPr>
          <w:rFonts w:ascii="Century Gothic" w:eastAsia="Cambria" w:hAnsi="Century Gothic" w:cs="Calibri"/>
          <w:b/>
          <w:color w:val="215868"/>
        </w:rPr>
        <w:lastRenderedPageBreak/>
        <w:t xml:space="preserve">Art. 8 </w:t>
      </w:r>
      <w:r w:rsidRPr="00D63E57">
        <w:rPr>
          <w:rFonts w:ascii="Century Gothic" w:eastAsia="Cambria" w:hAnsi="Century Gothic" w:cs="Calibri"/>
          <w:color w:val="215868"/>
        </w:rPr>
        <w:t>Todos los actos jurídicos</w:t>
      </w:r>
      <w:r w:rsidRPr="00C97FB8">
        <w:rPr>
          <w:rFonts w:ascii="Century Gothic" w:eastAsia="Cambria" w:hAnsi="Century Gothic" w:cs="Calibri"/>
          <w:color w:val="215868"/>
        </w:rPr>
        <w:t xml:space="preserve">, administrativos y contables </w:t>
      </w:r>
      <w:r>
        <w:rPr>
          <w:rFonts w:ascii="Century Gothic" w:eastAsia="Cambria" w:hAnsi="Century Gothic" w:cs="Calibri"/>
          <w:color w:val="215868"/>
        </w:rPr>
        <w:t xml:space="preserve">generados en ejercicios anteriores a la publicación de esta política, </w:t>
      </w:r>
      <w:r w:rsidRPr="00C97FB8">
        <w:rPr>
          <w:rFonts w:ascii="Century Gothic" w:eastAsia="Cambria" w:hAnsi="Century Gothic" w:cs="Calibri"/>
          <w:color w:val="215868"/>
        </w:rPr>
        <w:t xml:space="preserve">fueron aprobados y autorizados por el Consejo Directivo en la primera sesión ordinaria del 2014 y </w:t>
      </w:r>
      <w:r>
        <w:rPr>
          <w:rFonts w:ascii="Century Gothic" w:eastAsia="Cambria" w:hAnsi="Century Gothic" w:cs="Calibri"/>
          <w:color w:val="215868"/>
        </w:rPr>
        <w:t xml:space="preserve">en la </w:t>
      </w:r>
      <w:r w:rsidRPr="00C97FB8">
        <w:rPr>
          <w:rFonts w:ascii="Century Gothic" w:eastAsia="Cambria" w:hAnsi="Century Gothic" w:cs="Calibri"/>
          <w:color w:val="215868"/>
        </w:rPr>
        <w:t>segunda sesión ordinari</w:t>
      </w:r>
      <w:r>
        <w:rPr>
          <w:rFonts w:ascii="Century Gothic" w:eastAsia="Cambria" w:hAnsi="Century Gothic" w:cs="Calibri"/>
          <w:color w:val="215868"/>
        </w:rPr>
        <w:t>a del 2017 bajo los acuerdos número</w:t>
      </w:r>
      <w:r w:rsidRPr="00C97FB8">
        <w:rPr>
          <w:rFonts w:ascii="Century Gothic" w:eastAsia="Cambria" w:hAnsi="Century Gothic" w:cs="Calibri"/>
          <w:color w:val="215868"/>
        </w:rPr>
        <w:t xml:space="preserve"> A07/SO-01/25-06-2014</w:t>
      </w:r>
      <w:r>
        <w:rPr>
          <w:color w:val="000000"/>
          <w:lang w:eastAsia="es-MX"/>
        </w:rPr>
        <w:t xml:space="preserve"> </w:t>
      </w:r>
      <w:r w:rsidRPr="00C97FB8">
        <w:rPr>
          <w:rFonts w:ascii="Century Gothic" w:eastAsia="Cambria" w:hAnsi="Century Gothic" w:cs="Calibri"/>
          <w:color w:val="215868"/>
        </w:rPr>
        <w:t>y A11/SO-02/28-06-2017</w:t>
      </w:r>
      <w:r>
        <w:rPr>
          <w:rFonts w:ascii="Century Gothic" w:eastAsia="Cambria" w:hAnsi="Century Gothic" w:cs="Calibri"/>
          <w:color w:val="215868"/>
        </w:rPr>
        <w:t xml:space="preserve"> respectivamente, con ellos se autoriza y faculta al Director General de COFOCE a que los celebre, instruyendo y delegando a las unidades administrativas responsables involucradas, las acciones a que haya lugar en los términos de la normatividad aplicable.</w:t>
      </w:r>
    </w:p>
    <w:p w14:paraId="7252249C"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9</w:t>
      </w:r>
      <w:r>
        <w:rPr>
          <w:rFonts w:ascii="Arial-BoldMT" w:eastAsia="MS Mincho" w:hAnsi="Arial-BoldMT" w:cs="Arial-BoldMT"/>
          <w:b/>
          <w:bCs/>
          <w:lang w:eastAsia="es-MX"/>
        </w:rPr>
        <w:t xml:space="preserve"> </w:t>
      </w:r>
      <w:r w:rsidRPr="0086146B">
        <w:rPr>
          <w:rFonts w:ascii="Century Gothic" w:eastAsia="Cambria" w:hAnsi="Century Gothic" w:cs="Calibri"/>
          <w:color w:val="215868"/>
        </w:rPr>
        <w:t xml:space="preserve">Los servidores públicos involucrados en la administración de los Recursos </w:t>
      </w:r>
      <w:r>
        <w:rPr>
          <w:rFonts w:ascii="Century Gothic" w:eastAsia="Cambria" w:hAnsi="Century Gothic" w:cs="Calibri"/>
          <w:color w:val="215868"/>
        </w:rPr>
        <w:t xml:space="preserve">por </w:t>
      </w:r>
      <w:r w:rsidRPr="0086146B">
        <w:rPr>
          <w:rFonts w:ascii="Century Gothic" w:eastAsia="Cambria" w:hAnsi="Century Gothic" w:cs="Calibri"/>
          <w:color w:val="215868"/>
        </w:rPr>
        <w:t xml:space="preserve">Ingresos Propios se sujetarán a las disposiciones de la Ley de Responsabilidades Administrativas de los Servidores Públicos </w:t>
      </w:r>
      <w:r>
        <w:rPr>
          <w:rFonts w:ascii="Century Gothic" w:eastAsia="Cambria" w:hAnsi="Century Gothic" w:cs="Calibri"/>
          <w:color w:val="215868"/>
        </w:rPr>
        <w:t xml:space="preserve">del Estado de Guanajuato y sus Municipios y demás normatividad aplicable, por lo que </w:t>
      </w:r>
      <w:r w:rsidRPr="0086146B">
        <w:rPr>
          <w:rFonts w:ascii="Century Gothic" w:eastAsia="Cambria" w:hAnsi="Century Gothic" w:cs="Calibri"/>
          <w:color w:val="215868"/>
        </w:rPr>
        <w:t>su actuación podrá ser sujeta de revisiones por las diferentes instancias fiscalizadoras.</w:t>
      </w:r>
    </w:p>
    <w:p w14:paraId="5453613E" w14:textId="77777777" w:rsidR="00492EB5" w:rsidRDefault="00492EB5" w:rsidP="00492EB5">
      <w:pPr>
        <w:autoSpaceDE w:val="0"/>
        <w:autoSpaceDN w:val="0"/>
        <w:adjustRightInd w:val="0"/>
        <w:jc w:val="both"/>
        <w:rPr>
          <w:rFonts w:ascii="Century Gothic" w:eastAsia="Cambria" w:hAnsi="Century Gothic" w:cs="Calibri"/>
          <w:color w:val="215868"/>
        </w:rPr>
      </w:pPr>
    </w:p>
    <w:p w14:paraId="1DC66902"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10</w:t>
      </w:r>
      <w:r>
        <w:rPr>
          <w:b/>
        </w:rPr>
        <w:t xml:space="preserve"> </w:t>
      </w:r>
      <w:r w:rsidRPr="004A4F04">
        <w:rPr>
          <w:rFonts w:ascii="Century Gothic" w:eastAsia="Cambria" w:hAnsi="Century Gothic" w:cs="Calibri"/>
          <w:color w:val="215868"/>
        </w:rPr>
        <w:t>Las áreas involucradas con la generación, percepción y aplicación de los Recursos Propios que conforman el patrimonio de COFOCE</w:t>
      </w:r>
      <w:r>
        <w:rPr>
          <w:rFonts w:ascii="Century Gothic" w:eastAsia="Cambria" w:hAnsi="Century Gothic" w:cs="Calibri"/>
          <w:color w:val="215868"/>
        </w:rPr>
        <w:t xml:space="preserve"> </w:t>
      </w:r>
      <w:r w:rsidRPr="0086146B">
        <w:rPr>
          <w:rFonts w:ascii="Century Gothic" w:eastAsia="Cambria" w:hAnsi="Century Gothic" w:cs="Calibri"/>
          <w:color w:val="215868"/>
        </w:rPr>
        <w:t>será</w:t>
      </w:r>
      <w:r>
        <w:rPr>
          <w:rFonts w:ascii="Century Gothic" w:eastAsia="Cambria" w:hAnsi="Century Gothic" w:cs="Calibri"/>
          <w:color w:val="215868"/>
        </w:rPr>
        <w:t>n</w:t>
      </w:r>
      <w:r w:rsidRPr="0086146B">
        <w:rPr>
          <w:rFonts w:ascii="Century Gothic" w:eastAsia="Cambria" w:hAnsi="Century Gothic" w:cs="Calibri"/>
          <w:color w:val="215868"/>
        </w:rPr>
        <w:t xml:space="preserve"> </w:t>
      </w:r>
      <w:r>
        <w:rPr>
          <w:rFonts w:ascii="Century Gothic" w:eastAsia="Cambria" w:hAnsi="Century Gothic" w:cs="Calibri"/>
          <w:color w:val="215868"/>
        </w:rPr>
        <w:t xml:space="preserve">las </w:t>
      </w:r>
      <w:r w:rsidRPr="0086146B">
        <w:rPr>
          <w:rFonts w:ascii="Century Gothic" w:eastAsia="Cambria" w:hAnsi="Century Gothic" w:cs="Calibri"/>
          <w:color w:val="215868"/>
        </w:rPr>
        <w:t>responsable</w:t>
      </w:r>
      <w:r>
        <w:rPr>
          <w:rFonts w:ascii="Century Gothic" w:eastAsia="Cambria" w:hAnsi="Century Gothic" w:cs="Calibri"/>
          <w:color w:val="215868"/>
        </w:rPr>
        <w:t xml:space="preserve">s del uso y destino </w:t>
      </w:r>
      <w:r w:rsidRPr="0086146B">
        <w:rPr>
          <w:rFonts w:ascii="Century Gothic" w:eastAsia="Cambria" w:hAnsi="Century Gothic" w:cs="Calibri"/>
          <w:color w:val="215868"/>
        </w:rPr>
        <w:t xml:space="preserve">de </w:t>
      </w:r>
      <w:r>
        <w:rPr>
          <w:rFonts w:ascii="Century Gothic" w:eastAsia="Cambria" w:hAnsi="Century Gothic" w:cs="Calibri"/>
          <w:color w:val="215868"/>
        </w:rPr>
        <w:t>los mismos y deberán</w:t>
      </w:r>
      <w:r w:rsidRPr="0086146B">
        <w:rPr>
          <w:rFonts w:ascii="Century Gothic" w:eastAsia="Cambria" w:hAnsi="Century Gothic" w:cs="Calibri"/>
          <w:color w:val="215868"/>
        </w:rPr>
        <w:t>:</w:t>
      </w:r>
    </w:p>
    <w:p w14:paraId="5FB73144" w14:textId="77777777" w:rsidR="00492EB5" w:rsidRPr="0086146B" w:rsidRDefault="00492EB5" w:rsidP="00A95ADF">
      <w:pPr>
        <w:numPr>
          <w:ilvl w:val="0"/>
          <w:numId w:val="42"/>
        </w:numPr>
        <w:autoSpaceDE w:val="0"/>
        <w:autoSpaceDN w:val="0"/>
        <w:adjustRightInd w:val="0"/>
        <w:spacing w:after="0" w:line="240" w:lineRule="auto"/>
        <w:jc w:val="both"/>
        <w:rPr>
          <w:rFonts w:ascii="Century Gothic" w:eastAsia="Cambria" w:hAnsi="Century Gothic" w:cs="Calibri"/>
          <w:color w:val="215868"/>
        </w:rPr>
      </w:pPr>
      <w:r w:rsidRPr="0086146B">
        <w:rPr>
          <w:rFonts w:ascii="Century Gothic" w:eastAsia="Cambria" w:hAnsi="Century Gothic" w:cs="Calibri"/>
          <w:color w:val="215868"/>
        </w:rPr>
        <w:t xml:space="preserve">Aplicar los Recursos </w:t>
      </w:r>
      <w:r>
        <w:rPr>
          <w:rFonts w:ascii="Century Gothic" w:eastAsia="Cambria" w:hAnsi="Century Gothic" w:cs="Calibri"/>
          <w:color w:val="215868"/>
        </w:rPr>
        <w:t>por</w:t>
      </w:r>
      <w:r w:rsidRPr="0086146B">
        <w:rPr>
          <w:rFonts w:ascii="Century Gothic" w:eastAsia="Cambria" w:hAnsi="Century Gothic" w:cs="Calibri"/>
          <w:color w:val="215868"/>
        </w:rPr>
        <w:t xml:space="preserve"> Ingr</w:t>
      </w:r>
      <w:r>
        <w:rPr>
          <w:rFonts w:ascii="Century Gothic" w:eastAsia="Cambria" w:hAnsi="Century Gothic" w:cs="Calibri"/>
          <w:color w:val="215868"/>
        </w:rPr>
        <w:t>esos Propios de acuerdo a los presentes lineamientos</w:t>
      </w:r>
      <w:r w:rsidRPr="0086146B">
        <w:rPr>
          <w:rFonts w:ascii="Century Gothic" w:eastAsia="Cambria" w:hAnsi="Century Gothic" w:cs="Calibri"/>
          <w:color w:val="215868"/>
        </w:rPr>
        <w:t xml:space="preserve"> y a la normatividad aplicable; </w:t>
      </w:r>
    </w:p>
    <w:p w14:paraId="11E9D8BE" w14:textId="77777777" w:rsidR="00492EB5" w:rsidRPr="0086146B" w:rsidRDefault="00492EB5" w:rsidP="00A95ADF">
      <w:pPr>
        <w:numPr>
          <w:ilvl w:val="0"/>
          <w:numId w:val="42"/>
        </w:numPr>
        <w:autoSpaceDE w:val="0"/>
        <w:autoSpaceDN w:val="0"/>
        <w:adjustRightInd w:val="0"/>
        <w:spacing w:after="0" w:line="240" w:lineRule="auto"/>
        <w:jc w:val="both"/>
        <w:rPr>
          <w:rFonts w:ascii="Century Gothic" w:eastAsia="Cambria" w:hAnsi="Century Gothic" w:cs="Calibri"/>
          <w:color w:val="215868"/>
        </w:rPr>
      </w:pPr>
      <w:r w:rsidRPr="0086146B">
        <w:rPr>
          <w:rFonts w:ascii="Century Gothic" w:eastAsia="Cambria" w:hAnsi="Century Gothic" w:cs="Calibri"/>
          <w:color w:val="215868"/>
        </w:rPr>
        <w:t>Llevar</w:t>
      </w:r>
      <w:r>
        <w:rPr>
          <w:rFonts w:ascii="Century Gothic" w:eastAsia="Cambria" w:hAnsi="Century Gothic" w:cs="Calibri"/>
          <w:color w:val="215868"/>
        </w:rPr>
        <w:t>, a través de la Dirección Financiera y de Administración de COFOCE,</w:t>
      </w:r>
      <w:r w:rsidRPr="0086146B">
        <w:rPr>
          <w:rFonts w:ascii="Century Gothic" w:eastAsia="Cambria" w:hAnsi="Century Gothic" w:cs="Calibri"/>
          <w:color w:val="215868"/>
        </w:rPr>
        <w:t xml:space="preserve"> la contabilidad de los Recursos </w:t>
      </w:r>
      <w:r>
        <w:rPr>
          <w:rFonts w:ascii="Century Gothic" w:eastAsia="Cambria" w:hAnsi="Century Gothic" w:cs="Calibri"/>
          <w:color w:val="215868"/>
        </w:rPr>
        <w:t>por Ingresos Propios que</w:t>
      </w:r>
      <w:r w:rsidRPr="0086146B">
        <w:rPr>
          <w:rFonts w:ascii="Century Gothic" w:eastAsia="Cambria" w:hAnsi="Century Gothic" w:cs="Calibri"/>
          <w:color w:val="215868"/>
        </w:rPr>
        <w:t xml:space="preserve"> </w:t>
      </w:r>
      <w:r>
        <w:rPr>
          <w:rFonts w:ascii="Century Gothic" w:eastAsia="Cambria" w:hAnsi="Century Gothic" w:cs="Calibri"/>
          <w:color w:val="215868"/>
        </w:rPr>
        <w:t>haga identificable la</w:t>
      </w:r>
      <w:r w:rsidRPr="0086146B">
        <w:rPr>
          <w:rFonts w:ascii="Century Gothic" w:eastAsia="Cambria" w:hAnsi="Century Gothic" w:cs="Calibri"/>
          <w:color w:val="215868"/>
        </w:rPr>
        <w:t xml:space="preserve">s </w:t>
      </w:r>
      <w:r>
        <w:rPr>
          <w:rFonts w:ascii="Century Gothic" w:eastAsia="Cambria" w:hAnsi="Century Gothic" w:cs="Calibri"/>
          <w:color w:val="215868"/>
        </w:rPr>
        <w:t xml:space="preserve">operaciones y rastreo de los </w:t>
      </w:r>
      <w:r w:rsidRPr="0086146B">
        <w:rPr>
          <w:rFonts w:ascii="Century Gothic" w:eastAsia="Cambria" w:hAnsi="Century Gothic" w:cs="Calibri"/>
          <w:color w:val="215868"/>
        </w:rPr>
        <w:t>rec</w:t>
      </w:r>
      <w:r>
        <w:rPr>
          <w:rFonts w:ascii="Century Gothic" w:eastAsia="Cambria" w:hAnsi="Century Gothic" w:cs="Calibri"/>
          <w:color w:val="215868"/>
        </w:rPr>
        <w:t>ursos presupuestales, y mantengan</w:t>
      </w:r>
      <w:r w:rsidRPr="0086146B">
        <w:rPr>
          <w:rFonts w:ascii="Century Gothic" w:eastAsia="Cambria" w:hAnsi="Century Gothic" w:cs="Calibri"/>
          <w:color w:val="215868"/>
        </w:rPr>
        <w:t xml:space="preserve"> permanentemente actualizados los registros correspondientes; </w:t>
      </w:r>
    </w:p>
    <w:p w14:paraId="532CBF19" w14:textId="77777777" w:rsidR="00492EB5" w:rsidRPr="0086146B" w:rsidRDefault="00492EB5" w:rsidP="00A95ADF">
      <w:pPr>
        <w:numPr>
          <w:ilvl w:val="0"/>
          <w:numId w:val="42"/>
        </w:numPr>
        <w:autoSpaceDE w:val="0"/>
        <w:autoSpaceDN w:val="0"/>
        <w:adjustRightInd w:val="0"/>
        <w:spacing w:after="0" w:line="240" w:lineRule="auto"/>
        <w:jc w:val="both"/>
        <w:rPr>
          <w:rFonts w:ascii="Century Gothic" w:eastAsia="Cambria" w:hAnsi="Century Gothic" w:cs="Calibri"/>
          <w:color w:val="215868"/>
        </w:rPr>
      </w:pPr>
      <w:r w:rsidRPr="0086146B">
        <w:rPr>
          <w:rFonts w:ascii="Century Gothic" w:eastAsia="Cambria" w:hAnsi="Century Gothic" w:cs="Calibri"/>
          <w:color w:val="215868"/>
        </w:rPr>
        <w:t xml:space="preserve">Obtener y conservar la documentación comprobatoria de la captación y aplicación de los Recursos </w:t>
      </w:r>
      <w:r>
        <w:rPr>
          <w:rFonts w:ascii="Century Gothic" w:eastAsia="Cambria" w:hAnsi="Century Gothic" w:cs="Calibri"/>
          <w:color w:val="215868"/>
        </w:rPr>
        <w:t>por</w:t>
      </w:r>
      <w:r w:rsidRPr="0086146B">
        <w:rPr>
          <w:rFonts w:ascii="Century Gothic" w:eastAsia="Cambria" w:hAnsi="Century Gothic" w:cs="Calibri"/>
          <w:color w:val="215868"/>
        </w:rPr>
        <w:t xml:space="preserve"> Ingresos Propios, por el tiempo que determinen las leyes y disposiciones aplicables; </w:t>
      </w:r>
      <w:r>
        <w:rPr>
          <w:rFonts w:ascii="Century Gothic" w:eastAsia="Cambria" w:hAnsi="Century Gothic" w:cs="Calibri"/>
          <w:color w:val="215868"/>
        </w:rPr>
        <w:t>y</w:t>
      </w:r>
    </w:p>
    <w:p w14:paraId="76AC0642" w14:textId="77777777" w:rsidR="00492EB5" w:rsidRPr="00423D2D" w:rsidRDefault="00492EB5" w:rsidP="00A95ADF">
      <w:pPr>
        <w:numPr>
          <w:ilvl w:val="0"/>
          <w:numId w:val="42"/>
        </w:numPr>
        <w:autoSpaceDE w:val="0"/>
        <w:autoSpaceDN w:val="0"/>
        <w:adjustRightInd w:val="0"/>
        <w:spacing w:after="0" w:line="240" w:lineRule="auto"/>
        <w:jc w:val="both"/>
        <w:rPr>
          <w:rFonts w:ascii="Century Gothic" w:eastAsia="Cambria" w:hAnsi="Century Gothic" w:cs="Calibri"/>
          <w:color w:val="215868"/>
        </w:rPr>
      </w:pPr>
      <w:r w:rsidRPr="00423D2D">
        <w:rPr>
          <w:rFonts w:ascii="Century Gothic" w:eastAsia="Cambria" w:hAnsi="Century Gothic" w:cs="Calibri"/>
          <w:color w:val="215868"/>
        </w:rPr>
        <w:t>Cumplir con las obligaciones fiscales aplicables.</w:t>
      </w:r>
    </w:p>
    <w:p w14:paraId="40790C8F" w14:textId="77777777" w:rsidR="00492EB5" w:rsidRDefault="00492EB5" w:rsidP="00492EB5">
      <w:pPr>
        <w:autoSpaceDE w:val="0"/>
        <w:autoSpaceDN w:val="0"/>
        <w:adjustRightInd w:val="0"/>
        <w:jc w:val="both"/>
        <w:rPr>
          <w:rFonts w:ascii="Century Gothic" w:eastAsia="Cambria" w:hAnsi="Century Gothic" w:cs="Calibri"/>
          <w:color w:val="215868"/>
        </w:rPr>
      </w:pPr>
    </w:p>
    <w:p w14:paraId="7EE3AA14"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11</w:t>
      </w:r>
      <w:r>
        <w:rPr>
          <w:rFonts w:ascii="Century Gothic" w:eastAsia="Cambria" w:hAnsi="Century Gothic" w:cs="Calibri"/>
          <w:color w:val="215868"/>
        </w:rPr>
        <w:t xml:space="preserve"> COFOCE</w:t>
      </w:r>
      <w:r w:rsidRPr="008C25CA">
        <w:rPr>
          <w:rFonts w:ascii="Century Gothic" w:eastAsia="Cambria" w:hAnsi="Century Gothic" w:cs="Calibri"/>
          <w:color w:val="215868"/>
        </w:rPr>
        <w:t xml:space="preserve"> podrá administrar los Recursos </w:t>
      </w:r>
      <w:r>
        <w:rPr>
          <w:rFonts w:ascii="Century Gothic" w:eastAsia="Cambria" w:hAnsi="Century Gothic" w:cs="Calibri"/>
          <w:color w:val="215868"/>
        </w:rPr>
        <w:t>por</w:t>
      </w:r>
      <w:r w:rsidRPr="008C25CA">
        <w:rPr>
          <w:rFonts w:ascii="Century Gothic" w:eastAsia="Cambria" w:hAnsi="Century Gothic" w:cs="Calibri"/>
          <w:color w:val="215868"/>
        </w:rPr>
        <w:t xml:space="preserve"> Ingresos Propios a través de cuentas </w:t>
      </w:r>
      <w:r>
        <w:rPr>
          <w:rFonts w:ascii="Century Gothic" w:eastAsia="Cambria" w:hAnsi="Century Gothic" w:cs="Calibri"/>
          <w:color w:val="215868"/>
        </w:rPr>
        <w:t>bancarias productivas independientes e identificar los saldos diarios disponibles para su inversión</w:t>
      </w:r>
      <w:r w:rsidRPr="008C25CA">
        <w:rPr>
          <w:rFonts w:ascii="Century Gothic" w:eastAsia="Cambria" w:hAnsi="Century Gothic" w:cs="Calibri"/>
          <w:color w:val="215868"/>
        </w:rPr>
        <w:t>.</w:t>
      </w:r>
      <w:r>
        <w:rPr>
          <w:rFonts w:ascii="Century Gothic" w:eastAsia="Cambria" w:hAnsi="Century Gothic" w:cs="Calibri"/>
          <w:color w:val="215868"/>
        </w:rPr>
        <w:t xml:space="preserve"> Podrá también identificar estos recursos según sus fuentes de percepción, en fondos presupuestales específicos.</w:t>
      </w:r>
    </w:p>
    <w:p w14:paraId="7F00C330" w14:textId="77777777" w:rsidR="00492EB5" w:rsidRPr="003D1129"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12</w:t>
      </w:r>
      <w:r w:rsidRPr="00DA2F5F">
        <w:rPr>
          <w:rFonts w:ascii="Century Gothic" w:eastAsia="Cambria" w:hAnsi="Century Gothic" w:cs="Calibri"/>
          <w:b/>
          <w:color w:val="215868"/>
        </w:rPr>
        <w:t xml:space="preserve">  </w:t>
      </w:r>
      <w:r>
        <w:rPr>
          <w:rFonts w:ascii="Century Gothic" w:eastAsia="Cambria" w:hAnsi="Century Gothic" w:cs="Calibri"/>
          <w:color w:val="215868"/>
        </w:rPr>
        <w:t>L</w:t>
      </w:r>
      <w:r w:rsidRPr="003D1129">
        <w:rPr>
          <w:rFonts w:ascii="Century Gothic" w:eastAsia="Cambria" w:hAnsi="Century Gothic" w:cs="Calibri"/>
          <w:color w:val="215868"/>
        </w:rPr>
        <w:t>os recursos</w:t>
      </w:r>
      <w:r>
        <w:rPr>
          <w:rFonts w:ascii="Century Gothic" w:eastAsia="Cambria" w:hAnsi="Century Gothic" w:cs="Calibri"/>
          <w:color w:val="215868"/>
        </w:rPr>
        <w:t xml:space="preserve"> propios</w:t>
      </w:r>
      <w:r w:rsidRPr="003D1129">
        <w:rPr>
          <w:rFonts w:ascii="Century Gothic" w:eastAsia="Cambria" w:hAnsi="Century Gothic" w:cs="Calibri"/>
          <w:color w:val="215868"/>
        </w:rPr>
        <w:t xml:space="preserve"> no podrán aplicarse en </w:t>
      </w:r>
      <w:r>
        <w:rPr>
          <w:rFonts w:ascii="Century Gothic" w:eastAsia="Cambria" w:hAnsi="Century Gothic" w:cs="Calibri"/>
          <w:color w:val="215868"/>
        </w:rPr>
        <w:t>conceptos de G</w:t>
      </w:r>
      <w:r w:rsidRPr="003D1129">
        <w:rPr>
          <w:rFonts w:ascii="Century Gothic" w:eastAsia="Cambria" w:hAnsi="Century Gothic" w:cs="Calibri"/>
          <w:color w:val="215868"/>
        </w:rPr>
        <w:t xml:space="preserve">asto Corriente </w:t>
      </w:r>
      <w:r>
        <w:rPr>
          <w:rFonts w:ascii="Century Gothic" w:eastAsia="Cambria" w:hAnsi="Century Gothic" w:cs="Calibri"/>
          <w:color w:val="215868"/>
        </w:rPr>
        <w:t xml:space="preserve">por servicios </w:t>
      </w:r>
      <w:r w:rsidRPr="003D1129">
        <w:rPr>
          <w:rFonts w:ascii="Century Gothic" w:eastAsia="Cambria" w:hAnsi="Century Gothic" w:cs="Calibri"/>
          <w:color w:val="215868"/>
        </w:rPr>
        <w:t xml:space="preserve">como agua, luz, teléfono, etc. </w:t>
      </w:r>
      <w:r>
        <w:rPr>
          <w:rFonts w:ascii="Century Gothic" w:eastAsia="Cambria" w:hAnsi="Century Gothic" w:cs="Calibri"/>
          <w:color w:val="215868"/>
        </w:rPr>
        <w:t>P</w:t>
      </w:r>
      <w:r w:rsidRPr="003D1129">
        <w:rPr>
          <w:rFonts w:ascii="Century Gothic" w:eastAsia="Cambria" w:hAnsi="Century Gothic" w:cs="Calibri"/>
          <w:color w:val="215868"/>
        </w:rPr>
        <w:t xml:space="preserve">odrán </w:t>
      </w:r>
      <w:r>
        <w:rPr>
          <w:rFonts w:ascii="Century Gothic" w:eastAsia="Cambria" w:hAnsi="Century Gothic" w:cs="Calibri"/>
          <w:color w:val="215868"/>
        </w:rPr>
        <w:t xml:space="preserve">en lo general, </w:t>
      </w:r>
      <w:r w:rsidRPr="003D1129">
        <w:rPr>
          <w:rFonts w:ascii="Century Gothic" w:eastAsia="Cambria" w:hAnsi="Century Gothic" w:cs="Calibri"/>
          <w:color w:val="215868"/>
        </w:rPr>
        <w:t xml:space="preserve">servir para equipar al personal (compra de activos fijos) y para brindar mejores servicios y apoyos a los </w:t>
      </w:r>
      <w:r w:rsidRPr="003D1129">
        <w:rPr>
          <w:rFonts w:ascii="Century Gothic" w:eastAsia="Cambria" w:hAnsi="Century Gothic" w:cs="Calibri"/>
          <w:color w:val="215868"/>
        </w:rPr>
        <w:lastRenderedPageBreak/>
        <w:t>empresarios exportadores y potencialmente exportadores del Estado, o bien, para el otorgamiento de compensaciones y/o conceptos extraordinarios para</w:t>
      </w:r>
      <w:r>
        <w:rPr>
          <w:rFonts w:ascii="Century Gothic" w:eastAsia="Cambria" w:hAnsi="Century Gothic" w:cs="Calibri"/>
          <w:b/>
          <w:color w:val="215868"/>
        </w:rPr>
        <w:t xml:space="preserve"> </w:t>
      </w:r>
      <w:r w:rsidRPr="003D1129">
        <w:rPr>
          <w:rFonts w:ascii="Century Gothic" w:eastAsia="Cambria" w:hAnsi="Century Gothic" w:cs="Calibri"/>
          <w:color w:val="215868"/>
        </w:rPr>
        <w:t>los que no</w:t>
      </w:r>
      <w:r>
        <w:rPr>
          <w:rFonts w:ascii="Century Gothic" w:eastAsia="Cambria" w:hAnsi="Century Gothic" w:cs="Calibri"/>
          <w:color w:val="215868"/>
        </w:rPr>
        <w:t xml:space="preserve"> se cuente con presupuesto del F</w:t>
      </w:r>
      <w:r w:rsidRPr="003D1129">
        <w:rPr>
          <w:rFonts w:ascii="Century Gothic" w:eastAsia="Cambria" w:hAnsi="Century Gothic" w:cs="Calibri"/>
          <w:color w:val="215868"/>
        </w:rPr>
        <w:t>ondo Estatal.</w:t>
      </w:r>
    </w:p>
    <w:p w14:paraId="5B4D0771" w14:textId="77777777" w:rsidR="00492EB5" w:rsidRPr="0086146B" w:rsidRDefault="00492EB5" w:rsidP="00492EB5">
      <w:pPr>
        <w:autoSpaceDE w:val="0"/>
        <w:autoSpaceDN w:val="0"/>
        <w:adjustRightInd w:val="0"/>
        <w:jc w:val="both"/>
        <w:rPr>
          <w:rFonts w:ascii="Century Gothic" w:eastAsia="Cambria" w:hAnsi="Century Gothic" w:cs="Calibri"/>
          <w:color w:val="215868"/>
        </w:rPr>
      </w:pPr>
    </w:p>
    <w:p w14:paraId="35234F65"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13</w:t>
      </w:r>
      <w:r>
        <w:rPr>
          <w:b/>
        </w:rPr>
        <w:t xml:space="preserve"> </w:t>
      </w:r>
      <w:r w:rsidRPr="008C25CA">
        <w:rPr>
          <w:rFonts w:ascii="Century Gothic" w:eastAsia="Cambria" w:hAnsi="Century Gothic" w:cs="Calibri"/>
          <w:color w:val="215868"/>
        </w:rPr>
        <w:t>Los recursos</w:t>
      </w:r>
      <w:r>
        <w:rPr>
          <w:rFonts w:ascii="Century Gothic" w:eastAsia="Cambria" w:hAnsi="Century Gothic" w:cs="Calibri"/>
          <w:color w:val="215868"/>
        </w:rPr>
        <w:t xml:space="preserve"> que</w:t>
      </w:r>
      <w:r w:rsidRPr="008C25CA">
        <w:rPr>
          <w:rFonts w:ascii="Century Gothic" w:eastAsia="Cambria" w:hAnsi="Century Gothic" w:cs="Calibri"/>
          <w:color w:val="215868"/>
        </w:rPr>
        <w:t xml:space="preserve"> </w:t>
      </w:r>
      <w:r>
        <w:rPr>
          <w:rFonts w:ascii="Century Gothic" w:eastAsia="Cambria" w:hAnsi="Century Gothic" w:cs="Calibri"/>
          <w:color w:val="215868"/>
        </w:rPr>
        <w:t xml:space="preserve">la COFOCE </w:t>
      </w:r>
      <w:r w:rsidRPr="008C25CA">
        <w:rPr>
          <w:rFonts w:ascii="Century Gothic" w:eastAsia="Cambria" w:hAnsi="Century Gothic" w:cs="Calibri"/>
          <w:color w:val="215868"/>
        </w:rPr>
        <w:t>obtenga por cualquiera de los conceptos mencionados</w:t>
      </w:r>
      <w:r>
        <w:rPr>
          <w:rFonts w:ascii="Century Gothic" w:eastAsia="Cambria" w:hAnsi="Century Gothic" w:cs="Calibri"/>
          <w:color w:val="215868"/>
        </w:rPr>
        <w:t xml:space="preserve"> </w:t>
      </w:r>
      <w:r w:rsidRPr="008C25CA">
        <w:rPr>
          <w:rFonts w:ascii="Century Gothic" w:eastAsia="Cambria" w:hAnsi="Century Gothic" w:cs="Calibri"/>
          <w:color w:val="215868"/>
        </w:rPr>
        <w:t xml:space="preserve">en el </w:t>
      </w:r>
      <w:r>
        <w:rPr>
          <w:rFonts w:ascii="Century Gothic" w:eastAsia="Cambria" w:hAnsi="Century Gothic" w:cs="Calibri"/>
          <w:color w:val="215868"/>
        </w:rPr>
        <w:t>Artículo 4 del Capítulo II “De la Captación de los Recursos Propios” de la</w:t>
      </w:r>
      <w:r w:rsidRPr="008C25CA">
        <w:rPr>
          <w:rFonts w:ascii="Century Gothic" w:eastAsia="Cambria" w:hAnsi="Century Gothic" w:cs="Calibri"/>
          <w:color w:val="215868"/>
        </w:rPr>
        <w:t xml:space="preserve">s presentes </w:t>
      </w:r>
      <w:r>
        <w:rPr>
          <w:rFonts w:ascii="Century Gothic" w:eastAsia="Cambria" w:hAnsi="Century Gothic" w:cs="Calibri"/>
          <w:color w:val="215868"/>
        </w:rPr>
        <w:t>disposicione</w:t>
      </w:r>
      <w:r w:rsidRPr="008C25CA">
        <w:rPr>
          <w:rFonts w:ascii="Century Gothic" w:eastAsia="Cambria" w:hAnsi="Century Gothic" w:cs="Calibri"/>
          <w:color w:val="215868"/>
        </w:rPr>
        <w:t>s,</w:t>
      </w:r>
      <w:r>
        <w:rPr>
          <w:rFonts w:ascii="Century Gothic" w:eastAsia="Cambria" w:hAnsi="Century Gothic" w:cs="Calibri"/>
          <w:color w:val="215868"/>
        </w:rPr>
        <w:t xml:space="preserve"> </w:t>
      </w:r>
      <w:r w:rsidRPr="008C25CA">
        <w:rPr>
          <w:rFonts w:ascii="Century Gothic" w:eastAsia="Cambria" w:hAnsi="Century Gothic" w:cs="Calibri"/>
          <w:color w:val="215868"/>
        </w:rPr>
        <w:t>podrán ser destinados</w:t>
      </w:r>
      <w:r>
        <w:rPr>
          <w:rFonts w:ascii="Century Gothic" w:eastAsia="Cambria" w:hAnsi="Century Gothic" w:cs="Calibri"/>
          <w:color w:val="215868"/>
        </w:rPr>
        <w:t xml:space="preserve"> </w:t>
      </w:r>
      <w:r w:rsidRPr="008C25CA">
        <w:rPr>
          <w:rFonts w:ascii="Century Gothic" w:eastAsia="Cambria" w:hAnsi="Century Gothic" w:cs="Calibri"/>
          <w:color w:val="215868"/>
        </w:rPr>
        <w:t>para</w:t>
      </w:r>
      <w:r>
        <w:rPr>
          <w:rFonts w:ascii="Century Gothic" w:eastAsia="Cambria" w:hAnsi="Century Gothic" w:cs="Calibri"/>
          <w:color w:val="215868"/>
        </w:rPr>
        <w:t>:</w:t>
      </w:r>
    </w:p>
    <w:p w14:paraId="26A9AB43" w14:textId="77777777" w:rsidR="00492EB5" w:rsidRDefault="00492EB5" w:rsidP="00A95ADF">
      <w:pPr>
        <w:numPr>
          <w:ilvl w:val="0"/>
          <w:numId w:val="51"/>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w:t>
      </w:r>
      <w:r w:rsidRPr="008C25CA">
        <w:rPr>
          <w:rFonts w:ascii="Century Gothic" w:eastAsia="Cambria" w:hAnsi="Century Gothic" w:cs="Calibri"/>
          <w:color w:val="215868"/>
        </w:rPr>
        <w:t xml:space="preserve">dquirir </w:t>
      </w:r>
      <w:r>
        <w:rPr>
          <w:rFonts w:ascii="Century Gothic" w:eastAsia="Cambria" w:hAnsi="Century Gothic" w:cs="Calibri"/>
          <w:color w:val="215868"/>
        </w:rPr>
        <w:t xml:space="preserve">cualquier clase de </w:t>
      </w:r>
      <w:r w:rsidRPr="008C25CA">
        <w:rPr>
          <w:rFonts w:ascii="Century Gothic" w:eastAsia="Cambria" w:hAnsi="Century Gothic" w:cs="Calibri"/>
          <w:color w:val="215868"/>
        </w:rPr>
        <w:t>equipos,</w:t>
      </w:r>
      <w:r>
        <w:rPr>
          <w:rFonts w:ascii="Century Gothic" w:eastAsia="Cambria" w:hAnsi="Century Gothic" w:cs="Calibri"/>
          <w:color w:val="215868"/>
        </w:rPr>
        <w:t xml:space="preserve"> activos, insumos.</w:t>
      </w:r>
    </w:p>
    <w:p w14:paraId="561BED73" w14:textId="77777777" w:rsidR="00492EB5" w:rsidRDefault="00492EB5" w:rsidP="00A95ADF">
      <w:pPr>
        <w:numPr>
          <w:ilvl w:val="0"/>
          <w:numId w:val="51"/>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Contratar</w:t>
      </w:r>
      <w:r w:rsidRPr="008C25CA">
        <w:rPr>
          <w:rFonts w:ascii="Century Gothic" w:eastAsia="Cambria" w:hAnsi="Century Gothic" w:cs="Calibri"/>
          <w:color w:val="215868"/>
        </w:rPr>
        <w:t xml:space="preserve"> servicios </w:t>
      </w:r>
      <w:r>
        <w:rPr>
          <w:rFonts w:ascii="Century Gothic" w:eastAsia="Cambria" w:hAnsi="Century Gothic" w:cs="Calibri"/>
          <w:color w:val="215868"/>
        </w:rPr>
        <w:t>profesionales o servicios de mantenimiento.</w:t>
      </w:r>
    </w:p>
    <w:p w14:paraId="087132E4" w14:textId="77777777" w:rsidR="00492EB5" w:rsidRDefault="00492EB5" w:rsidP="00A95ADF">
      <w:pPr>
        <w:numPr>
          <w:ilvl w:val="0"/>
          <w:numId w:val="51"/>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Otorgar apoyos a empresas.</w:t>
      </w:r>
    </w:p>
    <w:p w14:paraId="79BA0DB2" w14:textId="77777777" w:rsidR="00492EB5" w:rsidRDefault="00492EB5" w:rsidP="00A95ADF">
      <w:pPr>
        <w:numPr>
          <w:ilvl w:val="0"/>
          <w:numId w:val="51"/>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O</w:t>
      </w:r>
      <w:r w:rsidRPr="008C25CA">
        <w:rPr>
          <w:rFonts w:ascii="Century Gothic" w:eastAsia="Cambria" w:hAnsi="Century Gothic" w:cs="Calibri"/>
          <w:color w:val="215868"/>
        </w:rPr>
        <w:t xml:space="preserve">torgar </w:t>
      </w:r>
      <w:r>
        <w:rPr>
          <w:rFonts w:ascii="Century Gothic" w:eastAsia="Cambria" w:hAnsi="Century Gothic" w:cs="Calibri"/>
          <w:color w:val="215868"/>
        </w:rPr>
        <w:t>apoyos económicos a compradores internacionales relacionados directa o indirectamente con la comunidad empresarial del Estado.</w:t>
      </w:r>
    </w:p>
    <w:p w14:paraId="71AC60B2" w14:textId="77777777" w:rsidR="00492EB5" w:rsidRDefault="00492EB5" w:rsidP="00492EB5">
      <w:pPr>
        <w:autoSpaceDE w:val="0"/>
        <w:autoSpaceDN w:val="0"/>
        <w:adjustRightInd w:val="0"/>
        <w:ind w:left="1068"/>
        <w:jc w:val="both"/>
        <w:rPr>
          <w:rFonts w:ascii="Century Gothic" w:eastAsia="Cambria" w:hAnsi="Century Gothic" w:cs="Calibri"/>
          <w:color w:val="215868"/>
        </w:rPr>
      </w:pPr>
    </w:p>
    <w:p w14:paraId="7D067064" w14:textId="77777777" w:rsidR="00492EB5" w:rsidRDefault="00492EB5" w:rsidP="00A95ADF">
      <w:pPr>
        <w:numPr>
          <w:ilvl w:val="0"/>
          <w:numId w:val="51"/>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R</w:t>
      </w:r>
      <w:r w:rsidRPr="008C25CA">
        <w:rPr>
          <w:rFonts w:ascii="Century Gothic" w:eastAsia="Cambria" w:hAnsi="Century Gothic" w:cs="Calibri"/>
          <w:color w:val="215868"/>
        </w:rPr>
        <w:t xml:space="preserve">ealizar </w:t>
      </w:r>
      <w:r w:rsidRPr="00C6199C">
        <w:rPr>
          <w:rFonts w:ascii="Century Gothic" w:eastAsia="Cambria" w:hAnsi="Century Gothic" w:cs="Calibri"/>
          <w:color w:val="215868"/>
        </w:rPr>
        <w:t>contrataciones temporales</w:t>
      </w:r>
      <w:r>
        <w:rPr>
          <w:rFonts w:ascii="Century Gothic" w:eastAsia="Cambria" w:hAnsi="Century Gothic" w:cs="Calibri"/>
          <w:color w:val="215868"/>
        </w:rPr>
        <w:t>,</w:t>
      </w:r>
      <w:r w:rsidRPr="008C25CA">
        <w:rPr>
          <w:rFonts w:ascii="Century Gothic" w:eastAsia="Cambria" w:hAnsi="Century Gothic" w:cs="Calibri"/>
          <w:color w:val="215868"/>
        </w:rPr>
        <w:t xml:space="preserve"> otorgar estímulos al personal </w:t>
      </w:r>
      <w:r>
        <w:rPr>
          <w:rFonts w:ascii="Century Gothic" w:eastAsia="Cambria" w:hAnsi="Century Gothic" w:cs="Calibri"/>
          <w:color w:val="215868"/>
        </w:rPr>
        <w:t>de la entidad</w:t>
      </w:r>
      <w:r w:rsidRPr="008C25CA">
        <w:rPr>
          <w:rFonts w:ascii="Century Gothic" w:eastAsia="Cambria" w:hAnsi="Century Gothic" w:cs="Calibri"/>
          <w:color w:val="215868"/>
        </w:rPr>
        <w:t>, o para cualquier otro</w:t>
      </w:r>
      <w:r>
        <w:rPr>
          <w:rFonts w:ascii="Century Gothic" w:eastAsia="Cambria" w:hAnsi="Century Gothic" w:cs="Calibri"/>
          <w:color w:val="215868"/>
        </w:rPr>
        <w:t xml:space="preserve"> </w:t>
      </w:r>
      <w:r w:rsidRPr="008C25CA">
        <w:rPr>
          <w:rFonts w:ascii="Century Gothic" w:eastAsia="Cambria" w:hAnsi="Century Gothic" w:cs="Calibri"/>
          <w:color w:val="215868"/>
        </w:rPr>
        <w:t>concepto que designe o autorice el Director General</w:t>
      </w:r>
      <w:r>
        <w:rPr>
          <w:rFonts w:ascii="Century Gothic" w:eastAsia="Cambria" w:hAnsi="Century Gothic" w:cs="Calibri"/>
          <w:color w:val="215868"/>
        </w:rPr>
        <w:t>;</w:t>
      </w:r>
      <w:r w:rsidRPr="008C25CA">
        <w:rPr>
          <w:rFonts w:ascii="Century Gothic" w:eastAsia="Cambria" w:hAnsi="Century Gothic" w:cs="Calibri"/>
          <w:color w:val="215868"/>
        </w:rPr>
        <w:t xml:space="preserve"> observando siempre la normatividad aplicable.</w:t>
      </w:r>
    </w:p>
    <w:p w14:paraId="7B12A389" w14:textId="77777777" w:rsidR="00492EB5" w:rsidRDefault="00492EB5" w:rsidP="00A95ADF">
      <w:pPr>
        <w:numPr>
          <w:ilvl w:val="0"/>
          <w:numId w:val="51"/>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Cubrir gastos por concepto de cuotas, participaciones, membresías, etc; derivados de la interacción de COFOCE o el personal adscrito al organismo;  cuyos beneficios se relacionen con actividades que impacten y sumen al objeto de COFOCE y/o la comunidad empresarial</w:t>
      </w:r>
    </w:p>
    <w:p w14:paraId="1518BEAD" w14:textId="77777777" w:rsidR="00492EB5" w:rsidRDefault="00492EB5" w:rsidP="00492EB5">
      <w:pPr>
        <w:autoSpaceDE w:val="0"/>
        <w:autoSpaceDN w:val="0"/>
        <w:adjustRightInd w:val="0"/>
        <w:jc w:val="both"/>
        <w:rPr>
          <w:rFonts w:ascii="Century Gothic" w:eastAsia="Cambria" w:hAnsi="Century Gothic" w:cs="Calibri"/>
          <w:color w:val="215868"/>
        </w:rPr>
      </w:pPr>
    </w:p>
    <w:p w14:paraId="7157A8B8"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 xml:space="preserve">Art. 14 </w:t>
      </w:r>
      <w:r>
        <w:rPr>
          <w:rFonts w:ascii="Century Gothic" w:eastAsia="Cambria" w:hAnsi="Century Gothic" w:cs="Calibri"/>
          <w:color w:val="215868"/>
        </w:rPr>
        <w:t>La Dirección General de COFOCE conjuntamente con las unidades administrativas responsables respectivas, podrán disponer, determinar, realizar, transferir y reasignar los recursos financieros considerados como ingresos propios, para que estos sean aplicados en los proyectos relacionados directamente con el objeto y las actividades de COFOCE, así como también en todas aquellas erogaciones adicionales que determine a bien aprobar el Consejo Directivo de manera específica.</w:t>
      </w:r>
    </w:p>
    <w:p w14:paraId="4AF08BAF" w14:textId="77777777" w:rsidR="00492EB5" w:rsidRDefault="00492EB5" w:rsidP="00492EB5">
      <w:pPr>
        <w:autoSpaceDE w:val="0"/>
        <w:autoSpaceDN w:val="0"/>
        <w:adjustRightInd w:val="0"/>
        <w:jc w:val="both"/>
        <w:rPr>
          <w:rFonts w:ascii="Century Gothic" w:eastAsia="Cambria" w:hAnsi="Century Gothic" w:cs="Calibri"/>
          <w:color w:val="215868"/>
        </w:rPr>
      </w:pPr>
    </w:p>
    <w:p w14:paraId="092BA7B2"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15</w:t>
      </w:r>
      <w:r>
        <w:rPr>
          <w:b/>
        </w:rPr>
        <w:t xml:space="preserve"> </w:t>
      </w:r>
      <w:r w:rsidRPr="00D63E57">
        <w:rPr>
          <w:rFonts w:ascii="Century Gothic" w:eastAsia="Cambria" w:hAnsi="Century Gothic" w:cs="Calibri"/>
          <w:color w:val="215868"/>
        </w:rPr>
        <w:t>La COFOCE</w:t>
      </w:r>
      <w:r>
        <w:rPr>
          <w:rFonts w:ascii="Century Gothic" w:eastAsia="Cambria" w:hAnsi="Century Gothic" w:cs="Calibri"/>
          <w:color w:val="215868"/>
        </w:rPr>
        <w:t>, a través del Director General, o de quien este designe,</w:t>
      </w:r>
      <w:r>
        <w:rPr>
          <w:b/>
        </w:rPr>
        <w:t xml:space="preserve"> </w:t>
      </w:r>
      <w:r>
        <w:rPr>
          <w:rFonts w:ascii="Century Gothic" w:eastAsia="Cambria" w:hAnsi="Century Gothic" w:cs="Calibri"/>
          <w:color w:val="215868"/>
        </w:rPr>
        <w:t>deberá presentar al Consejo Directivo</w:t>
      </w:r>
      <w:r w:rsidRPr="0086146B">
        <w:rPr>
          <w:rFonts w:ascii="Century Gothic" w:eastAsia="Cambria" w:hAnsi="Century Gothic" w:cs="Calibri"/>
          <w:color w:val="215868"/>
        </w:rPr>
        <w:t>, al menos una vez por año,</w:t>
      </w:r>
      <w:r>
        <w:rPr>
          <w:rFonts w:ascii="Century Gothic" w:eastAsia="Cambria" w:hAnsi="Century Gothic" w:cs="Calibri"/>
          <w:color w:val="215868"/>
        </w:rPr>
        <w:t xml:space="preserve"> un informe pormenorizado</w:t>
      </w:r>
      <w:r w:rsidRPr="0086146B">
        <w:rPr>
          <w:rFonts w:ascii="Century Gothic" w:eastAsia="Cambria" w:hAnsi="Century Gothic" w:cs="Calibri"/>
          <w:color w:val="215868"/>
        </w:rPr>
        <w:t xml:space="preserve"> sobre la captación y ejercicio de los Recursos </w:t>
      </w:r>
      <w:r>
        <w:rPr>
          <w:rFonts w:ascii="Century Gothic" w:eastAsia="Cambria" w:hAnsi="Century Gothic" w:cs="Calibri"/>
          <w:color w:val="215868"/>
        </w:rPr>
        <w:t>por</w:t>
      </w:r>
      <w:r w:rsidRPr="0086146B">
        <w:rPr>
          <w:rFonts w:ascii="Century Gothic" w:eastAsia="Cambria" w:hAnsi="Century Gothic" w:cs="Calibri"/>
          <w:color w:val="215868"/>
        </w:rPr>
        <w:t xml:space="preserve"> Ingresos Propios</w:t>
      </w:r>
      <w:r>
        <w:rPr>
          <w:rFonts w:ascii="Century Gothic" w:eastAsia="Cambria" w:hAnsi="Century Gothic" w:cs="Calibri"/>
          <w:color w:val="215868"/>
        </w:rPr>
        <w:t>.</w:t>
      </w:r>
    </w:p>
    <w:p w14:paraId="6ACD1973" w14:textId="77777777" w:rsidR="00492EB5" w:rsidRDefault="00492EB5" w:rsidP="00492EB5">
      <w:pPr>
        <w:autoSpaceDE w:val="0"/>
        <w:autoSpaceDN w:val="0"/>
        <w:adjustRightInd w:val="0"/>
        <w:jc w:val="both"/>
        <w:rPr>
          <w:rFonts w:ascii="Century Gothic" w:eastAsia="Cambria" w:hAnsi="Century Gothic" w:cs="Calibri"/>
          <w:color w:val="215868"/>
        </w:rPr>
      </w:pPr>
    </w:p>
    <w:p w14:paraId="59563D0C" w14:textId="77777777" w:rsidR="00492EB5" w:rsidRPr="00AD3C6E"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16</w:t>
      </w:r>
      <w:r w:rsidRPr="00AE0200">
        <w:rPr>
          <w:rFonts w:ascii="Century Gothic" w:eastAsia="Cambria" w:hAnsi="Century Gothic" w:cs="Calibri"/>
          <w:b/>
          <w:color w:val="215868"/>
        </w:rPr>
        <w:t xml:space="preserve"> </w:t>
      </w:r>
      <w:r w:rsidRPr="00AE0200">
        <w:rPr>
          <w:rFonts w:ascii="Century Gothic" w:eastAsia="Cambria" w:hAnsi="Century Gothic" w:cs="Calibri"/>
          <w:color w:val="215868"/>
        </w:rPr>
        <w:t>Para efectos de transparencia y especificidad en algunos de los rubros en los que podrá</w:t>
      </w:r>
      <w:r>
        <w:rPr>
          <w:rFonts w:ascii="Century Gothic" w:eastAsia="Cambria" w:hAnsi="Century Gothic" w:cs="Calibri"/>
          <w:color w:val="215868"/>
        </w:rPr>
        <w:t>n</w:t>
      </w:r>
      <w:r w:rsidRPr="00AE0200">
        <w:rPr>
          <w:rFonts w:ascii="Century Gothic" w:eastAsia="Cambria" w:hAnsi="Century Gothic" w:cs="Calibri"/>
          <w:color w:val="215868"/>
        </w:rPr>
        <w:t xml:space="preserve"> aplicarse los recursos propios, se detallarán </w:t>
      </w:r>
      <w:r>
        <w:rPr>
          <w:rFonts w:ascii="Century Gothic" w:eastAsia="Cambria" w:hAnsi="Century Gothic" w:cs="Calibri"/>
          <w:color w:val="215868"/>
        </w:rPr>
        <w:t xml:space="preserve">a continuación </w:t>
      </w:r>
      <w:r w:rsidRPr="00AE0200">
        <w:rPr>
          <w:rFonts w:ascii="Century Gothic" w:eastAsia="Cambria" w:hAnsi="Century Gothic" w:cs="Calibri"/>
          <w:color w:val="215868"/>
        </w:rPr>
        <w:t xml:space="preserve">capítulos </w:t>
      </w:r>
      <w:r>
        <w:rPr>
          <w:rFonts w:ascii="Century Gothic" w:eastAsia="Cambria" w:hAnsi="Century Gothic" w:cs="Calibri"/>
          <w:color w:val="215868"/>
        </w:rPr>
        <w:t>específicos</w:t>
      </w:r>
      <w:r w:rsidRPr="00AE0200">
        <w:rPr>
          <w:rFonts w:ascii="Century Gothic" w:eastAsia="Cambria" w:hAnsi="Century Gothic" w:cs="Calibri"/>
          <w:color w:val="215868"/>
        </w:rPr>
        <w:t xml:space="preserve"> </w:t>
      </w:r>
      <w:r>
        <w:rPr>
          <w:rFonts w:ascii="Century Gothic" w:eastAsia="Cambria" w:hAnsi="Century Gothic" w:cs="Calibri"/>
          <w:color w:val="215868"/>
        </w:rPr>
        <w:t xml:space="preserve">para </w:t>
      </w:r>
      <w:r w:rsidRPr="00AE0200">
        <w:rPr>
          <w:rFonts w:ascii="Century Gothic" w:eastAsia="Cambria" w:hAnsi="Century Gothic" w:cs="Calibri"/>
          <w:color w:val="215868"/>
        </w:rPr>
        <w:t xml:space="preserve">aquellos conceptos que por su </w:t>
      </w:r>
      <w:r>
        <w:rPr>
          <w:rFonts w:ascii="Century Gothic" w:eastAsia="Cambria" w:hAnsi="Century Gothic" w:cs="Calibri"/>
          <w:color w:val="215868"/>
        </w:rPr>
        <w:t xml:space="preserve">naturaleza y </w:t>
      </w:r>
      <w:r w:rsidRPr="00AE0200">
        <w:rPr>
          <w:rFonts w:ascii="Century Gothic" w:eastAsia="Cambria" w:hAnsi="Century Gothic" w:cs="Calibri"/>
          <w:color w:val="215868"/>
        </w:rPr>
        <w:t>relevancia, importancia o t</w:t>
      </w:r>
      <w:r>
        <w:rPr>
          <w:rFonts w:ascii="Century Gothic" w:eastAsia="Cambria" w:hAnsi="Century Gothic" w:cs="Calibri"/>
          <w:color w:val="215868"/>
        </w:rPr>
        <w:t>rascendencia; tengan este mérito.</w:t>
      </w:r>
    </w:p>
    <w:p w14:paraId="5C70E154" w14:textId="77777777" w:rsidR="00492EB5" w:rsidRDefault="00492EB5" w:rsidP="00492EB5">
      <w:pPr>
        <w:pStyle w:val="Prrafodelista"/>
        <w:ind w:left="0" w:firstLine="426"/>
        <w:rPr>
          <w:rFonts w:ascii="Century Gothic" w:eastAsia="Cambria" w:hAnsi="Century Gothic" w:cs="Calibri"/>
          <w:b/>
          <w:color w:val="215868"/>
        </w:rPr>
      </w:pPr>
    </w:p>
    <w:p w14:paraId="718149E6" w14:textId="77777777" w:rsidR="00492EB5" w:rsidRDefault="00492EB5" w:rsidP="00492EB5">
      <w:pPr>
        <w:pStyle w:val="Prrafodelista"/>
        <w:ind w:left="0" w:firstLine="706"/>
        <w:rPr>
          <w:rFonts w:ascii="Century Gothic" w:eastAsia="Cambria" w:hAnsi="Century Gothic" w:cs="Calibri"/>
          <w:b/>
          <w:color w:val="215868"/>
        </w:rPr>
      </w:pPr>
      <w:r>
        <w:rPr>
          <w:rFonts w:ascii="Century Gothic" w:eastAsia="Cambria" w:hAnsi="Century Gothic" w:cs="Calibri"/>
          <w:b/>
          <w:color w:val="215868"/>
        </w:rPr>
        <w:t>III.1 ADQUISICION DE ACTIVOS</w:t>
      </w:r>
    </w:p>
    <w:p w14:paraId="07FCFC76" w14:textId="77777777" w:rsidR="00492EB5" w:rsidRPr="00CF65A3" w:rsidRDefault="00492EB5" w:rsidP="00492EB5">
      <w:pPr>
        <w:pStyle w:val="Prrafodelista"/>
        <w:ind w:left="0" w:firstLine="706"/>
        <w:rPr>
          <w:rFonts w:ascii="Century Gothic" w:eastAsia="Cambria" w:hAnsi="Century Gothic" w:cs="Calibri"/>
          <w:b/>
          <w:color w:val="215868"/>
        </w:rPr>
      </w:pPr>
    </w:p>
    <w:p w14:paraId="0F6DF0BE" w14:textId="77777777" w:rsidR="00492EB5" w:rsidRPr="00D82E21"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17</w:t>
      </w:r>
      <w:r>
        <w:rPr>
          <w:b/>
        </w:rPr>
        <w:t xml:space="preserve"> </w:t>
      </w:r>
      <w:r w:rsidRPr="00903DB0">
        <w:rPr>
          <w:rFonts w:ascii="Century Gothic" w:eastAsia="Cambria" w:hAnsi="Century Gothic" w:cs="Calibri"/>
          <w:color w:val="215868"/>
        </w:rPr>
        <w:t>Se podrán adquirir activos con la finalidad de coadyuvar en el cump</w:t>
      </w:r>
      <w:r>
        <w:rPr>
          <w:rFonts w:ascii="Century Gothic" w:eastAsia="Cambria" w:hAnsi="Century Gothic" w:cs="Calibri"/>
          <w:color w:val="215868"/>
        </w:rPr>
        <w:t xml:space="preserve">limiento de metas del organismo -con cargo a Recursos Propios-, afectando las partidas que integran el capítulo presupuestal identificado en el Clasificador por Objeto del Gasto referido como </w:t>
      </w:r>
      <w:r w:rsidRPr="00F90B98">
        <w:rPr>
          <w:rFonts w:ascii="Century Gothic" w:eastAsia="Cambria" w:hAnsi="Century Gothic" w:cs="Calibri"/>
          <w:color w:val="215868"/>
        </w:rPr>
        <w:t>5000</w:t>
      </w:r>
      <w:r>
        <w:rPr>
          <w:rFonts w:ascii="Century Gothic" w:eastAsia="Cambria" w:hAnsi="Century Gothic" w:cs="Calibri"/>
          <w:color w:val="215868"/>
        </w:rPr>
        <w:t xml:space="preserve"> </w:t>
      </w:r>
      <w:r w:rsidRPr="00837116">
        <w:rPr>
          <w:rFonts w:ascii="Century Gothic" w:eastAsia="Cambria" w:hAnsi="Century Gothic" w:cs="Calibri"/>
          <w:color w:val="215868"/>
        </w:rPr>
        <w:t xml:space="preserve">denominado </w:t>
      </w:r>
      <w:r w:rsidRPr="00F90B98">
        <w:rPr>
          <w:rFonts w:ascii="Century Gothic" w:eastAsia="Cambria" w:hAnsi="Century Gothic" w:cs="Calibri"/>
          <w:color w:val="215868"/>
        </w:rPr>
        <w:t>“BIENES MUEBLES, INMUEBLES E INTANGIBLES</w:t>
      </w:r>
      <w:r>
        <w:rPr>
          <w:rFonts w:ascii="Century Gothic" w:eastAsia="Cambria" w:hAnsi="Century Gothic" w:cs="Calibri"/>
          <w:color w:val="215868"/>
        </w:rPr>
        <w:t>”</w:t>
      </w:r>
      <w:r w:rsidRPr="00837116">
        <w:rPr>
          <w:rFonts w:ascii="Century Gothic" w:eastAsia="Cambria" w:hAnsi="Century Gothic" w:cs="Calibri"/>
          <w:color w:val="215868"/>
        </w:rPr>
        <w:t>.</w:t>
      </w:r>
    </w:p>
    <w:p w14:paraId="07B97382"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18</w:t>
      </w:r>
      <w:r>
        <w:rPr>
          <w:b/>
        </w:rPr>
        <w:t xml:space="preserve"> </w:t>
      </w:r>
      <w:r w:rsidRPr="00D82E21">
        <w:rPr>
          <w:rFonts w:ascii="Century Gothic" w:eastAsia="Cambria" w:hAnsi="Century Gothic" w:cs="Calibri"/>
          <w:color w:val="215868"/>
        </w:rPr>
        <w:t>Con antelación a la compra se deberá verificar la suficiencia presupuestal y se deberá cumplir con las normas</w:t>
      </w:r>
      <w:r>
        <w:rPr>
          <w:rFonts w:ascii="Century Gothic" w:eastAsia="Cambria" w:hAnsi="Century Gothic" w:cs="Calibri"/>
          <w:color w:val="215868"/>
        </w:rPr>
        <w:t xml:space="preserve">, procedimientos </w:t>
      </w:r>
      <w:r w:rsidRPr="00D82E21">
        <w:rPr>
          <w:rFonts w:ascii="Century Gothic" w:eastAsia="Cambria" w:hAnsi="Century Gothic" w:cs="Calibri"/>
          <w:color w:val="215868"/>
        </w:rPr>
        <w:t xml:space="preserve">y </w:t>
      </w:r>
      <w:r>
        <w:rPr>
          <w:rFonts w:ascii="Century Gothic" w:eastAsia="Cambria" w:hAnsi="Century Gothic" w:cs="Calibri"/>
          <w:color w:val="215868"/>
        </w:rPr>
        <w:t xml:space="preserve">autorizaciones correspondientes con base en la </w:t>
      </w:r>
      <w:r w:rsidRPr="00D82E21">
        <w:rPr>
          <w:rFonts w:ascii="Century Gothic" w:eastAsia="Cambria" w:hAnsi="Century Gothic" w:cs="Calibri"/>
          <w:color w:val="215868"/>
        </w:rPr>
        <w:t>legislación aplicable para dicha adquisición.</w:t>
      </w:r>
    </w:p>
    <w:p w14:paraId="7090E477" w14:textId="77777777" w:rsidR="00492EB5" w:rsidRDefault="00492EB5" w:rsidP="00492EB5">
      <w:pPr>
        <w:autoSpaceDE w:val="0"/>
        <w:autoSpaceDN w:val="0"/>
        <w:adjustRightInd w:val="0"/>
        <w:jc w:val="both"/>
        <w:rPr>
          <w:rFonts w:ascii="Century Gothic" w:eastAsia="Cambria" w:hAnsi="Century Gothic" w:cs="Calibri"/>
          <w:color w:val="215868"/>
        </w:rPr>
      </w:pPr>
    </w:p>
    <w:p w14:paraId="0199A9D0" w14:textId="77777777" w:rsidR="00492EB5" w:rsidRDefault="00492EB5" w:rsidP="00492EB5">
      <w:pPr>
        <w:pStyle w:val="Prrafodelista"/>
        <w:ind w:left="0" w:firstLine="706"/>
        <w:rPr>
          <w:rFonts w:ascii="Century Gothic" w:eastAsia="Cambria" w:hAnsi="Century Gothic" w:cs="Calibri"/>
          <w:b/>
          <w:color w:val="215868"/>
        </w:rPr>
      </w:pPr>
      <w:r>
        <w:rPr>
          <w:rFonts w:ascii="Century Gothic" w:eastAsia="Cambria" w:hAnsi="Century Gothic" w:cs="Calibri"/>
          <w:b/>
          <w:color w:val="215868"/>
        </w:rPr>
        <w:t>III.2 APOYO A EMPRESAS</w:t>
      </w:r>
    </w:p>
    <w:p w14:paraId="7F143859" w14:textId="77777777" w:rsidR="00492EB5" w:rsidRPr="00D12C46" w:rsidRDefault="00492EB5" w:rsidP="00492EB5">
      <w:pPr>
        <w:pStyle w:val="Prrafodelista"/>
        <w:ind w:left="0" w:firstLine="706"/>
        <w:rPr>
          <w:rFonts w:ascii="Century Gothic" w:eastAsia="Cambria" w:hAnsi="Century Gothic" w:cs="Calibri"/>
          <w:b/>
          <w:color w:val="215868"/>
        </w:rPr>
      </w:pPr>
    </w:p>
    <w:p w14:paraId="45C2997B"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19</w:t>
      </w:r>
      <w:r>
        <w:rPr>
          <w:rFonts w:ascii="Century Gothic" w:eastAsia="Cambria" w:hAnsi="Century Gothic" w:cs="Calibri"/>
          <w:color w:val="215868"/>
        </w:rPr>
        <w:t xml:space="preserve"> </w:t>
      </w:r>
      <w:r w:rsidRPr="00BC19B0">
        <w:rPr>
          <w:rFonts w:ascii="Century Gothic" w:eastAsia="Cambria" w:hAnsi="Century Gothic" w:cs="Calibri"/>
          <w:color w:val="215868"/>
        </w:rPr>
        <w:t>Se podrá</w:t>
      </w:r>
      <w:r>
        <w:rPr>
          <w:rFonts w:ascii="Century Gothic" w:eastAsia="Cambria" w:hAnsi="Century Gothic" w:cs="Calibri"/>
          <w:color w:val="215868"/>
        </w:rPr>
        <w:t>n</w:t>
      </w:r>
      <w:r w:rsidRPr="00BC19B0">
        <w:rPr>
          <w:rFonts w:ascii="Century Gothic" w:eastAsia="Cambria" w:hAnsi="Century Gothic" w:cs="Calibri"/>
          <w:color w:val="215868"/>
        </w:rPr>
        <w:t xml:space="preserve"> otorgar apoyos </w:t>
      </w:r>
      <w:r>
        <w:rPr>
          <w:rFonts w:ascii="Century Gothic" w:eastAsia="Cambria" w:hAnsi="Century Gothic" w:cs="Calibri"/>
          <w:color w:val="215868"/>
        </w:rPr>
        <w:t>económicos con cargo a los fondos presupuestales donde se encuentren los recursos propios de la COFOCE, cuando se trate de</w:t>
      </w:r>
      <w:r w:rsidRPr="00BC19B0">
        <w:rPr>
          <w:rFonts w:ascii="Century Gothic" w:eastAsia="Cambria" w:hAnsi="Century Gothic" w:cs="Calibri"/>
          <w:color w:val="215868"/>
        </w:rPr>
        <w:t xml:space="preserve"> empresas</w:t>
      </w:r>
      <w:r>
        <w:rPr>
          <w:rFonts w:ascii="Century Gothic" w:eastAsia="Cambria" w:hAnsi="Century Gothic" w:cs="Calibri"/>
          <w:color w:val="215868"/>
        </w:rPr>
        <w:t xml:space="preserve"> constituidas como Personas Físicas y/o Morales, públicas, privadas, exportadoras o con potencial exportador,  educativas, etc. nacionales </w:t>
      </w:r>
      <w:r w:rsidRPr="00BC19B0">
        <w:rPr>
          <w:rFonts w:ascii="Century Gothic" w:eastAsia="Cambria" w:hAnsi="Century Gothic" w:cs="Calibri"/>
          <w:color w:val="215868"/>
        </w:rPr>
        <w:t>y</w:t>
      </w:r>
      <w:r>
        <w:rPr>
          <w:rFonts w:ascii="Century Gothic" w:eastAsia="Cambria" w:hAnsi="Century Gothic" w:cs="Calibri"/>
          <w:color w:val="215868"/>
        </w:rPr>
        <w:t>/o</w:t>
      </w:r>
      <w:r w:rsidRPr="00BC19B0">
        <w:rPr>
          <w:rFonts w:ascii="Century Gothic" w:eastAsia="Cambria" w:hAnsi="Century Gothic" w:cs="Calibri"/>
          <w:color w:val="215868"/>
        </w:rPr>
        <w:t xml:space="preserve"> </w:t>
      </w:r>
      <w:r>
        <w:rPr>
          <w:rFonts w:ascii="Century Gothic" w:eastAsia="Cambria" w:hAnsi="Century Gothic" w:cs="Calibri"/>
          <w:color w:val="215868"/>
        </w:rPr>
        <w:t>e</w:t>
      </w:r>
      <w:r w:rsidRPr="00BC19B0">
        <w:rPr>
          <w:rFonts w:ascii="Century Gothic" w:eastAsia="Cambria" w:hAnsi="Century Gothic" w:cs="Calibri"/>
          <w:color w:val="215868"/>
        </w:rPr>
        <w:t>xtranjeras</w:t>
      </w:r>
      <w:r>
        <w:rPr>
          <w:rFonts w:ascii="Century Gothic" w:eastAsia="Cambria" w:hAnsi="Century Gothic" w:cs="Calibri"/>
          <w:color w:val="215868"/>
        </w:rPr>
        <w:t xml:space="preserve">; cuyo </w:t>
      </w:r>
      <w:r w:rsidRPr="00BC19B0">
        <w:rPr>
          <w:rFonts w:ascii="Century Gothic" w:eastAsia="Cambria" w:hAnsi="Century Gothic" w:cs="Calibri"/>
          <w:color w:val="215868"/>
        </w:rPr>
        <w:t xml:space="preserve">enfoque </w:t>
      </w:r>
      <w:r>
        <w:rPr>
          <w:rFonts w:ascii="Century Gothic" w:eastAsia="Cambria" w:hAnsi="Century Gothic" w:cs="Calibri"/>
          <w:color w:val="215868"/>
        </w:rPr>
        <w:t>se traduzca en beneficios directos o indirectos al</w:t>
      </w:r>
      <w:r w:rsidRPr="00BC19B0">
        <w:rPr>
          <w:rFonts w:ascii="Century Gothic" w:eastAsia="Cambria" w:hAnsi="Century Gothic" w:cs="Calibri"/>
          <w:color w:val="215868"/>
        </w:rPr>
        <w:t xml:space="preserve"> desarrollo empresarial</w:t>
      </w:r>
      <w:r>
        <w:rPr>
          <w:rFonts w:ascii="Century Gothic" w:eastAsia="Cambria" w:hAnsi="Century Gothic" w:cs="Calibri"/>
          <w:color w:val="215868"/>
        </w:rPr>
        <w:t xml:space="preserve"> del Estado</w:t>
      </w:r>
      <w:r w:rsidRPr="00BC19B0">
        <w:rPr>
          <w:rFonts w:ascii="Century Gothic" w:eastAsia="Cambria" w:hAnsi="Century Gothic" w:cs="Calibri"/>
          <w:color w:val="215868"/>
        </w:rPr>
        <w:t xml:space="preserve"> </w:t>
      </w:r>
      <w:r>
        <w:rPr>
          <w:rFonts w:ascii="Century Gothic" w:eastAsia="Cambria" w:hAnsi="Century Gothic" w:cs="Calibri"/>
          <w:color w:val="215868"/>
        </w:rPr>
        <w:t>y/o a sus</w:t>
      </w:r>
      <w:r w:rsidRPr="00BC19B0">
        <w:rPr>
          <w:rFonts w:ascii="Century Gothic" w:eastAsia="Cambria" w:hAnsi="Century Gothic" w:cs="Calibri"/>
          <w:color w:val="215868"/>
        </w:rPr>
        <w:t xml:space="preserve"> actividades de internacionalización de productos y servicios</w:t>
      </w:r>
      <w:r>
        <w:rPr>
          <w:rFonts w:ascii="Century Gothic" w:eastAsia="Cambria" w:hAnsi="Century Gothic" w:cs="Calibri"/>
          <w:color w:val="215868"/>
        </w:rPr>
        <w:t>, y/o al desarrollo de la oferta exportable; dentro de los que destacan principalmente:</w:t>
      </w:r>
    </w:p>
    <w:p w14:paraId="5586DF52" w14:textId="77777777" w:rsidR="00492EB5" w:rsidRDefault="00492EB5" w:rsidP="00492EB5">
      <w:pPr>
        <w:autoSpaceDE w:val="0"/>
        <w:autoSpaceDN w:val="0"/>
        <w:adjustRightInd w:val="0"/>
        <w:jc w:val="both"/>
        <w:rPr>
          <w:rFonts w:ascii="Century Gothic" w:eastAsia="Cambria" w:hAnsi="Century Gothic" w:cs="Calibri"/>
          <w:color w:val="215868"/>
        </w:rPr>
      </w:pPr>
    </w:p>
    <w:p w14:paraId="5BCD31DF" w14:textId="77777777" w:rsidR="00530DD1" w:rsidRDefault="00530DD1" w:rsidP="00492EB5">
      <w:pPr>
        <w:autoSpaceDE w:val="0"/>
        <w:autoSpaceDN w:val="0"/>
        <w:adjustRightInd w:val="0"/>
        <w:jc w:val="both"/>
        <w:rPr>
          <w:rFonts w:ascii="Century Gothic" w:eastAsia="Cambria" w:hAnsi="Century Gothic" w:cs="Calibri"/>
          <w:color w:val="215868"/>
        </w:rPr>
      </w:pPr>
    </w:p>
    <w:p w14:paraId="32322C40" w14:textId="77777777" w:rsidR="00492EB5" w:rsidRPr="007D0394"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sidRPr="007D0394">
        <w:rPr>
          <w:rFonts w:ascii="Century Gothic" w:eastAsia="Cambria" w:hAnsi="Century Gothic" w:cs="Calibri"/>
          <w:color w:val="215868"/>
        </w:rPr>
        <w:lastRenderedPageBreak/>
        <w:t>Implementación de mejoras en comercio exterior;</w:t>
      </w:r>
    </w:p>
    <w:p w14:paraId="49D85676" w14:textId="77777777" w:rsidR="00492EB5" w:rsidRPr="007D0394"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sidRPr="007D0394">
        <w:rPr>
          <w:rFonts w:ascii="Century Gothic" w:eastAsia="Cambria" w:hAnsi="Century Gothic" w:cs="Calibri"/>
          <w:color w:val="215868"/>
        </w:rPr>
        <w:t>Fortalecimiento de la protección internacional de la propiedad intelectual;</w:t>
      </w:r>
    </w:p>
    <w:p w14:paraId="0B79C416"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Auditorias preventivas en materia de comercio exterior;</w:t>
      </w:r>
    </w:p>
    <w:p w14:paraId="596443F3"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Proceso de certificación ante el SAT en materia de IVA y IEPS;</w:t>
      </w:r>
    </w:p>
    <w:p w14:paraId="768FB7D0"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Asesoría para la obtención de padrones sectoriales;</w:t>
      </w:r>
    </w:p>
    <w:p w14:paraId="028B8E0B"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Adquisición de sistemas de cómputo para el control de inventarios para anexo 24 y anexo 31 para empresas IMMEX;</w:t>
      </w:r>
    </w:p>
    <w:p w14:paraId="3ED4E9A1"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 xml:space="preserve">Asesoría, consultoría y derechos gubernamentales relacionados con la presentación de la solicitud de protección de marca ante la autoridad de cualquier país distinto a México o territorio; </w:t>
      </w:r>
    </w:p>
    <w:p w14:paraId="091390B9"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 xml:space="preserve">Asesoría, consultoría y derechos encaminados a la protección de marca a través del protocolo concerniente al arreglo de Madrid relativo al Registro Internacional de marcas cuando la oficina de origen de la solicitud sea México; </w:t>
      </w:r>
    </w:p>
    <w:p w14:paraId="4EA3BB69"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Capacitación en un sistema de gestión para el desarrollo de la oferta exportable;</w:t>
      </w:r>
    </w:p>
    <w:p w14:paraId="7A597971"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Consultoría en un sistema de gestión para el desarrollo de la oferta exportable;</w:t>
      </w:r>
    </w:p>
    <w:p w14:paraId="5594DD22"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Auditorias en un sistema de gestión para el desarrollo de la oferta exportable;</w:t>
      </w:r>
    </w:p>
    <w:p w14:paraId="4AF44F92"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Análisis de laboratorio como cumplimiento de un requerimiento internacional;</w:t>
      </w:r>
    </w:p>
    <w:p w14:paraId="199D754C"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Asesoría en el cumplimiento de requerimientos y regulaciones internacionales para la exportación de productos;</w:t>
      </w:r>
    </w:p>
    <w:p w14:paraId="48A9B59B"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Cumplimiento de requerimientos específicos del cliente en el extranjero necesarios para la exportación;</w:t>
      </w:r>
    </w:p>
    <w:p w14:paraId="31A8E2B6" w14:textId="77777777" w:rsidR="00492EB5" w:rsidRPr="009B2FDD"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Capacitación empresarial en temas relacionados con el comercio exterior o la internacionalización;</w:t>
      </w:r>
    </w:p>
    <w:p w14:paraId="370E2D12"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Apoyo por participación en ferias comerciales con stand temporal o permanente (show rooms), exposiciones y/o eventos de promoción de carácter internacional;</w:t>
      </w:r>
    </w:p>
    <w:p w14:paraId="35E3D3EC"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Apoyo para participación en giras de negocios;</w:t>
      </w:r>
    </w:p>
    <w:p w14:paraId="0045CA0C"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Apoyo para hospedaje y/o transporte aéreo para atracción de compradores;</w:t>
      </w:r>
    </w:p>
    <w:p w14:paraId="1064E283"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Apoyo para consultoría internacional;</w:t>
      </w:r>
    </w:p>
    <w:p w14:paraId="09527F41"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Representación de empresas en stand institucionales;</w:t>
      </w:r>
    </w:p>
    <w:p w14:paraId="3CE8A348"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 xml:space="preserve">Apoyo para envío de muestras en el extranjero; </w:t>
      </w:r>
    </w:p>
    <w:p w14:paraId="43CCD5CE"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 xml:space="preserve">Apoyo para plataformas digitales de promoción internacional; </w:t>
      </w:r>
    </w:p>
    <w:p w14:paraId="24332B49" w14:textId="77777777" w:rsidR="00492EB5" w:rsidRPr="00A15171"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 xml:space="preserve">Apoyo derivado de convenios de colaboración con instituciones públicas, privadas, educativas etc., nacionales y/o extranjeras </w:t>
      </w:r>
      <w:r w:rsidRPr="00A15171">
        <w:rPr>
          <w:rFonts w:ascii="Century Gothic" w:eastAsia="Cambria" w:hAnsi="Century Gothic" w:cs="Calibri"/>
          <w:color w:val="215868"/>
        </w:rPr>
        <w:t>y;</w:t>
      </w:r>
    </w:p>
    <w:p w14:paraId="5A105520" w14:textId="77777777" w:rsidR="00492EB5" w:rsidRDefault="00492EB5" w:rsidP="00A95ADF">
      <w:pPr>
        <w:numPr>
          <w:ilvl w:val="0"/>
          <w:numId w:val="43"/>
        </w:numPr>
        <w:autoSpaceDE w:val="0"/>
        <w:autoSpaceDN w:val="0"/>
        <w:adjustRightInd w:val="0"/>
        <w:spacing w:after="0" w:line="240" w:lineRule="auto"/>
        <w:jc w:val="both"/>
        <w:rPr>
          <w:rFonts w:ascii="Century Gothic" w:eastAsia="Cambria" w:hAnsi="Century Gothic" w:cs="Calibri"/>
          <w:color w:val="215868"/>
        </w:rPr>
      </w:pPr>
      <w:r>
        <w:rPr>
          <w:rFonts w:ascii="Century Gothic" w:eastAsia="Cambria" w:hAnsi="Century Gothic" w:cs="Calibri"/>
          <w:color w:val="215868"/>
        </w:rPr>
        <w:t>En general todas aquellas actividades relacionadas directa o indirectamente con el proceso de exportación o internacionalización de las empresas de Guanajuato.</w:t>
      </w:r>
    </w:p>
    <w:p w14:paraId="3F9EA303" w14:textId="77777777" w:rsidR="00492EB5" w:rsidRPr="001A3EE1" w:rsidRDefault="00492EB5" w:rsidP="00492EB5">
      <w:pPr>
        <w:autoSpaceDE w:val="0"/>
        <w:autoSpaceDN w:val="0"/>
        <w:adjustRightInd w:val="0"/>
        <w:jc w:val="both"/>
        <w:rPr>
          <w:rFonts w:ascii="Century Gothic" w:eastAsia="Cambria" w:hAnsi="Century Gothic" w:cs="Calibri"/>
          <w:color w:val="215868"/>
        </w:rPr>
      </w:pPr>
    </w:p>
    <w:p w14:paraId="43E083A1"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lastRenderedPageBreak/>
        <w:t xml:space="preserve">Art. 20 </w:t>
      </w:r>
      <w:r w:rsidRPr="00EC6177">
        <w:rPr>
          <w:rFonts w:ascii="Century Gothic" w:eastAsia="Cambria" w:hAnsi="Century Gothic" w:cs="Calibri"/>
          <w:color w:val="215868"/>
        </w:rPr>
        <w:t>Es responsabilidad de cada una de las áreas</w:t>
      </w:r>
      <w:r>
        <w:rPr>
          <w:rFonts w:ascii="Century Gothic" w:eastAsia="Cambria" w:hAnsi="Century Gothic" w:cs="Calibri"/>
          <w:color w:val="215868"/>
        </w:rPr>
        <w:t xml:space="preserve"> la ejecución y </w:t>
      </w:r>
      <w:r w:rsidRPr="00EC6177">
        <w:rPr>
          <w:rFonts w:ascii="Century Gothic" w:eastAsia="Cambria" w:hAnsi="Century Gothic" w:cs="Calibri"/>
          <w:color w:val="215868"/>
        </w:rPr>
        <w:t xml:space="preserve">el compromiso del apoyo </w:t>
      </w:r>
      <w:r>
        <w:rPr>
          <w:rFonts w:ascii="Century Gothic" w:eastAsia="Cambria" w:hAnsi="Century Gothic" w:cs="Calibri"/>
          <w:color w:val="215868"/>
        </w:rPr>
        <w:t xml:space="preserve">económico, </w:t>
      </w:r>
      <w:r w:rsidRPr="00EC6177">
        <w:rPr>
          <w:rFonts w:ascii="Century Gothic" w:eastAsia="Cambria" w:hAnsi="Century Gothic" w:cs="Calibri"/>
          <w:color w:val="215868"/>
        </w:rPr>
        <w:t>sujetándose a la suficiencia presupuestal</w:t>
      </w:r>
      <w:r>
        <w:rPr>
          <w:rFonts w:ascii="Century Gothic" w:eastAsia="Cambria" w:hAnsi="Century Gothic" w:cs="Calibri"/>
          <w:color w:val="215868"/>
        </w:rPr>
        <w:t xml:space="preserve"> disponible.</w:t>
      </w:r>
    </w:p>
    <w:p w14:paraId="172693A7"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 xml:space="preserve">Art. 21 </w:t>
      </w:r>
      <w:r>
        <w:rPr>
          <w:rFonts w:ascii="Century Gothic" w:eastAsia="Cambria" w:hAnsi="Century Gothic" w:cs="Calibri"/>
          <w:color w:val="215868"/>
        </w:rPr>
        <w:t>Podrá afectarse presupuestalmente a las partidas de gasto 4320 y 4330 denominadas “Subsidios a la distribución” y “Subsidios a la Inversión” respectivamente, o en su defecto las que en su caso apliquen o contengan los conceptos referidos en el artículo anterior y se encuentren contempladas en el</w:t>
      </w:r>
      <w:r w:rsidRPr="00A15171">
        <w:rPr>
          <w:rFonts w:ascii="Century Gothic" w:eastAsia="Cambria" w:hAnsi="Century Gothic" w:cs="Calibri"/>
          <w:color w:val="215868"/>
        </w:rPr>
        <w:t xml:space="preserve"> </w:t>
      </w:r>
      <w:r>
        <w:rPr>
          <w:rFonts w:ascii="Century Gothic" w:eastAsia="Cambria" w:hAnsi="Century Gothic" w:cs="Calibri"/>
          <w:color w:val="215868"/>
        </w:rPr>
        <w:t>capítulo presupuestal identificado en el Clasificador por Objeto del Gasto como 4</w:t>
      </w:r>
      <w:r w:rsidRPr="00F90B98">
        <w:rPr>
          <w:rFonts w:ascii="Century Gothic" w:eastAsia="Cambria" w:hAnsi="Century Gothic" w:cs="Calibri"/>
          <w:color w:val="215868"/>
        </w:rPr>
        <w:t>000</w:t>
      </w:r>
      <w:r>
        <w:rPr>
          <w:rFonts w:ascii="Century Gothic" w:eastAsia="Cambria" w:hAnsi="Century Gothic" w:cs="Calibri"/>
          <w:color w:val="215868"/>
        </w:rPr>
        <w:t xml:space="preserve"> </w:t>
      </w:r>
      <w:r w:rsidRPr="00837116">
        <w:rPr>
          <w:rFonts w:ascii="Century Gothic" w:eastAsia="Cambria" w:hAnsi="Century Gothic" w:cs="Calibri"/>
          <w:color w:val="215868"/>
        </w:rPr>
        <w:t xml:space="preserve">denominado </w:t>
      </w:r>
      <w:r w:rsidRPr="00F90B98">
        <w:rPr>
          <w:rFonts w:ascii="Century Gothic" w:eastAsia="Cambria" w:hAnsi="Century Gothic" w:cs="Calibri"/>
          <w:color w:val="215868"/>
        </w:rPr>
        <w:t>“</w:t>
      </w:r>
      <w:r>
        <w:rPr>
          <w:rFonts w:ascii="Century Gothic" w:eastAsia="Cambria" w:hAnsi="Century Gothic" w:cs="Calibri"/>
          <w:color w:val="215868"/>
        </w:rPr>
        <w:t>AYUDAS, SUBSIDIOS Y TRANSFERENCIAS”.</w:t>
      </w:r>
    </w:p>
    <w:p w14:paraId="3DFB312E" w14:textId="77777777" w:rsidR="00492EB5" w:rsidRDefault="00492EB5" w:rsidP="00492EB5">
      <w:pPr>
        <w:autoSpaceDE w:val="0"/>
        <w:autoSpaceDN w:val="0"/>
        <w:adjustRightInd w:val="0"/>
        <w:jc w:val="both"/>
        <w:rPr>
          <w:b/>
        </w:rPr>
      </w:pPr>
    </w:p>
    <w:p w14:paraId="689A7E6F" w14:textId="77777777" w:rsidR="00492EB5" w:rsidRDefault="00492EB5" w:rsidP="00492EB5">
      <w:pPr>
        <w:pStyle w:val="Prrafodelista"/>
        <w:ind w:left="0" w:firstLine="706"/>
        <w:rPr>
          <w:rFonts w:ascii="Century Gothic" w:eastAsia="Cambria" w:hAnsi="Century Gothic" w:cs="Calibri"/>
          <w:b/>
          <w:color w:val="215868"/>
        </w:rPr>
      </w:pPr>
      <w:r>
        <w:rPr>
          <w:rFonts w:ascii="Century Gothic" w:eastAsia="Cambria" w:hAnsi="Century Gothic" w:cs="Calibri"/>
          <w:b/>
          <w:color w:val="215868"/>
        </w:rPr>
        <w:t>III.3 ESTIMULOS AL PERSONAL</w:t>
      </w:r>
    </w:p>
    <w:p w14:paraId="09F16888" w14:textId="77777777" w:rsidR="00492EB5" w:rsidRPr="009216D2" w:rsidRDefault="00492EB5" w:rsidP="00492EB5">
      <w:pPr>
        <w:pStyle w:val="Prrafodelista"/>
        <w:ind w:left="0" w:firstLine="706"/>
        <w:rPr>
          <w:rFonts w:ascii="Century Gothic" w:eastAsia="Cambria" w:hAnsi="Century Gothic" w:cs="Calibri"/>
          <w:b/>
          <w:color w:val="215868"/>
        </w:rPr>
      </w:pPr>
    </w:p>
    <w:p w14:paraId="0D43D4B8"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22</w:t>
      </w:r>
      <w:r>
        <w:rPr>
          <w:b/>
        </w:rPr>
        <w:t xml:space="preserve"> </w:t>
      </w:r>
      <w:r w:rsidRPr="00653D8B">
        <w:rPr>
          <w:rFonts w:ascii="Century Gothic" w:eastAsia="Cambria" w:hAnsi="Century Gothic" w:cs="Calibri"/>
          <w:color w:val="215868"/>
        </w:rPr>
        <w:t>Todo estímulo económico que se otorgue al personal de</w:t>
      </w:r>
      <w:r>
        <w:rPr>
          <w:rFonts w:ascii="Century Gothic" w:eastAsia="Cambria" w:hAnsi="Century Gothic" w:cs="Calibri"/>
          <w:color w:val="215868"/>
        </w:rPr>
        <w:t xml:space="preserve"> la COFOCE </w:t>
      </w:r>
      <w:r w:rsidRPr="00653D8B">
        <w:rPr>
          <w:rFonts w:ascii="Century Gothic" w:eastAsia="Cambria" w:hAnsi="Century Gothic" w:cs="Calibri"/>
          <w:color w:val="215868"/>
        </w:rPr>
        <w:t>con cargo a</w:t>
      </w:r>
      <w:r>
        <w:rPr>
          <w:rFonts w:ascii="Century Gothic" w:eastAsia="Cambria" w:hAnsi="Century Gothic" w:cs="Calibri"/>
          <w:color w:val="215868"/>
        </w:rPr>
        <w:t xml:space="preserve"> </w:t>
      </w:r>
      <w:r w:rsidRPr="00653D8B">
        <w:rPr>
          <w:rFonts w:ascii="Century Gothic" w:eastAsia="Cambria" w:hAnsi="Century Gothic" w:cs="Calibri"/>
          <w:color w:val="215868"/>
        </w:rPr>
        <w:t xml:space="preserve">Recursos </w:t>
      </w:r>
      <w:r>
        <w:rPr>
          <w:rFonts w:ascii="Century Gothic" w:eastAsia="Cambria" w:hAnsi="Century Gothic" w:cs="Calibri"/>
          <w:color w:val="215868"/>
        </w:rPr>
        <w:t>por</w:t>
      </w:r>
      <w:r w:rsidRPr="00653D8B">
        <w:rPr>
          <w:rFonts w:ascii="Century Gothic" w:eastAsia="Cambria" w:hAnsi="Century Gothic" w:cs="Calibri"/>
          <w:color w:val="215868"/>
        </w:rPr>
        <w:t xml:space="preserve"> Ingresos Propios, podrá ser pagado a través del régimen de salarios</w:t>
      </w:r>
      <w:r>
        <w:rPr>
          <w:rFonts w:ascii="Century Gothic" w:eastAsia="Cambria" w:hAnsi="Century Gothic" w:cs="Calibri"/>
          <w:color w:val="215868"/>
        </w:rPr>
        <w:t xml:space="preserve">, </w:t>
      </w:r>
      <w:r w:rsidRPr="00653D8B">
        <w:rPr>
          <w:rFonts w:ascii="Century Gothic" w:eastAsia="Cambria" w:hAnsi="Century Gothic" w:cs="Calibri"/>
          <w:color w:val="215868"/>
        </w:rPr>
        <w:t xml:space="preserve">asimilados </w:t>
      </w:r>
      <w:r>
        <w:rPr>
          <w:rFonts w:ascii="Century Gothic" w:eastAsia="Cambria" w:hAnsi="Century Gothic" w:cs="Calibri"/>
          <w:color w:val="215868"/>
        </w:rPr>
        <w:t xml:space="preserve">a salarios; </w:t>
      </w:r>
      <w:r w:rsidRPr="00653D8B">
        <w:rPr>
          <w:rFonts w:ascii="Century Gothic" w:eastAsia="Cambria" w:hAnsi="Century Gothic" w:cs="Calibri"/>
          <w:color w:val="215868"/>
        </w:rPr>
        <w:t>o por honorarios</w:t>
      </w:r>
      <w:r>
        <w:rPr>
          <w:rFonts w:ascii="Century Gothic" w:eastAsia="Cambria" w:hAnsi="Century Gothic" w:cs="Calibri"/>
          <w:color w:val="215868"/>
        </w:rPr>
        <w:t xml:space="preserve"> puros</w:t>
      </w:r>
      <w:r w:rsidRPr="00653D8B">
        <w:rPr>
          <w:rFonts w:ascii="Century Gothic" w:eastAsia="Cambria" w:hAnsi="Century Gothic" w:cs="Calibri"/>
          <w:color w:val="215868"/>
        </w:rPr>
        <w:t xml:space="preserve"> y deberá realizarse contra la entrega del recibo correspondiente, que</w:t>
      </w:r>
      <w:r>
        <w:rPr>
          <w:rFonts w:ascii="Century Gothic" w:eastAsia="Cambria" w:hAnsi="Century Gothic" w:cs="Calibri"/>
          <w:color w:val="215868"/>
        </w:rPr>
        <w:t xml:space="preserve"> </w:t>
      </w:r>
      <w:r w:rsidRPr="00653D8B">
        <w:rPr>
          <w:rFonts w:ascii="Century Gothic" w:eastAsia="Cambria" w:hAnsi="Century Gothic" w:cs="Calibri"/>
          <w:color w:val="215868"/>
        </w:rPr>
        <w:t>deberá considerar la retención y entero de los impuestos, de conformidad con las disposiciones</w:t>
      </w:r>
      <w:r>
        <w:rPr>
          <w:rFonts w:ascii="Century Gothic" w:eastAsia="Cambria" w:hAnsi="Century Gothic" w:cs="Calibri"/>
          <w:color w:val="215868"/>
        </w:rPr>
        <w:t xml:space="preserve"> </w:t>
      </w:r>
      <w:r w:rsidRPr="00653D8B">
        <w:rPr>
          <w:rFonts w:ascii="Century Gothic" w:eastAsia="Cambria" w:hAnsi="Century Gothic" w:cs="Calibri"/>
          <w:color w:val="215868"/>
        </w:rPr>
        <w:t>fiscales aplicables.</w:t>
      </w:r>
    </w:p>
    <w:p w14:paraId="7E4449DE" w14:textId="77777777" w:rsidR="00492EB5" w:rsidRDefault="00492EB5" w:rsidP="00492EB5">
      <w:pPr>
        <w:autoSpaceDE w:val="0"/>
        <w:autoSpaceDN w:val="0"/>
        <w:adjustRightInd w:val="0"/>
        <w:jc w:val="both"/>
        <w:rPr>
          <w:rFonts w:ascii="Century Gothic" w:eastAsia="Cambria" w:hAnsi="Century Gothic" w:cs="Calibri"/>
          <w:color w:val="215868"/>
        </w:rPr>
      </w:pPr>
      <w:r>
        <w:rPr>
          <w:rFonts w:ascii="Century Gothic" w:eastAsia="Cambria" w:hAnsi="Century Gothic" w:cs="Calibri"/>
          <w:b/>
          <w:color w:val="215868"/>
        </w:rPr>
        <w:t>Art. 23</w:t>
      </w:r>
      <w:r w:rsidRPr="00653D8B">
        <w:rPr>
          <w:rFonts w:ascii="Century Gothic" w:eastAsia="Cambria" w:hAnsi="Century Gothic" w:cs="Calibri"/>
          <w:color w:val="215868"/>
        </w:rPr>
        <w:t xml:space="preserve"> </w:t>
      </w:r>
      <w:r>
        <w:rPr>
          <w:rFonts w:ascii="Century Gothic" w:eastAsia="Cambria" w:hAnsi="Century Gothic" w:cs="Calibri"/>
          <w:color w:val="215868"/>
        </w:rPr>
        <w:t>E</w:t>
      </w:r>
      <w:r w:rsidRPr="00653D8B">
        <w:rPr>
          <w:rFonts w:ascii="Century Gothic" w:eastAsia="Cambria" w:hAnsi="Century Gothic" w:cs="Calibri"/>
          <w:color w:val="215868"/>
        </w:rPr>
        <w:t>s facultad del Director General de</w:t>
      </w:r>
      <w:r>
        <w:rPr>
          <w:rFonts w:ascii="Century Gothic" w:eastAsia="Cambria" w:hAnsi="Century Gothic" w:cs="Calibri"/>
          <w:color w:val="215868"/>
        </w:rPr>
        <w:t xml:space="preserve"> la entidad autorizar el otorgamiento de compensaciones a favor del personal adscrito a la entidad </w:t>
      </w:r>
      <w:r w:rsidRPr="00653D8B">
        <w:rPr>
          <w:rFonts w:ascii="Century Gothic" w:eastAsia="Cambria" w:hAnsi="Century Gothic" w:cs="Calibri"/>
          <w:color w:val="215868"/>
        </w:rPr>
        <w:t>con cargo a los Recursos</w:t>
      </w:r>
      <w:r>
        <w:rPr>
          <w:rFonts w:ascii="Century Gothic" w:eastAsia="Cambria" w:hAnsi="Century Gothic" w:cs="Calibri"/>
          <w:color w:val="215868"/>
        </w:rPr>
        <w:t xml:space="preserve"> por</w:t>
      </w:r>
      <w:r w:rsidRPr="00653D8B">
        <w:rPr>
          <w:rFonts w:ascii="Century Gothic" w:eastAsia="Cambria" w:hAnsi="Century Gothic" w:cs="Calibri"/>
          <w:color w:val="215868"/>
        </w:rPr>
        <w:t xml:space="preserve"> Ingresos Propios, </w:t>
      </w:r>
      <w:r>
        <w:rPr>
          <w:rFonts w:ascii="Century Gothic" w:eastAsia="Cambria" w:hAnsi="Century Gothic" w:cs="Calibri"/>
          <w:color w:val="215868"/>
        </w:rPr>
        <w:t xml:space="preserve">previa autorización de la Secretaría de Finanzas, Inversión y Administración y del Consejo Directivo, </w:t>
      </w:r>
      <w:r w:rsidRPr="00653D8B">
        <w:rPr>
          <w:rFonts w:ascii="Century Gothic" w:eastAsia="Cambria" w:hAnsi="Century Gothic" w:cs="Calibri"/>
          <w:color w:val="215868"/>
        </w:rPr>
        <w:t xml:space="preserve">observando </w:t>
      </w:r>
      <w:r>
        <w:rPr>
          <w:rFonts w:ascii="Century Gothic" w:eastAsia="Cambria" w:hAnsi="Century Gothic" w:cs="Calibri"/>
          <w:color w:val="215868"/>
        </w:rPr>
        <w:t xml:space="preserve">los lineamientos aplicables </w:t>
      </w:r>
      <w:r w:rsidRPr="00653D8B">
        <w:rPr>
          <w:rFonts w:ascii="Century Gothic" w:eastAsia="Cambria" w:hAnsi="Century Gothic" w:cs="Calibri"/>
          <w:color w:val="215868"/>
        </w:rPr>
        <w:t xml:space="preserve">y </w:t>
      </w:r>
      <w:r>
        <w:rPr>
          <w:rFonts w:ascii="Century Gothic" w:eastAsia="Cambria" w:hAnsi="Century Gothic" w:cs="Calibri"/>
          <w:color w:val="215868"/>
        </w:rPr>
        <w:t>la normatividad vigente.</w:t>
      </w:r>
    </w:p>
    <w:p w14:paraId="1CD2BE3D" w14:textId="77777777" w:rsidR="00492EB5" w:rsidRPr="00215B87" w:rsidRDefault="00492EB5" w:rsidP="00492EB5">
      <w:pPr>
        <w:autoSpaceDE w:val="0"/>
        <w:autoSpaceDN w:val="0"/>
        <w:adjustRightInd w:val="0"/>
        <w:jc w:val="both"/>
        <w:rPr>
          <w:rFonts w:ascii="Century Gothic" w:hAnsi="Century Gothic" w:cs="Arial"/>
          <w:color w:val="808080"/>
          <w:highlight w:val="yellow"/>
        </w:rPr>
      </w:pPr>
      <w:r>
        <w:rPr>
          <w:rFonts w:ascii="Century Gothic" w:eastAsia="Cambria" w:hAnsi="Century Gothic" w:cs="Calibri"/>
          <w:b/>
          <w:color w:val="215868"/>
        </w:rPr>
        <w:t>Art. 24</w:t>
      </w:r>
      <w:r w:rsidRPr="00653D8B">
        <w:rPr>
          <w:rFonts w:ascii="Century Gothic" w:eastAsia="Cambria" w:hAnsi="Century Gothic" w:cs="Calibri"/>
          <w:color w:val="215868"/>
        </w:rPr>
        <w:t xml:space="preserve"> Todo estímulo económico que reciba el personal contratado por </w:t>
      </w:r>
      <w:r>
        <w:rPr>
          <w:rFonts w:ascii="Century Gothic" w:eastAsia="Cambria" w:hAnsi="Century Gothic" w:cs="Calibri"/>
          <w:color w:val="215868"/>
        </w:rPr>
        <w:t>la COFOCE</w:t>
      </w:r>
      <w:r w:rsidRPr="00653D8B">
        <w:rPr>
          <w:rFonts w:ascii="Century Gothic" w:eastAsia="Cambria" w:hAnsi="Century Gothic" w:cs="Calibri"/>
          <w:color w:val="215868"/>
        </w:rPr>
        <w:t>, no</w:t>
      </w:r>
      <w:r>
        <w:rPr>
          <w:rFonts w:ascii="Century Gothic" w:eastAsia="Cambria" w:hAnsi="Century Gothic" w:cs="Calibri"/>
          <w:color w:val="215868"/>
        </w:rPr>
        <w:t xml:space="preserve"> </w:t>
      </w:r>
      <w:r w:rsidRPr="00653D8B">
        <w:rPr>
          <w:rFonts w:ascii="Century Gothic" w:eastAsia="Cambria" w:hAnsi="Century Gothic" w:cs="Calibri"/>
          <w:color w:val="215868"/>
        </w:rPr>
        <w:t>implicará compromiso alguno de retribución salarial fija o permanente.</w:t>
      </w:r>
    </w:p>
    <w:p w14:paraId="2D5EDDFD" w14:textId="486F33B3" w:rsidR="00492EB5" w:rsidRPr="006E193D" w:rsidRDefault="00492EB5" w:rsidP="00492EB5">
      <w:pPr>
        <w:jc w:val="both"/>
        <w:rPr>
          <w:rFonts w:ascii="Century Gothic" w:hAnsi="Century Gothic" w:cs="Arial"/>
          <w:b/>
        </w:rPr>
      </w:pPr>
      <w:r>
        <w:rPr>
          <w:rFonts w:ascii="Century Gothic" w:hAnsi="Century Gothic" w:cs="Arial"/>
          <w:color w:val="808080"/>
        </w:rPr>
        <w:br w:type="page"/>
      </w:r>
      <w:r w:rsidRPr="006E193D">
        <w:rPr>
          <w:rFonts w:ascii="Century Gothic" w:hAnsi="Century Gothic" w:cs="Arial"/>
          <w:b/>
        </w:rPr>
        <w:lastRenderedPageBreak/>
        <w:t>Capítulo III</w:t>
      </w:r>
    </w:p>
    <w:p w14:paraId="2B76ED6E" w14:textId="77777777" w:rsidR="00492EB5" w:rsidRPr="00E24AB9" w:rsidRDefault="00492EB5" w:rsidP="00492EB5">
      <w:pPr>
        <w:jc w:val="both"/>
        <w:rPr>
          <w:rFonts w:ascii="Century Gothic" w:hAnsi="Century Gothic" w:cs="Arial"/>
          <w:color w:val="808080"/>
        </w:rPr>
      </w:pPr>
    </w:p>
    <w:p w14:paraId="0C7F697C" w14:textId="77777777" w:rsidR="00492EB5" w:rsidRPr="006E193D" w:rsidRDefault="00492EB5" w:rsidP="00492EB5">
      <w:pPr>
        <w:jc w:val="both"/>
        <w:rPr>
          <w:rFonts w:ascii="Century Gothic" w:hAnsi="Century Gothic" w:cs="Arial"/>
          <w:b/>
        </w:rPr>
      </w:pPr>
      <w:r w:rsidRPr="006E193D">
        <w:rPr>
          <w:rFonts w:ascii="Century Gothic" w:hAnsi="Century Gothic" w:cs="Arial"/>
          <w:b/>
        </w:rPr>
        <w:t>Referencias Normativas</w:t>
      </w:r>
    </w:p>
    <w:p w14:paraId="0EFE6954" w14:textId="77777777" w:rsidR="00492EB5" w:rsidRPr="00E24AB9" w:rsidRDefault="00492EB5" w:rsidP="00492EB5">
      <w:pPr>
        <w:jc w:val="both"/>
        <w:rPr>
          <w:rFonts w:ascii="Century Gothic" w:hAnsi="Century Gothic" w:cs="Arial"/>
          <w:color w:val="808080"/>
        </w:rPr>
      </w:pPr>
    </w:p>
    <w:p w14:paraId="511B8698" w14:textId="77777777" w:rsidR="00492EB5" w:rsidRPr="006E193D" w:rsidRDefault="00492EB5" w:rsidP="00492EB5">
      <w:pPr>
        <w:jc w:val="both"/>
        <w:rPr>
          <w:rFonts w:ascii="Century Gothic" w:hAnsi="Century Gothic" w:cs="Arial"/>
          <w:b/>
          <w:u w:val="single"/>
        </w:rPr>
      </w:pPr>
      <w:r w:rsidRPr="006E193D">
        <w:rPr>
          <w:rFonts w:ascii="Century Gothic" w:hAnsi="Century Gothic" w:cs="Arial"/>
          <w:b/>
          <w:u w:val="single"/>
        </w:rPr>
        <w:t>Constituciones</w:t>
      </w:r>
    </w:p>
    <w:p w14:paraId="28074F36"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w:t>
      </w:r>
      <w:r w:rsidRPr="00E24AB9">
        <w:rPr>
          <w:rFonts w:ascii="Century Gothic" w:hAnsi="Century Gothic" w:cs="Arial"/>
          <w:color w:val="808080"/>
        </w:rPr>
        <w:tab/>
        <w:t>Constitución Política de los Estados Unidos Mexicanos.-</w:t>
      </w:r>
    </w:p>
    <w:p w14:paraId="3B7683DD"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w:t>
      </w:r>
      <w:r w:rsidRPr="00E24AB9">
        <w:rPr>
          <w:rFonts w:ascii="Century Gothic" w:hAnsi="Century Gothic" w:cs="Arial"/>
          <w:color w:val="808080"/>
        </w:rPr>
        <w:tab/>
        <w:t>Constitución Política del Estado de Guanajuato.-</w:t>
      </w:r>
    </w:p>
    <w:p w14:paraId="4CAD866F" w14:textId="77777777" w:rsidR="00492EB5" w:rsidRPr="00E24AB9" w:rsidRDefault="00492EB5" w:rsidP="00492EB5">
      <w:pPr>
        <w:jc w:val="both"/>
        <w:rPr>
          <w:rFonts w:ascii="Century Gothic" w:hAnsi="Century Gothic" w:cs="Arial"/>
          <w:color w:val="808080"/>
        </w:rPr>
      </w:pPr>
    </w:p>
    <w:p w14:paraId="380B1F4D" w14:textId="77777777" w:rsidR="00492EB5" w:rsidRPr="006E193D" w:rsidRDefault="00492EB5" w:rsidP="00492EB5">
      <w:pPr>
        <w:jc w:val="both"/>
        <w:rPr>
          <w:rFonts w:ascii="Century Gothic" w:hAnsi="Century Gothic" w:cs="Arial"/>
          <w:b/>
          <w:u w:val="single"/>
        </w:rPr>
      </w:pPr>
      <w:r w:rsidRPr="006E193D">
        <w:rPr>
          <w:rFonts w:ascii="Century Gothic" w:hAnsi="Century Gothic" w:cs="Arial"/>
          <w:b/>
          <w:u w:val="single"/>
        </w:rPr>
        <w:t>Leyes</w:t>
      </w:r>
    </w:p>
    <w:p w14:paraId="1DBC91AF"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»»Ley del Impuesto Sobre la Renta (LISR) aplicable al Ejercicio Fiscal Vigente.-</w:t>
      </w:r>
    </w:p>
    <w:p w14:paraId="662DAFB4"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»»Ley del Impuesto al Valor Agregado (LIVA) aplicable al Ejercicio Fiscal Vigente.-</w:t>
      </w:r>
    </w:p>
    <w:p w14:paraId="01BA7106"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 xml:space="preserve">»»Ley de Responsabilidades Administrativas de los Servidores Públicos del Estado de Guanajuato aplicable al Ejercicio Fiscal Vigente.- </w:t>
      </w:r>
    </w:p>
    <w:p w14:paraId="688EA47B"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»»Ley del Presupuesto General de Egresos del Estado de Guanajuato para el Ejercicio Fiscal Vigente.-</w:t>
      </w:r>
    </w:p>
    <w:p w14:paraId="4348F075"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»»Ley Ingresos para el Estado de Guanajuato para el Ejercicio Fiscal Vigente.-</w:t>
      </w:r>
    </w:p>
    <w:p w14:paraId="603D86F4"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»»Ley Federal del Trabajo aplicable al Ejercicio Fiscal Vigente.-</w:t>
      </w:r>
    </w:p>
    <w:p w14:paraId="336F1F4D"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»»Ley del Trabajo de los Servidores Públicos al Servicio del Estado y los Municipios aplicable al Ejercicio Fiscal Vigente.-</w:t>
      </w:r>
    </w:p>
    <w:p w14:paraId="49108C96"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»»Ley de Fiscalización Superior del Estado de Guanajuato aplicable al Ejercicio Fiscal Vigente.-</w:t>
      </w:r>
    </w:p>
    <w:p w14:paraId="1AEE3880"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lastRenderedPageBreak/>
        <w:t xml:space="preserve">»»Ley para el Ejercicio y Control de los Recursos Públicos para el Ejercicio y Control de los Públicos para el Estado y los Municipios de Guanajuato aplicable al Ejercicio Fiscal Vigente.- </w:t>
      </w:r>
    </w:p>
    <w:p w14:paraId="3FFA5074" w14:textId="77777777" w:rsidR="00492EB5" w:rsidRDefault="00492EB5" w:rsidP="00492EB5">
      <w:pPr>
        <w:ind w:left="360"/>
        <w:jc w:val="both"/>
        <w:rPr>
          <w:rFonts w:ascii="Century Gothic" w:hAnsi="Century Gothic" w:cs="Arial"/>
          <w:color w:val="808080"/>
        </w:rPr>
      </w:pPr>
      <w:r w:rsidRPr="00E24AB9">
        <w:rPr>
          <w:rFonts w:ascii="Century Gothic" w:hAnsi="Century Gothic" w:cs="Arial"/>
          <w:color w:val="808080"/>
        </w:rPr>
        <w:t xml:space="preserve">»»Ley de Transparencia y Acceso a la Información Pública para el Estado y los Municipios de Guanajuato aplicable al ejercicio Fiscal vigente.- </w:t>
      </w:r>
    </w:p>
    <w:p w14:paraId="00ED56B3" w14:textId="77777777" w:rsidR="006909E1" w:rsidRPr="00AC16F9" w:rsidRDefault="006909E1" w:rsidP="006909E1">
      <w:pPr>
        <w:ind w:left="360"/>
        <w:jc w:val="both"/>
        <w:rPr>
          <w:rFonts w:ascii="Century Gothic" w:hAnsi="Century Gothic" w:cs="Arial"/>
          <w:color w:val="808080"/>
        </w:rPr>
      </w:pPr>
      <w:r w:rsidRPr="00AC16F9">
        <w:rPr>
          <w:rFonts w:ascii="Century Gothic" w:hAnsi="Century Gothic" w:cs="Arial"/>
          <w:color w:val="808080"/>
        </w:rPr>
        <w:t xml:space="preserve">»»Ley General de Contabilidad Gubernamental vigente.- </w:t>
      </w:r>
    </w:p>
    <w:p w14:paraId="2C23BB5D" w14:textId="77777777" w:rsidR="006909E1" w:rsidRPr="00E24AB9" w:rsidRDefault="006909E1" w:rsidP="006909E1">
      <w:pPr>
        <w:ind w:left="360"/>
        <w:jc w:val="both"/>
        <w:rPr>
          <w:rFonts w:ascii="Century Gothic" w:hAnsi="Century Gothic" w:cs="Arial"/>
          <w:color w:val="808080"/>
        </w:rPr>
      </w:pPr>
      <w:r w:rsidRPr="00AC16F9">
        <w:rPr>
          <w:rFonts w:ascii="Century Gothic" w:hAnsi="Century Gothic" w:cs="Arial"/>
          <w:color w:val="808080"/>
        </w:rPr>
        <w:t>»»Ley de Disciplina Financiera de las Entidades Federativas y los Municipios vigente.-</w:t>
      </w:r>
      <w:r w:rsidRPr="00E24AB9">
        <w:rPr>
          <w:rFonts w:ascii="Century Gothic" w:hAnsi="Century Gothic" w:cs="Arial"/>
          <w:color w:val="808080"/>
        </w:rPr>
        <w:t xml:space="preserve"> </w:t>
      </w:r>
    </w:p>
    <w:p w14:paraId="6CCDCE18" w14:textId="77777777" w:rsidR="00492EB5" w:rsidRPr="006E193D" w:rsidRDefault="00492EB5" w:rsidP="00492EB5">
      <w:pPr>
        <w:jc w:val="both"/>
        <w:rPr>
          <w:rFonts w:ascii="Century Gothic" w:hAnsi="Century Gothic" w:cs="Arial"/>
          <w:b/>
          <w:u w:val="single"/>
        </w:rPr>
      </w:pPr>
      <w:r w:rsidRPr="006E193D">
        <w:rPr>
          <w:rFonts w:ascii="Century Gothic" w:hAnsi="Century Gothic" w:cs="Arial"/>
          <w:b/>
          <w:u w:val="single"/>
        </w:rPr>
        <w:t>Decretos</w:t>
      </w:r>
    </w:p>
    <w:p w14:paraId="2E684FAD" w14:textId="77777777" w:rsidR="00492EB5" w:rsidRDefault="00492EB5" w:rsidP="006A436A">
      <w:pPr>
        <w:ind w:left="360"/>
        <w:jc w:val="both"/>
        <w:rPr>
          <w:rFonts w:ascii="Century Gothic" w:hAnsi="Century Gothic" w:cs="Arial"/>
          <w:color w:val="808080"/>
        </w:rPr>
      </w:pPr>
      <w:r w:rsidRPr="00E24AB9">
        <w:rPr>
          <w:rFonts w:ascii="Century Gothic" w:hAnsi="Century Gothic" w:cs="Arial"/>
          <w:color w:val="808080"/>
        </w:rPr>
        <w:t>»»Decreto de Creación mediante el cual, se reestructura la organización interna de la Coordinadora de Fomento al Comercio Exterior del Estado de Guanajuato (Decreto Gubernativo No. 272 de fecha 14 de Julio de 2006).-</w:t>
      </w:r>
    </w:p>
    <w:p w14:paraId="72C57B7B" w14:textId="77777777" w:rsidR="000D67F7" w:rsidRPr="00AC16F9" w:rsidRDefault="000D67F7" w:rsidP="000D67F7">
      <w:pPr>
        <w:ind w:left="360"/>
        <w:jc w:val="both"/>
        <w:rPr>
          <w:rFonts w:ascii="Century Gothic" w:hAnsi="Century Gothic" w:cs="Arial"/>
          <w:color w:val="808080"/>
        </w:rPr>
      </w:pPr>
      <w:r w:rsidRPr="00AC16F9">
        <w:rPr>
          <w:rFonts w:ascii="Century Gothic" w:hAnsi="Century Gothic" w:cs="Arial"/>
          <w:color w:val="808080"/>
        </w:rPr>
        <w:t xml:space="preserve">»»Decreto de Creación </w:t>
      </w:r>
      <w:r w:rsidR="004A570F" w:rsidRPr="00AC16F9">
        <w:rPr>
          <w:rFonts w:ascii="Century Gothic" w:hAnsi="Century Gothic" w:cs="Arial"/>
          <w:color w:val="808080"/>
        </w:rPr>
        <w:t xml:space="preserve">de COFOCE </w:t>
      </w:r>
      <w:r w:rsidRPr="00AC16F9">
        <w:rPr>
          <w:rFonts w:ascii="Century Gothic" w:hAnsi="Century Gothic" w:cs="Arial"/>
          <w:color w:val="808080"/>
        </w:rPr>
        <w:t>número 10 de 1992.-</w:t>
      </w:r>
    </w:p>
    <w:p w14:paraId="1D1F2382" w14:textId="77777777" w:rsidR="000D67F7" w:rsidRPr="00AC16F9" w:rsidRDefault="000D67F7" w:rsidP="000D67F7">
      <w:pPr>
        <w:ind w:left="360"/>
        <w:jc w:val="both"/>
        <w:rPr>
          <w:rFonts w:ascii="Century Gothic" w:hAnsi="Century Gothic" w:cs="Arial"/>
          <w:color w:val="808080"/>
        </w:rPr>
      </w:pPr>
      <w:r w:rsidRPr="00AC16F9">
        <w:rPr>
          <w:rFonts w:ascii="Century Gothic" w:hAnsi="Century Gothic" w:cs="Arial"/>
          <w:color w:val="808080"/>
        </w:rPr>
        <w:t>»»Decreto de modificación</w:t>
      </w:r>
      <w:r w:rsidR="004A570F" w:rsidRPr="00AC16F9">
        <w:rPr>
          <w:rFonts w:ascii="Century Gothic" w:hAnsi="Century Gothic" w:cs="Arial"/>
          <w:color w:val="808080"/>
        </w:rPr>
        <w:t xml:space="preserve">/reestructura orgánica  de COFOCE </w:t>
      </w:r>
      <w:r w:rsidRPr="00AC16F9">
        <w:rPr>
          <w:rFonts w:ascii="Century Gothic" w:hAnsi="Century Gothic" w:cs="Arial"/>
          <w:color w:val="808080"/>
        </w:rPr>
        <w:t xml:space="preserve"> número 272 de 2006.-</w:t>
      </w:r>
    </w:p>
    <w:p w14:paraId="4EA1F596" w14:textId="77777777" w:rsidR="000D67F7" w:rsidRPr="00AC16F9" w:rsidRDefault="000D67F7" w:rsidP="004A570F">
      <w:pPr>
        <w:ind w:left="360"/>
        <w:jc w:val="both"/>
        <w:rPr>
          <w:rFonts w:ascii="Century Gothic" w:hAnsi="Century Gothic" w:cs="Arial"/>
          <w:color w:val="808080"/>
        </w:rPr>
      </w:pPr>
      <w:r w:rsidRPr="00AC16F9">
        <w:rPr>
          <w:rFonts w:ascii="Century Gothic" w:hAnsi="Century Gothic" w:cs="Arial"/>
          <w:color w:val="808080"/>
        </w:rPr>
        <w:t xml:space="preserve">»»Decreto de </w:t>
      </w:r>
      <w:r w:rsidR="004A570F" w:rsidRPr="00AC16F9">
        <w:rPr>
          <w:rFonts w:ascii="Century Gothic" w:hAnsi="Century Gothic" w:cs="Arial"/>
          <w:color w:val="808080"/>
        </w:rPr>
        <w:t xml:space="preserve">modificación/expedición de reglamento interior de COFOCE </w:t>
      </w:r>
      <w:r w:rsidRPr="00AC16F9">
        <w:rPr>
          <w:rFonts w:ascii="Century Gothic" w:hAnsi="Century Gothic" w:cs="Arial"/>
          <w:color w:val="808080"/>
        </w:rPr>
        <w:t>número 174 de 2016.-</w:t>
      </w:r>
    </w:p>
    <w:p w14:paraId="51237C06" w14:textId="77777777" w:rsidR="00492EB5" w:rsidRPr="006E193D" w:rsidRDefault="00492EB5" w:rsidP="00492EB5">
      <w:pPr>
        <w:jc w:val="both"/>
        <w:rPr>
          <w:rFonts w:ascii="Century Gothic" w:hAnsi="Century Gothic" w:cs="Arial"/>
          <w:b/>
          <w:u w:val="single"/>
        </w:rPr>
      </w:pPr>
      <w:r w:rsidRPr="006E193D">
        <w:rPr>
          <w:rFonts w:ascii="Century Gothic" w:hAnsi="Century Gothic" w:cs="Arial"/>
          <w:b/>
          <w:u w:val="single"/>
        </w:rPr>
        <w:t>Reglamentos</w:t>
      </w:r>
    </w:p>
    <w:p w14:paraId="5959C31A"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»»Reglamento de la Ley del Impuesto Sobre la Renta (RLISR) aplicable al Ejercicio Fiscal Vigente.-</w:t>
      </w:r>
    </w:p>
    <w:p w14:paraId="639E9CE0"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»»Reglamento de la Ley del IVA (RLIVA) para el Ejercicio Fiscal Vigente.-</w:t>
      </w:r>
    </w:p>
    <w:p w14:paraId="56F534CF"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»»Reglamento Interior de la Coordinadora de Fomento al Comercio Exterior del Estado de Guanajuato. (Decreto Gubernativo No. 139 de fecha 11 de Junio de 2010).-</w:t>
      </w:r>
    </w:p>
    <w:p w14:paraId="17F7D792"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»»Reglamento de Procedimientos de Auditoría para las dependencias y entidades del Poder Ejecutivo del Estado de Guanajuato aplicable al Ejercicio Fiscal Vigente.-</w:t>
      </w:r>
    </w:p>
    <w:p w14:paraId="1A15C4DF"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lastRenderedPageBreak/>
        <w:t xml:space="preserve">»»Reglamento Interior de la Secretaría de Finanzas y Administración aplicable al ejercicio Fiscal Vigente.- </w:t>
      </w:r>
    </w:p>
    <w:p w14:paraId="4F7A12F7" w14:textId="77777777" w:rsidR="00492EB5" w:rsidRPr="006E193D" w:rsidRDefault="00492EB5" w:rsidP="00492EB5">
      <w:pPr>
        <w:jc w:val="both"/>
        <w:rPr>
          <w:rFonts w:ascii="Century Gothic" w:hAnsi="Century Gothic" w:cs="Arial"/>
          <w:b/>
          <w:u w:val="single"/>
        </w:rPr>
      </w:pPr>
      <w:r w:rsidRPr="006E193D">
        <w:rPr>
          <w:rFonts w:ascii="Century Gothic" w:hAnsi="Century Gothic" w:cs="Arial"/>
          <w:b/>
          <w:u w:val="single"/>
        </w:rPr>
        <w:t>Lineamientos</w:t>
      </w:r>
    </w:p>
    <w:p w14:paraId="193679A1"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»»Lineamientos Generales de Racionalidad, Austeridad y Disciplina Presupuestal de la Administración Pública Estatal para el Ejercicio Fiscal Vigente.-</w:t>
      </w:r>
    </w:p>
    <w:p w14:paraId="59E4DE8B"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 xml:space="preserve">»»Lineamientos Generales para la Aplicación de Recursos en Materia de Obra Pública y Operación de Programas de Inversión para el Ejercicio Fiscal Vigente.- </w:t>
      </w:r>
    </w:p>
    <w:p w14:paraId="3C3A5828"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 xml:space="preserve">»»Lineamientos Generales para el otorgamiento y recepción de garantías a favor del Gobierno Estatal para el ejercicio Fiscal Vigente.- </w:t>
      </w:r>
    </w:p>
    <w:p w14:paraId="2554D252"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»»Lineamientos para la Administración y Ejercicio de los Recursos provenientes del Ramo 33 para el Ejercicio Fiscal Vigente.-</w:t>
      </w:r>
    </w:p>
    <w:p w14:paraId="42155AD2"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»»Lineamientos para la Gestión, Suscripción, Ejecución, Control y Seguimiento de los Convenios Federales para el Ejercicio Fiscal Vigente.-</w:t>
      </w:r>
    </w:p>
    <w:p w14:paraId="484A0B9F"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»»Lineamientos del Programa Operativo Anual de Compras de la Administración Pública Estatal para el Ejercicio Fiscal Vigente.-</w:t>
      </w:r>
    </w:p>
    <w:p w14:paraId="5BACAABA"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 xml:space="preserve">»»Lineamientos de Servicios Generales de la Administración Pública Estatal para el Ejercicio Fiscal Vigente.- </w:t>
      </w:r>
    </w:p>
    <w:p w14:paraId="0A1E84DB"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 xml:space="preserve">»»Lineamientos Generales para los Subcomités de Adquisiciones, Arrendamientos y contratación de Servicios de la Administración Pública Estatal para el Ejercicio Fiscal Vigente.- </w:t>
      </w:r>
    </w:p>
    <w:p w14:paraId="4FDB6C85"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 xml:space="preserve">»»Lineamientos Generales de Control Patrimonial de la Administración Pública Estatal para el Ejercicio Fiscal Vigente.- </w:t>
      </w:r>
    </w:p>
    <w:p w14:paraId="2FDF158A"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»»Lineamientos Generales para la Administración de los Recursos Humanos adscritos a las Dependencias y Entidades de la Administración Pública Estatal para el Ejercicio Fiscal Vigente.-</w:t>
      </w:r>
    </w:p>
    <w:p w14:paraId="1C4A2634" w14:textId="77777777" w:rsidR="0091669D" w:rsidRDefault="0091669D" w:rsidP="00492EB5">
      <w:pPr>
        <w:jc w:val="both"/>
        <w:rPr>
          <w:rFonts w:ascii="Century Gothic" w:hAnsi="Century Gothic" w:cs="Arial"/>
          <w:b/>
          <w:u w:val="single"/>
        </w:rPr>
      </w:pPr>
    </w:p>
    <w:p w14:paraId="4AE83F6C" w14:textId="77777777" w:rsidR="00492EB5" w:rsidRPr="006E193D" w:rsidRDefault="00492EB5" w:rsidP="00492EB5">
      <w:pPr>
        <w:jc w:val="both"/>
        <w:rPr>
          <w:rFonts w:ascii="Century Gothic" w:hAnsi="Century Gothic" w:cs="Arial"/>
          <w:b/>
          <w:u w:val="single"/>
        </w:rPr>
      </w:pPr>
      <w:r w:rsidRPr="006E193D">
        <w:rPr>
          <w:rFonts w:ascii="Century Gothic" w:hAnsi="Century Gothic" w:cs="Arial"/>
          <w:b/>
          <w:u w:val="single"/>
        </w:rPr>
        <w:lastRenderedPageBreak/>
        <w:t>Políticas</w:t>
      </w:r>
    </w:p>
    <w:p w14:paraId="4AD5F8F6"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 xml:space="preserve">»»Política Informática de la Administración Pública Estatal aplicable al Ejercicio Fiscal Vigente.- </w:t>
      </w:r>
    </w:p>
    <w:p w14:paraId="1F9113FD" w14:textId="77777777" w:rsidR="00492EB5" w:rsidRPr="006E193D" w:rsidRDefault="00492EB5" w:rsidP="00492EB5">
      <w:pPr>
        <w:jc w:val="both"/>
        <w:rPr>
          <w:rFonts w:ascii="Century Gothic" w:hAnsi="Century Gothic" w:cs="Arial"/>
          <w:b/>
          <w:u w:val="single"/>
        </w:rPr>
      </w:pPr>
      <w:r w:rsidRPr="006E193D">
        <w:rPr>
          <w:rFonts w:ascii="Century Gothic" w:hAnsi="Century Gothic" w:cs="Arial"/>
          <w:b/>
          <w:u w:val="single"/>
        </w:rPr>
        <w:t xml:space="preserve">Otros </w:t>
      </w:r>
    </w:p>
    <w:p w14:paraId="1BB892D9"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»»Clasificador por Objeto del Gasto aplicable al Ejercicio Fiscal Vigente.-</w:t>
      </w:r>
    </w:p>
    <w:p w14:paraId="12E662AE"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»»Código Fiscal de la Federación aplicable al Ejercicio Fiscal Vigente.-</w:t>
      </w:r>
    </w:p>
    <w:p w14:paraId="2B646A81"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 xml:space="preserve">»»Condiciones Generales de Trabajo para las Dependencias, Entidades y Unidades de Apoyo de la Administración Pública del Estado de Guanajuato aplicable al Ejercicio Fiscal Vigente.- </w:t>
      </w:r>
    </w:p>
    <w:p w14:paraId="4656A0AB" w14:textId="77777777" w:rsidR="00492EB5" w:rsidRPr="00E24AB9" w:rsidRDefault="00492EB5" w:rsidP="00492EB5">
      <w:pPr>
        <w:ind w:left="360"/>
        <w:jc w:val="both"/>
        <w:rPr>
          <w:rFonts w:ascii="Century Gothic" w:hAnsi="Century Gothic" w:cs="Arial"/>
          <w:color w:val="808080"/>
        </w:rPr>
      </w:pPr>
      <w:r w:rsidRPr="00E24AB9">
        <w:rPr>
          <w:rFonts w:ascii="Century Gothic" w:hAnsi="Century Gothic" w:cs="Arial"/>
          <w:color w:val="808080"/>
        </w:rPr>
        <w:t>»»Manual de Contabilidad Gubernamental aplicable al Ejercicio Fiscal Vigente</w:t>
      </w:r>
    </w:p>
    <w:p w14:paraId="3BC9A99A" w14:textId="77777777" w:rsidR="00492EB5" w:rsidRPr="006E193D" w:rsidRDefault="00492EB5" w:rsidP="00492EB5">
      <w:pPr>
        <w:jc w:val="both"/>
        <w:rPr>
          <w:rFonts w:ascii="Century Gothic" w:hAnsi="Century Gothic" w:cs="Arial"/>
          <w:b/>
        </w:rPr>
      </w:pPr>
      <w:r w:rsidRPr="006E193D">
        <w:rPr>
          <w:rFonts w:ascii="Century Gothic" w:hAnsi="Century Gothic" w:cs="Arial"/>
          <w:b/>
        </w:rPr>
        <w:t>Anexos</w:t>
      </w:r>
    </w:p>
    <w:p w14:paraId="343EF4B0" w14:textId="77777777" w:rsidR="00492EB5" w:rsidRDefault="00492EB5" w:rsidP="00492EB5">
      <w:pPr>
        <w:pStyle w:val="Prrafodelista"/>
        <w:autoSpaceDE w:val="0"/>
        <w:autoSpaceDN w:val="0"/>
        <w:adjustRightInd w:val="0"/>
        <w:ind w:left="360"/>
        <w:jc w:val="both"/>
        <w:rPr>
          <w:rFonts w:ascii="Century Gothic" w:hAnsi="Century Gothic" w:cs="Arial"/>
          <w:color w:val="808080"/>
        </w:rPr>
      </w:pPr>
      <w:r w:rsidRPr="00E24AB9">
        <w:rPr>
          <w:rFonts w:ascii="Century Gothic" w:hAnsi="Century Gothic" w:cs="Arial"/>
          <w:color w:val="808080"/>
        </w:rPr>
        <w:t>ANEXO 1</w:t>
      </w:r>
      <w:r w:rsidRPr="00E24AB9">
        <w:rPr>
          <w:rFonts w:ascii="Century Gothic" w:hAnsi="Century Gothic" w:cs="Arial"/>
          <w:color w:val="808080"/>
        </w:rPr>
        <w:tab/>
        <w:t xml:space="preserve">Requisitos Fiscales de los Comprobantes </w:t>
      </w:r>
    </w:p>
    <w:p w14:paraId="6E3DCDAA" w14:textId="77777777" w:rsidR="00492EB5" w:rsidRPr="00E24AB9" w:rsidRDefault="00492EB5" w:rsidP="00492EB5">
      <w:pPr>
        <w:pStyle w:val="Prrafodelista"/>
        <w:autoSpaceDE w:val="0"/>
        <w:autoSpaceDN w:val="0"/>
        <w:adjustRightInd w:val="0"/>
        <w:ind w:left="360"/>
        <w:jc w:val="both"/>
        <w:rPr>
          <w:rFonts w:ascii="Century Gothic" w:hAnsi="Century Gothic" w:cs="Arial"/>
          <w:color w:val="808080"/>
        </w:rPr>
      </w:pPr>
      <w:r>
        <w:rPr>
          <w:rFonts w:ascii="Century Gothic" w:hAnsi="Century Gothic" w:cs="Arial"/>
          <w:color w:val="808080"/>
        </w:rPr>
        <w:t>ANEXO 2 Acta de Hechos</w:t>
      </w:r>
    </w:p>
    <w:p w14:paraId="449D33EF" w14:textId="77777777" w:rsidR="00492EB5" w:rsidRPr="006E193D" w:rsidRDefault="00492EB5" w:rsidP="00492EB5">
      <w:pPr>
        <w:jc w:val="both"/>
        <w:rPr>
          <w:rFonts w:ascii="Century Gothic" w:hAnsi="Century Gothic" w:cs="Arial"/>
          <w:b/>
        </w:rPr>
      </w:pPr>
      <w:r w:rsidRPr="006E193D">
        <w:rPr>
          <w:rFonts w:ascii="Century Gothic" w:hAnsi="Century Gothic" w:cs="Arial"/>
          <w:b/>
        </w:rPr>
        <w:t>Glosario de términos.</w:t>
      </w:r>
    </w:p>
    <w:p w14:paraId="5DDE2D2B" w14:textId="77777777" w:rsidR="00492EB5" w:rsidRPr="00E24AB9" w:rsidRDefault="00492EB5" w:rsidP="00492EB5">
      <w:pPr>
        <w:jc w:val="both"/>
        <w:rPr>
          <w:rFonts w:ascii="Century Gothic" w:hAnsi="Century Gothic" w:cs="Arial"/>
          <w:color w:val="808080"/>
        </w:rPr>
      </w:pPr>
    </w:p>
    <w:p w14:paraId="2F77A031"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Actividades de control:</w:t>
      </w:r>
      <w:r w:rsidRPr="006E193D">
        <w:rPr>
          <w:rFonts w:ascii="Century Gothic" w:hAnsi="Century Gothic" w:cs="Arial"/>
          <w:color w:val="215868"/>
        </w:rPr>
        <w:t xml:space="preserve"> </w:t>
      </w:r>
      <w:r w:rsidRPr="00E24AB9">
        <w:rPr>
          <w:rFonts w:ascii="Century Gothic" w:hAnsi="Century Gothic" w:cs="Arial"/>
          <w:color w:val="808080"/>
        </w:rPr>
        <w:t>Las políticas y procedimientos encaminados a asegurar que se cumplan las directrices establecidas por los titulares de las dependencias y entidades estatales, sobre las medidas necesarias para afrontar los riesgos que ponen en peligro la consecución de los objetivos institucionales.</w:t>
      </w:r>
    </w:p>
    <w:p w14:paraId="1B493BEA"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Adjudicación directa:</w:t>
      </w:r>
      <w:r w:rsidRPr="006E193D">
        <w:rPr>
          <w:rFonts w:ascii="Century Gothic" w:hAnsi="Century Gothic" w:cs="Arial"/>
          <w:color w:val="215868"/>
        </w:rPr>
        <w:t xml:space="preserve"> </w:t>
      </w:r>
      <w:r w:rsidRPr="00E24AB9">
        <w:rPr>
          <w:rFonts w:ascii="Century Gothic" w:hAnsi="Century Gothic" w:cs="Arial"/>
          <w:color w:val="808080"/>
        </w:rPr>
        <w:t>El procedimiento administrativo a través del cual, los sujetos de la Ley de Adquisiciones, Enajenaciones, Arrendamientos y Contratación de Servicios del Sector público en el Estado de Guanajuato, asignan libremente a una persona un contrato para la adquisición, arrendamiento o enajenación de bienes y para la contratación de servicios;</w:t>
      </w:r>
    </w:p>
    <w:p w14:paraId="638C37C1"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lastRenderedPageBreak/>
        <w:t>Administración de riesgos:</w:t>
      </w:r>
      <w:r w:rsidRPr="006E193D">
        <w:rPr>
          <w:rFonts w:ascii="Century Gothic" w:hAnsi="Century Gothic" w:cs="Arial"/>
          <w:color w:val="215868"/>
        </w:rPr>
        <w:t xml:space="preserve"> </w:t>
      </w:r>
      <w:r w:rsidRPr="00E24AB9">
        <w:rPr>
          <w:rFonts w:ascii="Century Gothic" w:hAnsi="Century Gothic" w:cs="Arial"/>
          <w:color w:val="808080"/>
        </w:rPr>
        <w:t>El proceso realizado por la dependencia o entidad estatal que tiene como propósito identificar los riesgos a que está expuesta en el desarrollo de sus actividades y analizar los distintos factores que pueden provocarlos, con la finalidad de establecer las estrategias que permitan administrarlos y, por lo tanto, contribuir al logro de los objetivos y metas de una manera razonable.</w:t>
      </w:r>
    </w:p>
    <w:p w14:paraId="1543C65A"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Ambiente de control</w:t>
      </w:r>
      <w:r w:rsidRPr="00E24AB9">
        <w:rPr>
          <w:rFonts w:ascii="Century Gothic" w:hAnsi="Century Gothic" w:cs="Arial"/>
          <w:b/>
          <w:color w:val="808080"/>
        </w:rPr>
        <w:t>:</w:t>
      </w:r>
      <w:r w:rsidRPr="00E24AB9">
        <w:rPr>
          <w:rFonts w:ascii="Century Gothic" w:hAnsi="Century Gothic" w:cs="Arial"/>
          <w:color w:val="808080"/>
        </w:rPr>
        <w:t xml:space="preserve"> El establecimiento de un entorno que estimule y motive la conducta de los servidores públicos con respecto al control de sus actividades.</w:t>
      </w:r>
    </w:p>
    <w:p w14:paraId="641D1900"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Área(s) de Recursos Humanos</w:t>
      </w:r>
      <w:r w:rsidRPr="00E24AB9">
        <w:rPr>
          <w:rFonts w:ascii="Century Gothic" w:hAnsi="Century Gothic" w:cs="Arial"/>
          <w:b/>
          <w:color w:val="808080"/>
        </w:rPr>
        <w:t>:</w:t>
      </w:r>
      <w:r w:rsidRPr="00E24AB9">
        <w:rPr>
          <w:rFonts w:ascii="Century Gothic" w:hAnsi="Century Gothic" w:cs="Arial"/>
          <w:color w:val="808080"/>
        </w:rPr>
        <w:t xml:space="preserve"> Unidad(es) Administrativa(s) de las Dependencias y Entidades que tiene(n) a su cargo la administración y desarrollo de los recursos humanos</w:t>
      </w:r>
    </w:p>
    <w:p w14:paraId="4B54F894"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Asignaciones presupuestales</w:t>
      </w:r>
      <w:r w:rsidRPr="00E24AB9">
        <w:rPr>
          <w:rFonts w:ascii="Century Gothic" w:hAnsi="Century Gothic" w:cs="Arial"/>
          <w:b/>
          <w:color w:val="808080"/>
        </w:rPr>
        <w:t>:</w:t>
      </w:r>
      <w:r w:rsidRPr="00E24AB9">
        <w:rPr>
          <w:rFonts w:ascii="Century Gothic" w:hAnsi="Century Gothic" w:cs="Arial"/>
          <w:color w:val="808080"/>
        </w:rPr>
        <w:t xml:space="preserve"> Los montos previstos en los ramos a ejercer por los poderes, organismos autónomos, dependencias y entidades;</w:t>
      </w:r>
    </w:p>
    <w:p w14:paraId="15D12EF8"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CFD’S:</w:t>
      </w:r>
      <w:r w:rsidRPr="006E193D">
        <w:rPr>
          <w:rFonts w:ascii="Century Gothic" w:hAnsi="Century Gothic" w:cs="Arial"/>
          <w:color w:val="215868"/>
        </w:rPr>
        <w:t xml:space="preserve"> </w:t>
      </w:r>
      <w:r w:rsidRPr="00E24AB9">
        <w:rPr>
          <w:rFonts w:ascii="Century Gothic" w:hAnsi="Century Gothic" w:cs="Arial"/>
          <w:color w:val="808080"/>
        </w:rPr>
        <w:t>Comprobante Fiscal Digital;</w:t>
      </w:r>
    </w:p>
    <w:p w14:paraId="15039479"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COFOCE:</w:t>
      </w:r>
      <w:r w:rsidRPr="006E193D">
        <w:rPr>
          <w:rFonts w:ascii="Century Gothic" w:hAnsi="Century Gothic" w:cs="Arial"/>
          <w:color w:val="215868"/>
        </w:rPr>
        <w:t xml:space="preserve"> </w:t>
      </w:r>
      <w:r w:rsidRPr="00E24AB9">
        <w:rPr>
          <w:rFonts w:ascii="Century Gothic" w:hAnsi="Century Gothic" w:cs="Arial"/>
          <w:color w:val="808080"/>
        </w:rPr>
        <w:t>Coordinadora de Fomento al Comercio Exterior del Estado de Guanajuato;</w:t>
      </w:r>
    </w:p>
    <w:p w14:paraId="45639829"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Compras consolidadas:</w:t>
      </w:r>
      <w:r w:rsidRPr="006E193D">
        <w:rPr>
          <w:rFonts w:ascii="Century Gothic" w:hAnsi="Century Gothic" w:cs="Arial"/>
          <w:color w:val="215868"/>
        </w:rPr>
        <w:t xml:space="preserve"> </w:t>
      </w:r>
      <w:r w:rsidRPr="00E24AB9">
        <w:rPr>
          <w:rFonts w:ascii="Century Gothic" w:hAnsi="Century Gothic" w:cs="Arial"/>
          <w:color w:val="808080"/>
        </w:rPr>
        <w:t>Aquéllas que efectúen en un solo contrato dos o más sujetos de la Ley de Adquisiciones, Enajenaciones, Arrendamientos y Contratación de Servicios del Sector público en el Estado de Guanajuato o bien, entre dos o más dependencias y/o entidades;</w:t>
      </w:r>
    </w:p>
    <w:p w14:paraId="18D12B33"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Control correctivo:</w:t>
      </w:r>
      <w:r w:rsidRPr="006E193D">
        <w:rPr>
          <w:rFonts w:ascii="Century Gothic" w:hAnsi="Century Gothic" w:cs="Arial"/>
          <w:color w:val="215868"/>
        </w:rPr>
        <w:t xml:space="preserve"> </w:t>
      </w:r>
      <w:r w:rsidRPr="00E24AB9">
        <w:rPr>
          <w:rFonts w:ascii="Century Gothic" w:hAnsi="Century Gothic" w:cs="Arial"/>
          <w:color w:val="808080"/>
        </w:rPr>
        <w:t>Los mecanismos de control que operan en la etapa final de un proceso, el cual permite identificar y corregir o subsanar en algún grado, omisiones o desviaciones.</w:t>
      </w:r>
    </w:p>
    <w:p w14:paraId="2B72EFE3"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Control detectivo:</w:t>
      </w:r>
      <w:r w:rsidRPr="006E193D">
        <w:rPr>
          <w:rFonts w:ascii="Century Gothic" w:hAnsi="Century Gothic" w:cs="Arial"/>
          <w:color w:val="215868"/>
        </w:rPr>
        <w:t xml:space="preserve"> </w:t>
      </w:r>
      <w:r w:rsidRPr="00E24AB9">
        <w:rPr>
          <w:rFonts w:ascii="Century Gothic" w:hAnsi="Century Gothic" w:cs="Arial"/>
          <w:color w:val="808080"/>
        </w:rPr>
        <w:t>Los mecanismos de control que operan en el momento en que los eventos o transacciones están ocurriendo, e identifican las omisiones o desviaciones antes de que concluya el proceso.</w:t>
      </w:r>
    </w:p>
    <w:p w14:paraId="3611EE0C"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Control Interno</w:t>
      </w:r>
      <w:r w:rsidRPr="00E24AB9">
        <w:rPr>
          <w:rFonts w:ascii="Century Gothic" w:hAnsi="Century Gothic" w:cs="Arial"/>
          <w:b/>
          <w:color w:val="808080"/>
        </w:rPr>
        <w:t>:</w:t>
      </w:r>
      <w:r w:rsidRPr="00E24AB9">
        <w:rPr>
          <w:rFonts w:ascii="Century Gothic" w:hAnsi="Century Gothic" w:cs="Arial"/>
          <w:color w:val="808080"/>
        </w:rPr>
        <w:t xml:space="preserve"> Proceso ejecutado por todos los niveles jerárquicos y el personal de la entidad. Sirve para asegurar en forma razonable la ejecución de sus operaciones en forma eficiente y efectiva, la confiabilidad de la información financiera y de gestión, la protección de los activos, y el cumplimiento de las disposiciones legales y reglamentarias,</w:t>
      </w:r>
    </w:p>
    <w:p w14:paraId="68E61381"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lastRenderedPageBreak/>
        <w:t>Control Interno Institucional:</w:t>
      </w:r>
      <w:r w:rsidRPr="006E193D">
        <w:rPr>
          <w:rFonts w:ascii="Century Gothic" w:hAnsi="Century Gothic" w:cs="Arial"/>
          <w:color w:val="215868"/>
        </w:rPr>
        <w:t xml:space="preserve"> </w:t>
      </w:r>
      <w:r w:rsidRPr="00E24AB9">
        <w:rPr>
          <w:rFonts w:ascii="Century Gothic" w:hAnsi="Century Gothic" w:cs="Arial"/>
          <w:color w:val="808080"/>
        </w:rPr>
        <w:t>Proceso llevado a cabo por los Órganos de Gobierno, los Titulares y Jefes de las Áreas o Unidades Administrativas y demás Servidores Públicos de las Dependencias y Entidades de la Administración Pública Estatal, diseñado e implementado para: proporcionar una seguridad razonable con respecto al logro eficiente y efectivo de los objetivos y metas institucionales, obtener información confiable y oportuna, así como para cumplir con el marco jurídico que les aplica.</w:t>
      </w:r>
    </w:p>
    <w:p w14:paraId="5D873133"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Control preventivo</w:t>
      </w:r>
      <w:r w:rsidRPr="006E193D">
        <w:rPr>
          <w:rFonts w:ascii="Century Gothic" w:hAnsi="Century Gothic" w:cs="Arial"/>
          <w:color w:val="365F91"/>
        </w:rPr>
        <w:t xml:space="preserve">: </w:t>
      </w:r>
      <w:r w:rsidRPr="00E24AB9">
        <w:rPr>
          <w:rFonts w:ascii="Century Gothic" w:hAnsi="Century Gothic" w:cs="Arial"/>
          <w:color w:val="808080"/>
        </w:rPr>
        <w:t>Los mecanismos de control que tienen como propósito anticiparse a la posibilidad de que se ejecuten acciones fuera del marco legal y normativo y que afecten el logro de los objetivos y metas.</w:t>
      </w:r>
    </w:p>
    <w:p w14:paraId="26775C9A"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Dependencias:</w:t>
      </w:r>
      <w:r w:rsidRPr="006E193D">
        <w:rPr>
          <w:rFonts w:ascii="Century Gothic" w:hAnsi="Century Gothic" w:cs="Arial"/>
          <w:color w:val="215868"/>
        </w:rPr>
        <w:t xml:space="preserve"> </w:t>
      </w:r>
      <w:r w:rsidRPr="00E24AB9">
        <w:rPr>
          <w:rFonts w:ascii="Century Gothic" w:hAnsi="Century Gothic" w:cs="Arial"/>
          <w:color w:val="808080"/>
        </w:rPr>
        <w:t>Secretarías de Estado, Procuraduría General de Justicia del Estado y las unidades directamente adscritas al Despacho del C. Gobernador del Estado.</w:t>
      </w:r>
    </w:p>
    <w:p w14:paraId="4C284913"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DGRH:</w:t>
      </w:r>
      <w:r w:rsidRPr="006E193D">
        <w:rPr>
          <w:rFonts w:ascii="Century Gothic" w:hAnsi="Century Gothic" w:cs="Arial"/>
          <w:color w:val="215868"/>
        </w:rPr>
        <w:t xml:space="preserve"> </w:t>
      </w:r>
      <w:r w:rsidRPr="00E24AB9">
        <w:rPr>
          <w:rFonts w:ascii="Century Gothic" w:hAnsi="Century Gothic" w:cs="Arial"/>
          <w:color w:val="808080"/>
        </w:rPr>
        <w:t>Dirección General de Recursos Humanos de la Secretaría de Finanzas, Inversión y Administración</w:t>
      </w:r>
    </w:p>
    <w:p w14:paraId="40884288" w14:textId="77777777" w:rsidR="00492EB5" w:rsidRPr="005645AC" w:rsidRDefault="00492EB5" w:rsidP="00492EB5">
      <w:pPr>
        <w:jc w:val="both"/>
        <w:rPr>
          <w:rFonts w:ascii="Century Gothic" w:hAnsi="Century Gothic" w:cs="Arial"/>
          <w:color w:val="808080"/>
        </w:rPr>
      </w:pPr>
      <w:r>
        <w:rPr>
          <w:rFonts w:ascii="Century Gothic" w:hAnsi="Century Gothic" w:cs="Arial"/>
          <w:b/>
          <w:color w:val="000000"/>
        </w:rPr>
        <w:t>DFA</w:t>
      </w:r>
      <w:r w:rsidRPr="006E193D">
        <w:rPr>
          <w:rFonts w:ascii="Century Gothic" w:hAnsi="Century Gothic" w:cs="Arial"/>
          <w:b/>
          <w:color w:val="000000"/>
        </w:rPr>
        <w:t>:</w:t>
      </w:r>
      <w:r w:rsidRPr="006E193D">
        <w:rPr>
          <w:rFonts w:ascii="Century Gothic" w:hAnsi="Century Gothic" w:cs="Arial"/>
          <w:color w:val="215868"/>
        </w:rPr>
        <w:t xml:space="preserve"> </w:t>
      </w:r>
      <w:r w:rsidRPr="005645AC">
        <w:rPr>
          <w:rFonts w:ascii="Century Gothic" w:hAnsi="Century Gothic" w:cs="Arial"/>
          <w:color w:val="808080"/>
        </w:rPr>
        <w:t xml:space="preserve">Dirección </w:t>
      </w:r>
      <w:r>
        <w:rPr>
          <w:rFonts w:ascii="Century Gothic" w:hAnsi="Century Gothic" w:cs="Arial"/>
          <w:color w:val="808080"/>
        </w:rPr>
        <w:t>Financiera y de Administración.</w:t>
      </w:r>
    </w:p>
    <w:p w14:paraId="466D3313"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Economía:</w:t>
      </w:r>
      <w:r w:rsidRPr="006E193D">
        <w:rPr>
          <w:rFonts w:ascii="Century Gothic" w:hAnsi="Century Gothic" w:cs="Arial"/>
          <w:color w:val="215868"/>
        </w:rPr>
        <w:t xml:space="preserve"> </w:t>
      </w:r>
      <w:r w:rsidRPr="00E24AB9">
        <w:rPr>
          <w:rFonts w:ascii="Century Gothic" w:hAnsi="Century Gothic" w:cs="Arial"/>
          <w:color w:val="808080"/>
        </w:rPr>
        <w:t>Términos y condiciones bajo los cuales se adquieren recursos, en cantidad y calidad apropiada y al menor costo posible para realizar una actividad determinada, con la calidad requerida;</w:t>
      </w:r>
    </w:p>
    <w:p w14:paraId="664D274F"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Eficacia:</w:t>
      </w:r>
      <w:r w:rsidRPr="006E193D">
        <w:rPr>
          <w:rFonts w:ascii="Century Gothic" w:hAnsi="Century Gothic" w:cs="Arial"/>
          <w:color w:val="215868"/>
        </w:rPr>
        <w:t xml:space="preserve"> </w:t>
      </w:r>
      <w:r w:rsidRPr="00E24AB9">
        <w:rPr>
          <w:rFonts w:ascii="Century Gothic" w:hAnsi="Century Gothic" w:cs="Arial"/>
          <w:color w:val="808080"/>
        </w:rPr>
        <w:t>El cumplimiento de los objetivos y metas establecidos, en lugar, tiempo, calidad y cantidad</w:t>
      </w:r>
    </w:p>
    <w:p w14:paraId="38E9DF83"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Eficiencia:</w:t>
      </w:r>
      <w:r w:rsidRPr="006E193D">
        <w:rPr>
          <w:rFonts w:ascii="Century Gothic" w:hAnsi="Century Gothic" w:cs="Arial"/>
          <w:color w:val="215868"/>
        </w:rPr>
        <w:t xml:space="preserve"> </w:t>
      </w:r>
      <w:r w:rsidRPr="00E24AB9">
        <w:rPr>
          <w:rFonts w:ascii="Century Gothic" w:hAnsi="Century Gothic" w:cs="Arial"/>
          <w:color w:val="808080"/>
        </w:rPr>
        <w:t>El logro de objetivos y metas programadas con la menor cantidad de recursos;</w:t>
      </w:r>
    </w:p>
    <w:p w14:paraId="7F3067F2"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Entidades:</w:t>
      </w:r>
      <w:r w:rsidRPr="006E193D">
        <w:rPr>
          <w:rFonts w:ascii="Century Gothic" w:hAnsi="Century Gothic" w:cs="Arial"/>
          <w:color w:val="215868"/>
        </w:rPr>
        <w:t xml:space="preserve"> </w:t>
      </w:r>
      <w:r w:rsidRPr="00E24AB9">
        <w:rPr>
          <w:rFonts w:ascii="Century Gothic" w:hAnsi="Century Gothic" w:cs="Arial"/>
          <w:color w:val="808080"/>
        </w:rPr>
        <w:t>Las paraestatales que con tal carácter determina la Ley Orgánica del Poder Ejecutivo para el Estado de Guanajuato;</w:t>
      </w:r>
    </w:p>
    <w:p w14:paraId="7F10BA6D"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Gasto comprometido:</w:t>
      </w:r>
      <w:r w:rsidRPr="006E193D">
        <w:rPr>
          <w:rFonts w:ascii="Century Gothic" w:hAnsi="Century Gothic" w:cs="Arial"/>
          <w:color w:val="215868"/>
        </w:rPr>
        <w:t xml:space="preserve"> </w:t>
      </w:r>
      <w:r w:rsidRPr="00E24AB9">
        <w:rPr>
          <w:rFonts w:ascii="Century Gothic" w:hAnsi="Century Gothic" w:cs="Arial"/>
          <w:color w:val="808080"/>
        </w:rPr>
        <w:t>El momento contable del gasto que refleja la aprobación, por autoridad competente, de un acto administrativo u otro instrumento jurídico que formaliza una relación jurídica con terceros para la adquisición de bienes, prestación de servicios o ejecución de obras;</w:t>
      </w:r>
    </w:p>
    <w:p w14:paraId="3FCCF031"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Gasto devengado:</w:t>
      </w:r>
      <w:r w:rsidRPr="006E193D">
        <w:rPr>
          <w:rFonts w:ascii="Century Gothic" w:hAnsi="Century Gothic" w:cs="Arial"/>
          <w:color w:val="215868"/>
        </w:rPr>
        <w:t xml:space="preserve"> </w:t>
      </w:r>
      <w:r w:rsidRPr="00E24AB9">
        <w:rPr>
          <w:rFonts w:ascii="Century Gothic" w:hAnsi="Century Gothic" w:cs="Arial"/>
          <w:color w:val="808080"/>
        </w:rPr>
        <w:t>El momento contable del gasto que refleja el reconocimiento de una obligación de pago a favor de terceros por la recepción de conformidad de bienes, servicios y obras oportunamente contratados; así como de las obligaciones que derivan de leyes, decretos, resoluciones y sentencias definitivas;</w:t>
      </w:r>
    </w:p>
    <w:p w14:paraId="669D1974"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lastRenderedPageBreak/>
        <w:t>Indicadores</w:t>
      </w:r>
      <w:r w:rsidRPr="006E193D">
        <w:rPr>
          <w:rFonts w:ascii="Century Gothic" w:hAnsi="Century Gothic" w:cs="Arial"/>
          <w:color w:val="365F91"/>
        </w:rPr>
        <w:t xml:space="preserve">: </w:t>
      </w:r>
      <w:r w:rsidRPr="00E24AB9">
        <w:rPr>
          <w:rFonts w:ascii="Century Gothic" w:hAnsi="Century Gothic" w:cs="Arial"/>
          <w:color w:val="808080"/>
        </w:rPr>
        <w:t>La expresión cuantitativa o, en su caso, cualitativa que proporciona un medio sencillo y fiable para medir logros, reflejar los cambios vinculados con las acciones del programa, monitorear y evaluar resultados;</w:t>
      </w:r>
    </w:p>
    <w:p w14:paraId="33E66B35"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Ingresos propios:</w:t>
      </w:r>
      <w:r w:rsidRPr="006E193D">
        <w:rPr>
          <w:rFonts w:ascii="Century Gothic" w:hAnsi="Century Gothic" w:cs="Arial"/>
          <w:color w:val="215868"/>
        </w:rPr>
        <w:t xml:space="preserve"> </w:t>
      </w:r>
      <w:r w:rsidRPr="00E24AB9">
        <w:rPr>
          <w:rFonts w:ascii="Century Gothic" w:hAnsi="Century Gothic" w:cs="Arial"/>
          <w:color w:val="808080"/>
        </w:rPr>
        <w:t>Los recursos que por cualquier concepto obtengan los poderes, organismos autónomos, dependencias y entidades, conforme a la Ley o Decreto correspondiente, distintos a los que provengan de asignaciones presupuestales y sus adecuaciones, remanentes o accesorios;</w:t>
      </w:r>
    </w:p>
    <w:p w14:paraId="29AB9198"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Licitación pública:</w:t>
      </w:r>
      <w:r w:rsidRPr="006E193D">
        <w:rPr>
          <w:rFonts w:ascii="Century Gothic" w:hAnsi="Century Gothic" w:cs="Arial"/>
          <w:color w:val="215868"/>
        </w:rPr>
        <w:t xml:space="preserve"> </w:t>
      </w:r>
      <w:r w:rsidRPr="00E24AB9">
        <w:rPr>
          <w:rFonts w:ascii="Century Gothic" w:hAnsi="Century Gothic" w:cs="Arial"/>
          <w:color w:val="808080"/>
        </w:rPr>
        <w:t>El procedimiento administrativo mediante el cual se convoca a todos los posibles interesados para que, sujetándose a las bases establecidas, presenten sus ofertas con la finalidad de seleccionar la más conveniente para la adquisición, arrendamiento de bienes muebles y contratación de servicios por los sujetos de la Ley de Adquisiciones, Enajenaciones, Arrendamientos y Contratación de Servicios del Sector público en el Estado de Guanajuato;</w:t>
      </w:r>
    </w:p>
    <w:p w14:paraId="35FD36AE"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Licitación restringida</w:t>
      </w:r>
      <w:r w:rsidRPr="006E193D">
        <w:rPr>
          <w:rFonts w:ascii="Century Gothic" w:hAnsi="Century Gothic" w:cs="Arial"/>
          <w:color w:val="365F91"/>
        </w:rPr>
        <w:t xml:space="preserve">: </w:t>
      </w:r>
      <w:r w:rsidRPr="00E24AB9">
        <w:rPr>
          <w:rFonts w:ascii="Century Gothic" w:hAnsi="Century Gothic" w:cs="Arial"/>
          <w:color w:val="808080"/>
        </w:rPr>
        <w:t>El procedimiento administrativo mediante el cual se invita a determinados proveedores, para que sujetándose a las bases establecidas presenten sus ofertas, con la finalidad de seleccionar la más conveniente por los sujetos de la Ley de Adquisiciones, Enajenaciones, Arrendamientos y Contratación de Servicios del Sector público en el Estado de Guanajuato;</w:t>
      </w:r>
    </w:p>
    <w:p w14:paraId="4E278F78"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Manual:</w:t>
      </w:r>
      <w:r w:rsidRPr="006E193D">
        <w:rPr>
          <w:rFonts w:ascii="Century Gothic" w:hAnsi="Century Gothic" w:cs="Arial"/>
          <w:color w:val="215868"/>
        </w:rPr>
        <w:t xml:space="preserve"> </w:t>
      </w:r>
      <w:r w:rsidRPr="00E24AB9">
        <w:rPr>
          <w:rFonts w:ascii="Century Gothic" w:hAnsi="Century Gothic" w:cs="Arial"/>
          <w:color w:val="808080"/>
        </w:rPr>
        <w:t>Manual de Políticas Administrativas y de Control Interno</w:t>
      </w:r>
    </w:p>
    <w:p w14:paraId="5EB7DBC3"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Órganos de Control Interno:</w:t>
      </w:r>
      <w:r w:rsidRPr="006E193D">
        <w:rPr>
          <w:rFonts w:ascii="Century Gothic" w:hAnsi="Century Gothic" w:cs="Arial"/>
          <w:color w:val="215868"/>
        </w:rPr>
        <w:t xml:space="preserve"> </w:t>
      </w:r>
      <w:r w:rsidRPr="00E24AB9">
        <w:rPr>
          <w:rFonts w:ascii="Century Gothic" w:hAnsi="Century Gothic" w:cs="Arial"/>
          <w:color w:val="808080"/>
        </w:rPr>
        <w:t>La Secretaría de la Transparencia y Rendición de Cuentas, así como las áreas administrativas responsables de las funciones de vigilancia y control en los Poderes Legislativo y Judicial y en los Organismos Autónomos;</w:t>
      </w:r>
    </w:p>
    <w:p w14:paraId="4E76BAA1"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Órganos de Vigilancia:</w:t>
      </w:r>
      <w:r w:rsidRPr="006E193D">
        <w:rPr>
          <w:rFonts w:ascii="Century Gothic" w:hAnsi="Century Gothic" w:cs="Arial"/>
          <w:color w:val="215868"/>
        </w:rPr>
        <w:t xml:space="preserve"> </w:t>
      </w:r>
      <w:r w:rsidRPr="00E24AB9">
        <w:rPr>
          <w:rFonts w:ascii="Century Gothic" w:hAnsi="Century Gothic" w:cs="Arial"/>
          <w:color w:val="808080"/>
        </w:rPr>
        <w:t>Unidades creadas al interior de las Entidades en las que participa un representante de la Secretaría de Transparencia y Rendición de Cuentas cuyas actividades de conformidad con el artículo 56 de la Ley Orgánica del Poder Ejecutivo para el Estado de Guanajuato son: vigilar la correcta aplicación del presupuesto de egresos; verificar que se cuente con el registro e inventario actualizado de los bienes muebles e inmuebles; participar en la entrega-recepción de la administración; verificar los estados financieros; observar los lineamientos que emita la Secretaría de de Transparencia y Rendición de Cuentas; y las demás que le señalen esta ley o su decreto de creación.</w:t>
      </w:r>
    </w:p>
    <w:p w14:paraId="3BE296D1"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PBR:</w:t>
      </w:r>
      <w:r w:rsidRPr="006E193D">
        <w:rPr>
          <w:rFonts w:ascii="Century Gothic" w:hAnsi="Century Gothic" w:cs="Arial"/>
          <w:color w:val="215868"/>
        </w:rPr>
        <w:t xml:space="preserve"> </w:t>
      </w:r>
      <w:r w:rsidRPr="00E24AB9">
        <w:rPr>
          <w:rFonts w:ascii="Century Gothic" w:hAnsi="Century Gothic" w:cs="Arial"/>
          <w:color w:val="808080"/>
        </w:rPr>
        <w:t xml:space="preserve">Presupuesto Basado en Resultados. </w:t>
      </w:r>
    </w:p>
    <w:p w14:paraId="7EC0B214"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lastRenderedPageBreak/>
        <w:t>Plaza:</w:t>
      </w:r>
      <w:r w:rsidRPr="006E193D">
        <w:rPr>
          <w:rFonts w:ascii="Century Gothic" w:hAnsi="Century Gothic" w:cs="Arial"/>
          <w:color w:val="215868"/>
        </w:rPr>
        <w:t xml:space="preserve"> </w:t>
      </w:r>
      <w:r w:rsidRPr="00E24AB9">
        <w:rPr>
          <w:rFonts w:ascii="Century Gothic" w:hAnsi="Century Gothic" w:cs="Arial"/>
          <w:color w:val="808080"/>
        </w:rPr>
        <w:t>Posición individual de trabajo que cuenta con adscripción determinada y respaldo presupuestal</w:t>
      </w:r>
    </w:p>
    <w:p w14:paraId="417CA785"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Presupuesto</w:t>
      </w:r>
      <w:r w:rsidRPr="006E193D">
        <w:rPr>
          <w:rFonts w:ascii="Century Gothic" w:hAnsi="Century Gothic" w:cs="Arial"/>
          <w:color w:val="365F91"/>
        </w:rPr>
        <w:t xml:space="preserve">: </w:t>
      </w:r>
      <w:r w:rsidRPr="00E24AB9">
        <w:rPr>
          <w:rFonts w:ascii="Century Gothic" w:hAnsi="Century Gothic" w:cs="Arial"/>
          <w:color w:val="808080"/>
        </w:rPr>
        <w:t>Plan de erogaciones monetarias, durante un lapso de tiempo determinado, generalmente un año, en éste se determinan las actividades para establecer y alcanzar los objetivos de la entidad. Es un proceso de consolidación de las acciones encaminadas a cuantificar monetariamente los recursos humanos, materiales y financieros necesarios para cumplir con los programas establecidos en un determinado periodo; comprende las tareas de formulación, discusión, aprobación, ejecución, control y evaluación del presupuesto</w:t>
      </w:r>
    </w:p>
    <w:p w14:paraId="663375B3"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Presupuesto basado en resultados</w:t>
      </w:r>
      <w:r w:rsidRPr="006E193D">
        <w:rPr>
          <w:rFonts w:ascii="Century Gothic" w:hAnsi="Century Gothic" w:cs="Arial"/>
          <w:color w:val="365F91"/>
        </w:rPr>
        <w:t xml:space="preserve">: </w:t>
      </w:r>
      <w:r w:rsidRPr="00E24AB9">
        <w:rPr>
          <w:rFonts w:ascii="Century Gothic" w:hAnsi="Century Gothic" w:cs="Arial"/>
          <w:color w:val="808080"/>
        </w:rPr>
        <w:t>El conjunto de procesos y herramientas que permiten apoyar las decisiones presupuestarias en información que sistemáticamente incorpora consideraciones sobre los resultados del ejercicio de los recursos públicos, y que motiva a los ejecutores del gasto a lograrlos, con el objeto de mejorar la calidad del gasto público y promover una adecuada transparencia y rendición de cuentas;</w:t>
      </w:r>
    </w:p>
    <w:p w14:paraId="5F3752CE"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Programa operativo anual:</w:t>
      </w:r>
      <w:r w:rsidRPr="006E193D">
        <w:rPr>
          <w:rFonts w:ascii="Century Gothic" w:hAnsi="Century Gothic" w:cs="Arial"/>
          <w:color w:val="215868"/>
        </w:rPr>
        <w:t xml:space="preserve"> </w:t>
      </w:r>
      <w:r w:rsidRPr="00E24AB9">
        <w:rPr>
          <w:rFonts w:ascii="Century Gothic" w:hAnsi="Century Gothic" w:cs="Arial"/>
          <w:color w:val="808080"/>
        </w:rPr>
        <w:t>El instrumento administrativo que estará integrado por los programas presupuestarios que definan las dependencias y entidades, dentro del proceso de programación-presupuestación, los cuales contendrán los objetivos, indicadores y metas, para la evaluación de sus resultados;</w:t>
      </w:r>
    </w:p>
    <w:p w14:paraId="68708F8F"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Programa presupuestario</w:t>
      </w:r>
      <w:r w:rsidRPr="006E193D">
        <w:rPr>
          <w:rFonts w:ascii="Century Gothic" w:hAnsi="Century Gothic" w:cs="Arial"/>
          <w:color w:val="365F91"/>
        </w:rPr>
        <w:t xml:space="preserve">: </w:t>
      </w:r>
      <w:r w:rsidRPr="00E24AB9">
        <w:rPr>
          <w:rFonts w:ascii="Century Gothic" w:hAnsi="Century Gothic" w:cs="Arial"/>
          <w:color w:val="808080"/>
        </w:rPr>
        <w:t>La categoría programática que permite organizar, en forma representativa y homogénea, las asignaciones de recursos para programas y proyectos, que establece los objetivos, metas e indicadores, para los ejecutores del gasto, y que contribuye al cumplimiento de los instrumentos de planeación;</w:t>
      </w:r>
    </w:p>
    <w:p w14:paraId="41406247"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Proveedor</w:t>
      </w:r>
      <w:r w:rsidRPr="006E193D">
        <w:rPr>
          <w:rFonts w:ascii="Century Gothic" w:hAnsi="Century Gothic" w:cs="Arial"/>
          <w:color w:val="365F91"/>
        </w:rPr>
        <w:t xml:space="preserve">: </w:t>
      </w:r>
      <w:r w:rsidRPr="00E24AB9">
        <w:rPr>
          <w:rFonts w:ascii="Century Gothic" w:hAnsi="Century Gothic" w:cs="Arial"/>
          <w:color w:val="808080"/>
        </w:rPr>
        <w:t>La persona que por virtud de un contrato transmita la propiedad o el uso de bienes muebles, o preste servicios a los sujetos de la Ley de Adquisiciones, Enajenaciones, Arrendamientos y Contratación de Servicios del Sector público en el Estado de Guanajuato;</w:t>
      </w:r>
    </w:p>
    <w:p w14:paraId="5E0704E6"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Puesto:</w:t>
      </w:r>
      <w:r w:rsidRPr="006E193D">
        <w:rPr>
          <w:rFonts w:ascii="Century Gothic" w:hAnsi="Century Gothic" w:cs="Arial"/>
          <w:color w:val="215868"/>
        </w:rPr>
        <w:t xml:space="preserve"> </w:t>
      </w:r>
      <w:r w:rsidRPr="00E24AB9">
        <w:rPr>
          <w:rFonts w:ascii="Century Gothic" w:hAnsi="Century Gothic" w:cs="Arial"/>
          <w:color w:val="808080"/>
        </w:rPr>
        <w:t>Unidad de trabajo específica e impersonal</w:t>
      </w:r>
    </w:p>
    <w:p w14:paraId="4E53D3DB"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Puesto Estratégico</w:t>
      </w:r>
      <w:r w:rsidRPr="006E193D">
        <w:rPr>
          <w:rFonts w:ascii="Century Gothic" w:hAnsi="Century Gothic" w:cs="Arial"/>
          <w:color w:val="365F91"/>
        </w:rPr>
        <w:t xml:space="preserve">: </w:t>
      </w:r>
      <w:r w:rsidRPr="00E24AB9">
        <w:rPr>
          <w:rFonts w:ascii="Century Gothic" w:hAnsi="Century Gothic" w:cs="Arial"/>
          <w:color w:val="808080"/>
        </w:rPr>
        <w:t>Posición dentro de la estructura de la Dependencia o Entidad de importancia decisiva para el desarrollo de los procesos de la misma.</w:t>
      </w:r>
    </w:p>
    <w:p w14:paraId="00F34C68"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lastRenderedPageBreak/>
        <w:t>Puesto Tipo</w:t>
      </w:r>
      <w:r w:rsidRPr="006E193D">
        <w:rPr>
          <w:rFonts w:ascii="Century Gothic" w:hAnsi="Century Gothic" w:cs="Arial"/>
          <w:color w:val="365F91"/>
        </w:rPr>
        <w:t xml:space="preserve">: </w:t>
      </w:r>
      <w:r w:rsidRPr="00E24AB9">
        <w:rPr>
          <w:rFonts w:ascii="Century Gothic" w:hAnsi="Century Gothic" w:cs="Arial"/>
          <w:color w:val="808080"/>
        </w:rPr>
        <w:t>Es la unidad impersonal de trabajo que identifica las tareas y deberes específicos, por medio del cual se asignan las responsabilidades a una o un trabajador, cada puesto puede contener una o más plazas e implica el registro de las aptitudes, habilidades, preparación y experiencia de quien o quienes lo ocupan;</w:t>
      </w:r>
    </w:p>
    <w:p w14:paraId="10C6EF13"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Riesgo</w:t>
      </w:r>
      <w:r w:rsidRPr="006E193D">
        <w:rPr>
          <w:rFonts w:ascii="Century Gothic" w:hAnsi="Century Gothic" w:cs="Arial"/>
          <w:color w:val="365F91"/>
        </w:rPr>
        <w:t xml:space="preserve">: </w:t>
      </w:r>
      <w:r w:rsidRPr="00E24AB9">
        <w:rPr>
          <w:rFonts w:ascii="Century Gothic" w:hAnsi="Century Gothic" w:cs="Arial"/>
          <w:color w:val="808080"/>
        </w:rPr>
        <w:t xml:space="preserve">La probabilidad de que un evento o acción adversa y su impacto afecten el correcto funcionamiento de la dependencia o entidad. </w:t>
      </w:r>
    </w:p>
    <w:p w14:paraId="3ACE75B5"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SFIyA</w:t>
      </w:r>
      <w:r w:rsidRPr="00E24AB9">
        <w:rPr>
          <w:rFonts w:ascii="Century Gothic" w:hAnsi="Century Gothic" w:cs="Arial"/>
          <w:color w:val="808080"/>
        </w:rPr>
        <w:t xml:space="preserve">: La Secretaría de Finanzas, Inversión y Administración; </w:t>
      </w:r>
    </w:p>
    <w:p w14:paraId="1D8682E0"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Seguridad razonable</w:t>
      </w:r>
      <w:r w:rsidRPr="006E193D">
        <w:rPr>
          <w:rFonts w:ascii="Century Gothic" w:hAnsi="Century Gothic" w:cs="Arial"/>
          <w:color w:val="365F91"/>
        </w:rPr>
        <w:t xml:space="preserve">: </w:t>
      </w:r>
      <w:r w:rsidRPr="00E24AB9">
        <w:rPr>
          <w:rFonts w:ascii="Century Gothic" w:hAnsi="Century Gothic" w:cs="Arial"/>
          <w:color w:val="808080"/>
        </w:rPr>
        <w:t>El nivel satisfactorio de confianza, entre determinadas condiciones de costos, beneficios y riesgos.</w:t>
      </w:r>
    </w:p>
    <w:p w14:paraId="4C578C90"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Servicios de Capacitación</w:t>
      </w:r>
      <w:r w:rsidRPr="006E193D">
        <w:rPr>
          <w:rFonts w:ascii="Century Gothic" w:hAnsi="Century Gothic" w:cs="Arial"/>
          <w:color w:val="365F91"/>
        </w:rPr>
        <w:t xml:space="preserve">: </w:t>
      </w:r>
      <w:r w:rsidRPr="00E24AB9">
        <w:rPr>
          <w:rFonts w:ascii="Century Gothic" w:hAnsi="Century Gothic" w:cs="Arial"/>
          <w:color w:val="808080"/>
        </w:rPr>
        <w:t>Asignaciones destinadas a cubrir el costo de los servicios profesionales que se contraten con personas físicas y morales por concepto de preparación e impartición de cursos de capacitación y/o actualización de las y los servidores públicos, en territorio nacional o internacional, en cumplimiento de los programas anuales de capacitación que establezcan los entes públicos. Excluye las erogaciones por capacitación correspondientes a las prestaciones comprendidas en el Capítulo «1000 Servicios Personales</w:t>
      </w:r>
    </w:p>
    <w:p w14:paraId="55B84B33"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Servicios informáticos</w:t>
      </w:r>
      <w:r w:rsidRPr="006E193D">
        <w:rPr>
          <w:rFonts w:ascii="Century Gothic" w:hAnsi="Century Gothic" w:cs="Arial"/>
          <w:color w:val="365F91"/>
        </w:rPr>
        <w:t xml:space="preserve">: </w:t>
      </w:r>
      <w:r w:rsidRPr="00E24AB9">
        <w:rPr>
          <w:rFonts w:ascii="Century Gothic" w:hAnsi="Century Gothic" w:cs="Arial"/>
          <w:color w:val="808080"/>
        </w:rPr>
        <w:t>Aquéllos que consisten en el desarrollo de sistemas, sitios, páginas de Internet, procesamiento y elaboración de programas, digitalización de documentos, ploteo por computadora, mantenimiento de sitios y/o páginas web así como el mantenimiento y soporte a los sistemas y programas ya existentes.</w:t>
      </w:r>
    </w:p>
    <w:p w14:paraId="1A29CA08"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Sistema de evaluación del desempeño (SED</w:t>
      </w:r>
      <w:r w:rsidRPr="006E193D">
        <w:rPr>
          <w:rFonts w:ascii="Century Gothic" w:hAnsi="Century Gothic" w:cs="Arial"/>
          <w:color w:val="365F91"/>
        </w:rPr>
        <w:t xml:space="preserve">): </w:t>
      </w:r>
      <w:r w:rsidRPr="00E24AB9">
        <w:rPr>
          <w:rFonts w:ascii="Century Gothic" w:hAnsi="Century Gothic" w:cs="Arial"/>
          <w:color w:val="808080"/>
        </w:rPr>
        <w:t>El conjunto de elementos metodológicos que permiten realizar una valoración objetiva del desempeño de los programas, bajo los principios de verificación del grado de cumplimiento de metas y objetivos, con base en indicadores que permitan conocer el impacto social de los programas y de los proyectos.</w:t>
      </w:r>
    </w:p>
    <w:p w14:paraId="50385AF7" w14:textId="77777777" w:rsidR="00492EB5" w:rsidRPr="00E24AB9" w:rsidRDefault="00492EB5" w:rsidP="00492EB5">
      <w:pPr>
        <w:jc w:val="both"/>
        <w:rPr>
          <w:rFonts w:ascii="Century Gothic" w:hAnsi="Century Gothic" w:cs="Arial"/>
          <w:color w:val="808080"/>
        </w:rPr>
      </w:pPr>
      <w:r w:rsidRPr="006E193D">
        <w:rPr>
          <w:rFonts w:ascii="Century Gothic" w:hAnsi="Century Gothic" w:cs="Arial"/>
          <w:b/>
          <w:color w:val="000000"/>
        </w:rPr>
        <w:t>Unidad Responsable</w:t>
      </w:r>
      <w:r w:rsidRPr="006E193D">
        <w:rPr>
          <w:rFonts w:ascii="Century Gothic" w:hAnsi="Century Gothic" w:cs="Arial"/>
          <w:color w:val="365F91"/>
        </w:rPr>
        <w:t xml:space="preserve">: </w:t>
      </w:r>
      <w:r w:rsidRPr="00E24AB9">
        <w:rPr>
          <w:rFonts w:ascii="Century Gothic" w:hAnsi="Century Gothic" w:cs="Arial"/>
          <w:color w:val="808080"/>
        </w:rPr>
        <w:t>Unidad administrativa de las Dependencias y Entidades que tienen requerimientos en materia de recursos humanos</w:t>
      </w:r>
    </w:p>
    <w:p w14:paraId="5286E7CD" w14:textId="77777777" w:rsidR="00492EB5" w:rsidRPr="006E193D" w:rsidRDefault="00492EB5" w:rsidP="00492EB5">
      <w:pPr>
        <w:jc w:val="both"/>
        <w:rPr>
          <w:rFonts w:ascii="Century Gothic" w:hAnsi="Century Gothic" w:cs="Arial"/>
          <w:b/>
        </w:rPr>
      </w:pPr>
      <w:r w:rsidRPr="006E193D">
        <w:rPr>
          <w:rFonts w:ascii="Century Gothic" w:hAnsi="Century Gothic" w:cs="Arial"/>
          <w:b/>
        </w:rPr>
        <w:t>ANEXO 1.</w:t>
      </w:r>
    </w:p>
    <w:p w14:paraId="1C777838" w14:textId="77777777" w:rsidR="00492EB5" w:rsidRPr="006E193D" w:rsidRDefault="00492EB5" w:rsidP="00492EB5">
      <w:pPr>
        <w:jc w:val="both"/>
        <w:rPr>
          <w:rFonts w:ascii="Century Gothic" w:hAnsi="Century Gothic" w:cs="Arial"/>
          <w:b/>
        </w:rPr>
      </w:pPr>
      <w:r w:rsidRPr="006E193D">
        <w:rPr>
          <w:rFonts w:ascii="Century Gothic" w:hAnsi="Century Gothic" w:cs="Arial"/>
          <w:b/>
        </w:rPr>
        <w:t>Requisitos Fiscales de los Comprobantes</w:t>
      </w:r>
    </w:p>
    <w:p w14:paraId="2B25E01F" w14:textId="77777777" w:rsidR="00492EB5" w:rsidRPr="00E24AB9" w:rsidRDefault="00492EB5" w:rsidP="00A95ADF">
      <w:pPr>
        <w:numPr>
          <w:ilvl w:val="0"/>
          <w:numId w:val="21"/>
        </w:numPr>
        <w:spacing w:after="0" w:line="240" w:lineRule="auto"/>
        <w:ind w:left="426" w:hanging="426"/>
        <w:jc w:val="both"/>
        <w:rPr>
          <w:rFonts w:ascii="Century Gothic" w:hAnsi="Century Gothic" w:cs="Arial"/>
          <w:color w:val="808080"/>
        </w:rPr>
      </w:pPr>
      <w:r w:rsidRPr="00E24AB9">
        <w:rPr>
          <w:rFonts w:ascii="Century Gothic" w:hAnsi="Century Gothic" w:cs="Arial"/>
          <w:color w:val="808080"/>
        </w:rPr>
        <w:lastRenderedPageBreak/>
        <w:t xml:space="preserve">Toda documentación que se presente para trámite de pago o comprobación de </w:t>
      </w:r>
      <w:proofErr w:type="gramStart"/>
      <w:r w:rsidRPr="00E24AB9">
        <w:rPr>
          <w:rFonts w:ascii="Century Gothic" w:hAnsi="Century Gothic" w:cs="Arial"/>
          <w:color w:val="808080"/>
        </w:rPr>
        <w:t>recurso,</w:t>
      </w:r>
      <w:proofErr w:type="gramEnd"/>
      <w:r w:rsidRPr="00E24AB9">
        <w:rPr>
          <w:rFonts w:ascii="Century Gothic" w:hAnsi="Century Gothic" w:cs="Arial"/>
          <w:color w:val="808080"/>
        </w:rPr>
        <w:t xml:space="preserve"> deberá ajustarse en lo conducente, a la normatividad fiscal aplicable.-</w:t>
      </w:r>
    </w:p>
    <w:p w14:paraId="6713E05F" w14:textId="77777777" w:rsidR="00492EB5" w:rsidRPr="00E24AB9" w:rsidRDefault="00492EB5" w:rsidP="00A95ADF">
      <w:pPr>
        <w:numPr>
          <w:ilvl w:val="0"/>
          <w:numId w:val="21"/>
        </w:numPr>
        <w:spacing w:after="0" w:line="240" w:lineRule="auto"/>
        <w:ind w:left="426" w:hanging="426"/>
        <w:jc w:val="both"/>
        <w:rPr>
          <w:rFonts w:ascii="Century Gothic" w:hAnsi="Century Gothic" w:cs="Arial"/>
          <w:color w:val="808080"/>
        </w:rPr>
      </w:pPr>
      <w:r w:rsidRPr="00E24AB9">
        <w:rPr>
          <w:rFonts w:ascii="Century Gothic" w:hAnsi="Century Gothic" w:cs="Arial"/>
          <w:color w:val="808080"/>
        </w:rPr>
        <w:t>Para que la comprobación del gasto sea procedente, los documentos  deberán cumplir con los siguientes requisitos:</w:t>
      </w:r>
    </w:p>
    <w:p w14:paraId="009397EC" w14:textId="77777777" w:rsidR="00492EB5" w:rsidRPr="00E24AB9" w:rsidRDefault="00492EB5" w:rsidP="00A95ADF">
      <w:pPr>
        <w:numPr>
          <w:ilvl w:val="0"/>
          <w:numId w:val="17"/>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Presentar factura o comprobante fiscal deducible, a excepción de los gastos por  importes de hasta 50 pesos.-</w:t>
      </w:r>
    </w:p>
    <w:p w14:paraId="3937F26E" w14:textId="77777777" w:rsidR="00492EB5" w:rsidRPr="00E24AB9" w:rsidRDefault="00492EB5" w:rsidP="00A95ADF">
      <w:pPr>
        <w:numPr>
          <w:ilvl w:val="0"/>
          <w:numId w:val="17"/>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Incluir el motivo del gasto.-</w:t>
      </w:r>
    </w:p>
    <w:p w14:paraId="325C3A8F" w14:textId="77777777" w:rsidR="00492EB5" w:rsidRPr="00E24AB9" w:rsidRDefault="00492EB5" w:rsidP="00A95ADF">
      <w:pPr>
        <w:numPr>
          <w:ilvl w:val="0"/>
          <w:numId w:val="17"/>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Presentar Firma del titular de la unidad responsable, o quien éste autorice.-</w:t>
      </w:r>
    </w:p>
    <w:p w14:paraId="173F41AA" w14:textId="77777777" w:rsidR="00492EB5" w:rsidRPr="00E24AB9" w:rsidRDefault="00492EB5" w:rsidP="00A95ADF">
      <w:pPr>
        <w:numPr>
          <w:ilvl w:val="0"/>
          <w:numId w:val="17"/>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 Ser rubricados por la persona que realizó la erogación.- </w:t>
      </w:r>
    </w:p>
    <w:p w14:paraId="70C6D5B2" w14:textId="77777777" w:rsidR="00492EB5" w:rsidRPr="00E24AB9" w:rsidRDefault="00492EB5" w:rsidP="00A95ADF">
      <w:pPr>
        <w:numPr>
          <w:ilvl w:val="0"/>
          <w:numId w:val="17"/>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Cumplir con los requisitos fiscales establecidos en el artículo 29-A del CFF a excepción d</w:t>
      </w:r>
      <w:r w:rsidR="00B23D23">
        <w:rPr>
          <w:rFonts w:ascii="Century Gothic" w:hAnsi="Century Gothic" w:cs="Arial"/>
          <w:color w:val="808080"/>
        </w:rPr>
        <w:t>e los supuestos del inciso a).</w:t>
      </w:r>
    </w:p>
    <w:p w14:paraId="1700FDAF" w14:textId="77777777" w:rsidR="00492EB5" w:rsidRPr="00E24AB9" w:rsidRDefault="00492EB5" w:rsidP="00A95ADF">
      <w:pPr>
        <w:numPr>
          <w:ilvl w:val="0"/>
          <w:numId w:val="17"/>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Tratándose de consumos en restaurantes, indicar en el cuerpo de la comprobación la relación del personal que incurrió en el gasto.-</w:t>
      </w:r>
    </w:p>
    <w:p w14:paraId="1C10EB55" w14:textId="77777777" w:rsidR="00492EB5" w:rsidRPr="00E24AB9" w:rsidRDefault="00492EB5" w:rsidP="00A95ADF">
      <w:pPr>
        <w:numPr>
          <w:ilvl w:val="0"/>
          <w:numId w:val="17"/>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No se aceptarán comprobantes con tachaduras, enmendaduras ni alteraciones en los campos de f</w:t>
      </w:r>
      <w:r w:rsidR="00B23D23">
        <w:rPr>
          <w:rFonts w:ascii="Century Gothic" w:hAnsi="Century Gothic" w:cs="Arial"/>
          <w:color w:val="808080"/>
        </w:rPr>
        <w:t>echa, concepto, importes, RFC</w:t>
      </w:r>
      <w:r w:rsidRPr="00E24AB9">
        <w:rPr>
          <w:rFonts w:ascii="Century Gothic" w:hAnsi="Century Gothic" w:cs="Arial"/>
          <w:color w:val="808080"/>
        </w:rPr>
        <w:t xml:space="preserve"> , domicilio o razón social, etc.-</w:t>
      </w:r>
    </w:p>
    <w:p w14:paraId="5020DDAA" w14:textId="77777777" w:rsidR="00492EB5" w:rsidRPr="00E24AB9" w:rsidRDefault="00492EB5" w:rsidP="00A95ADF">
      <w:pPr>
        <w:numPr>
          <w:ilvl w:val="0"/>
          <w:numId w:val="17"/>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 xml:space="preserve">Ser comprobantes originales o bien, copias simples para el caso de los documentos electrónicos referidos como CFD´s </w:t>
      </w:r>
      <w:r w:rsidR="00B23D23" w:rsidRPr="00E24AB9">
        <w:rPr>
          <w:rFonts w:ascii="Century Gothic" w:hAnsi="Century Gothic" w:cs="Arial"/>
          <w:color w:val="808080"/>
        </w:rPr>
        <w:t>o</w:t>
      </w:r>
      <w:r w:rsidRPr="00E24AB9">
        <w:rPr>
          <w:rFonts w:ascii="Century Gothic" w:hAnsi="Century Gothic" w:cs="Arial"/>
          <w:color w:val="808080"/>
        </w:rPr>
        <w:t xml:space="preserve"> CFDI´s</w:t>
      </w:r>
    </w:p>
    <w:p w14:paraId="17E4AF08" w14:textId="77777777" w:rsidR="00492EB5" w:rsidRPr="00E24AB9" w:rsidRDefault="00492EB5" w:rsidP="00A95ADF">
      <w:pPr>
        <w:numPr>
          <w:ilvl w:val="0"/>
          <w:numId w:val="17"/>
        </w:numPr>
        <w:spacing w:after="0" w:line="240" w:lineRule="auto"/>
        <w:ind w:left="709" w:hanging="349"/>
        <w:jc w:val="both"/>
        <w:rPr>
          <w:rFonts w:ascii="Century Gothic" w:hAnsi="Century Gothic" w:cs="Arial"/>
          <w:color w:val="808080"/>
        </w:rPr>
      </w:pPr>
      <w:r w:rsidRPr="00E24AB9">
        <w:rPr>
          <w:rFonts w:ascii="Century Gothic" w:hAnsi="Century Gothic" w:cs="Arial"/>
          <w:color w:val="808080"/>
        </w:rPr>
        <w:t>No se autorizan los tickets por consumos en tiendas de autoservicio como café, galletas, botanas, frituras, snaks, dulces, consumos en tiendas retail (tipo oxxo), etc.</w:t>
      </w:r>
    </w:p>
    <w:p w14:paraId="3B1B8B71" w14:textId="77777777" w:rsidR="00492EB5" w:rsidRPr="00E24AB9" w:rsidRDefault="00492EB5" w:rsidP="00A95ADF">
      <w:pPr>
        <w:numPr>
          <w:ilvl w:val="0"/>
          <w:numId w:val="21"/>
        </w:numPr>
        <w:spacing w:after="0" w:line="240" w:lineRule="auto"/>
        <w:ind w:left="426" w:hanging="426"/>
        <w:jc w:val="both"/>
        <w:rPr>
          <w:rFonts w:ascii="Century Gothic" w:hAnsi="Century Gothic" w:cs="Arial"/>
          <w:color w:val="808080"/>
        </w:rPr>
      </w:pPr>
      <w:r w:rsidRPr="00E24AB9">
        <w:rPr>
          <w:rFonts w:ascii="Century Gothic" w:hAnsi="Century Gothic" w:cs="Arial"/>
          <w:color w:val="808080"/>
        </w:rPr>
        <w:t>En las compras que se realicen en tiendas de autoservicio a que se refiere el inciso j) del punto anterior, se deberá adjuntar al comprobante (factura), el ticket respectivo en el que se especifiquen los artículos adquiridos y se autorizarán sólo para los casos en los que se deba dar atención a terceros o visitantes dentro las oficinas-</w:t>
      </w:r>
    </w:p>
    <w:p w14:paraId="2AC1371C" w14:textId="77777777" w:rsidR="00492EB5" w:rsidRPr="00E24AB9" w:rsidRDefault="00492EB5" w:rsidP="00A95ADF">
      <w:pPr>
        <w:numPr>
          <w:ilvl w:val="0"/>
          <w:numId w:val="21"/>
        </w:numPr>
        <w:spacing w:after="0" w:line="240" w:lineRule="auto"/>
        <w:ind w:left="426" w:hanging="426"/>
        <w:jc w:val="both"/>
        <w:rPr>
          <w:rFonts w:ascii="Century Gothic" w:hAnsi="Century Gothic" w:cs="Arial"/>
          <w:color w:val="808080"/>
        </w:rPr>
      </w:pPr>
      <w:r w:rsidRPr="00E24AB9">
        <w:rPr>
          <w:rFonts w:ascii="Century Gothic" w:hAnsi="Century Gothic" w:cs="Arial"/>
          <w:color w:val="808080"/>
        </w:rPr>
        <w:t>En las compras que se realicen con cargo a Tarjeta de Crédito  se deberá adjuntar al comprobante, el voucher  respectivo de la operación.-</w:t>
      </w:r>
    </w:p>
    <w:p w14:paraId="516BE478" w14:textId="77777777" w:rsidR="00492EB5" w:rsidRPr="00E24AB9" w:rsidRDefault="00492EB5" w:rsidP="00A95ADF">
      <w:pPr>
        <w:numPr>
          <w:ilvl w:val="0"/>
          <w:numId w:val="21"/>
        </w:numPr>
        <w:spacing w:after="0" w:line="240" w:lineRule="auto"/>
        <w:ind w:left="426" w:hanging="426"/>
        <w:jc w:val="both"/>
        <w:rPr>
          <w:rFonts w:ascii="Century Gothic" w:hAnsi="Century Gothic" w:cs="Arial"/>
          <w:color w:val="808080"/>
        </w:rPr>
      </w:pPr>
      <w:r w:rsidRPr="00E24AB9">
        <w:rPr>
          <w:rFonts w:ascii="Century Gothic" w:hAnsi="Century Gothic" w:cs="Arial"/>
          <w:color w:val="808080"/>
        </w:rPr>
        <w:t>En todos los casos, la documentación para trámite de pago no deberá exceder de sesenta días naturales transcurridos con respecto a su fecha de expedición o de la prestación del servicio.-</w:t>
      </w:r>
    </w:p>
    <w:p w14:paraId="3328AB62" w14:textId="77777777" w:rsidR="00492EB5" w:rsidRDefault="00492EB5" w:rsidP="00A95ADF">
      <w:pPr>
        <w:numPr>
          <w:ilvl w:val="0"/>
          <w:numId w:val="21"/>
        </w:numPr>
        <w:spacing w:after="0" w:line="240" w:lineRule="auto"/>
        <w:ind w:left="426" w:hanging="426"/>
        <w:jc w:val="both"/>
        <w:rPr>
          <w:rFonts w:ascii="Century Gothic" w:hAnsi="Century Gothic" w:cs="Arial"/>
          <w:color w:val="808080"/>
        </w:rPr>
      </w:pPr>
      <w:r w:rsidRPr="00E24AB9">
        <w:rPr>
          <w:rFonts w:ascii="Century Gothic" w:hAnsi="Century Gothic" w:cs="Arial"/>
          <w:color w:val="808080"/>
        </w:rPr>
        <w:t>En caso de que la comprobación no cumpla con algún(os) requisitos solicitados, no será posible la cancelac</w:t>
      </w:r>
      <w:r>
        <w:rPr>
          <w:rFonts w:ascii="Century Gothic" w:hAnsi="Century Gothic" w:cs="Arial"/>
          <w:color w:val="808080"/>
        </w:rPr>
        <w:t>ión de la cuenta por comprobar.</w:t>
      </w:r>
    </w:p>
    <w:p w14:paraId="5F58115D" w14:textId="77777777" w:rsidR="00A702CC" w:rsidRDefault="00A702CC" w:rsidP="00492EB5">
      <w:pPr>
        <w:jc w:val="both"/>
        <w:rPr>
          <w:rFonts w:ascii="Century Gothic" w:hAnsi="Century Gothic" w:cs="Arial"/>
          <w:b/>
        </w:rPr>
      </w:pPr>
    </w:p>
    <w:p w14:paraId="78E3EF4C" w14:textId="77777777" w:rsidR="00530DD1" w:rsidRDefault="00530DD1" w:rsidP="00492EB5">
      <w:pPr>
        <w:jc w:val="both"/>
        <w:rPr>
          <w:rFonts w:ascii="Century Gothic" w:hAnsi="Century Gothic" w:cs="Arial"/>
          <w:b/>
        </w:rPr>
      </w:pPr>
    </w:p>
    <w:p w14:paraId="1243BC6B" w14:textId="77777777" w:rsidR="00530DD1" w:rsidRDefault="00530DD1" w:rsidP="00492EB5">
      <w:pPr>
        <w:jc w:val="both"/>
        <w:rPr>
          <w:rFonts w:ascii="Century Gothic" w:hAnsi="Century Gothic" w:cs="Arial"/>
          <w:b/>
        </w:rPr>
      </w:pPr>
    </w:p>
    <w:p w14:paraId="594703A5" w14:textId="77777777" w:rsidR="00530DD1" w:rsidRDefault="00530DD1" w:rsidP="00492EB5">
      <w:pPr>
        <w:jc w:val="both"/>
        <w:rPr>
          <w:rFonts w:ascii="Century Gothic" w:hAnsi="Century Gothic" w:cs="Arial"/>
          <w:b/>
        </w:rPr>
      </w:pPr>
    </w:p>
    <w:p w14:paraId="4DD0492F" w14:textId="4BA0220C" w:rsidR="00492EB5" w:rsidRPr="009C37A5" w:rsidRDefault="00492EB5" w:rsidP="00492EB5">
      <w:pPr>
        <w:jc w:val="both"/>
        <w:rPr>
          <w:rFonts w:ascii="Century Gothic" w:hAnsi="Century Gothic" w:cs="Arial"/>
          <w:b/>
        </w:rPr>
      </w:pPr>
      <w:r w:rsidRPr="009C37A5">
        <w:rPr>
          <w:rFonts w:ascii="Century Gothic" w:hAnsi="Century Gothic" w:cs="Arial"/>
          <w:b/>
        </w:rPr>
        <w:lastRenderedPageBreak/>
        <w:t>Anexo 2:</w:t>
      </w:r>
    </w:p>
    <w:p w14:paraId="3A682AEA" w14:textId="77777777" w:rsidR="00492EB5" w:rsidRPr="009C37A5" w:rsidRDefault="00492EB5" w:rsidP="00492EB5">
      <w:pPr>
        <w:jc w:val="both"/>
        <w:rPr>
          <w:rFonts w:ascii="Century Gothic" w:hAnsi="Century Gothic" w:cs="Arial"/>
          <w:b/>
        </w:rPr>
      </w:pPr>
      <w:r w:rsidRPr="009C37A5">
        <w:rPr>
          <w:rFonts w:ascii="Century Gothic" w:hAnsi="Century Gothic" w:cs="Arial"/>
          <w:b/>
        </w:rPr>
        <w:t>Acta de Hechos</w:t>
      </w:r>
    </w:p>
    <w:p w14:paraId="49432055" w14:textId="77777777" w:rsidR="00492EB5" w:rsidRPr="009C37A5" w:rsidRDefault="00492EB5" w:rsidP="00492EB5">
      <w:pPr>
        <w:jc w:val="both"/>
        <w:rPr>
          <w:rFonts w:ascii="Century Gothic" w:hAnsi="Century Gothic" w:cs="Arial"/>
          <w:color w:val="808080"/>
          <w:sz w:val="16"/>
          <w:szCs w:val="16"/>
        </w:rPr>
      </w:pPr>
    </w:p>
    <w:p w14:paraId="2F3C481A" w14:textId="77777777" w:rsidR="00492EB5" w:rsidRPr="009C37A5" w:rsidRDefault="00492EB5" w:rsidP="00492EB5">
      <w:pPr>
        <w:pStyle w:val="Textoindependiente"/>
        <w:jc w:val="both"/>
        <w:rPr>
          <w:rFonts w:cs="Arial"/>
          <w:b/>
          <w:color w:val="808080"/>
          <w:sz w:val="16"/>
          <w:szCs w:val="16"/>
          <w:lang w:val="es-ES"/>
        </w:rPr>
      </w:pPr>
      <w:r w:rsidRPr="009C37A5">
        <w:rPr>
          <w:rFonts w:cs="Arial"/>
          <w:b/>
          <w:color w:val="808080"/>
          <w:sz w:val="16"/>
          <w:szCs w:val="16"/>
          <w:lang w:val="es-ES"/>
        </w:rPr>
        <w:t>En la ciudad de Silao de la Victoria Guanajuato, siendo las XXXXX horas del día XXXX del mes de  XXXXX del 201X, en las oficinas que ocupa esta Coordinadora de Fomento al Comercio Exterior del Estado de Guanajuato (COFOCE), ubicadas en plaza la paz número 100 cien de la ciudad de Silao Guanajuato, se levanta la presente acta de hechos, en atención a la normativa de valoración en la información para la estimación de cuentas incobrables mediante oficio XXXXXXXXXXXXXX con fecha XXXX del mes de  XXXXX del 201X----------------</w:t>
      </w:r>
    </w:p>
    <w:p w14:paraId="36A6E483" w14:textId="77777777" w:rsidR="00492EB5" w:rsidRPr="009C37A5" w:rsidRDefault="00492EB5" w:rsidP="00492EB5">
      <w:pPr>
        <w:pStyle w:val="Textoindependiente"/>
        <w:jc w:val="both"/>
        <w:rPr>
          <w:rFonts w:cs="Arial"/>
          <w:b/>
          <w:color w:val="808080"/>
          <w:sz w:val="16"/>
          <w:szCs w:val="16"/>
          <w:lang w:val="es-ES"/>
        </w:rPr>
      </w:pPr>
      <w:r w:rsidRPr="009C37A5">
        <w:rPr>
          <w:rFonts w:cs="Arial"/>
          <w:b/>
          <w:color w:val="808080"/>
          <w:sz w:val="16"/>
          <w:szCs w:val="16"/>
          <w:lang w:val="es-ES"/>
        </w:rPr>
        <w:t xml:space="preserve">Se encuentran presentes; </w:t>
      </w:r>
      <w:r w:rsidR="00B23D23" w:rsidRPr="009C37A5">
        <w:rPr>
          <w:rFonts w:cs="Arial"/>
          <w:b/>
          <w:color w:val="808080"/>
          <w:sz w:val="16"/>
          <w:szCs w:val="16"/>
          <w:lang w:val="es-ES"/>
        </w:rPr>
        <w:t>El (</w:t>
      </w:r>
      <w:r w:rsidRPr="009C37A5">
        <w:rPr>
          <w:rFonts w:cs="Arial"/>
          <w:b/>
          <w:color w:val="808080"/>
          <w:sz w:val="16"/>
          <w:szCs w:val="16"/>
          <w:lang w:val="es-ES"/>
        </w:rPr>
        <w:t>la) C. XXXXXXXXXXXXXXX, quien labora en esta Coordinadora como Director(a) de XXXXXXXXXXXXXXX, El C. XXXXXXXXXXX Contralor Interno de COFOCE, y los C. XXXXXXXXXXX, XXXXXXXXXXX y XXXXXXXXXX quienes fungen como colaboradores y/o testigos de asistencia para la presente acta. -------------------------------------------------------------------------------</w:t>
      </w:r>
    </w:p>
    <w:p w14:paraId="3B9951FA" w14:textId="77777777" w:rsidR="00492EB5" w:rsidRPr="009C37A5" w:rsidRDefault="00492EB5" w:rsidP="00492EB5">
      <w:pPr>
        <w:pStyle w:val="Textoindependiente"/>
        <w:jc w:val="both"/>
        <w:rPr>
          <w:rFonts w:cs="Arial"/>
          <w:b/>
          <w:color w:val="808080"/>
          <w:sz w:val="16"/>
          <w:szCs w:val="16"/>
          <w:lang w:val="es-ES"/>
        </w:rPr>
      </w:pPr>
      <w:r w:rsidRPr="009C37A5">
        <w:rPr>
          <w:rFonts w:cs="Arial"/>
          <w:b/>
          <w:color w:val="808080"/>
          <w:sz w:val="16"/>
          <w:szCs w:val="16"/>
          <w:lang w:val="es-ES"/>
        </w:rPr>
        <w:t>En estos momentos el Lic. XXXXXXXXXXX manifiesta que derivado de la estimación de cuentas incobrables, se han suscitado hechos fuera del alcance de su Dirección, el cual, dificultan su recuperación y cancelación.--------------------------</w:t>
      </w:r>
    </w:p>
    <w:p w14:paraId="03EABC3D" w14:textId="77777777" w:rsidR="00492EB5" w:rsidRPr="009C37A5" w:rsidRDefault="00492EB5" w:rsidP="00492EB5">
      <w:pPr>
        <w:pStyle w:val="Textoindependiente"/>
        <w:jc w:val="both"/>
        <w:rPr>
          <w:rFonts w:cs="Arial"/>
          <w:b/>
          <w:color w:val="808080"/>
          <w:sz w:val="16"/>
          <w:szCs w:val="16"/>
          <w:lang w:val="es-ES"/>
        </w:rPr>
      </w:pPr>
      <w:r w:rsidRPr="009C37A5">
        <w:rPr>
          <w:rFonts w:cs="Arial"/>
          <w:b/>
          <w:color w:val="808080"/>
          <w:sz w:val="16"/>
          <w:szCs w:val="16"/>
          <w:lang w:val="es-ES"/>
        </w:rPr>
        <w:t>En virtud de lo anterior, manifiesto que la empresa “XXXXXXXXX” se le facturo un servicio mediante el folio XXX por un monto de XXXX (MONTO EN PESOS 00/100) tal importe cubre los servicios correspondientes a una XXXXXXXXXXXXXXXXXXXXXXXXXXXXXXXXXXXX, en el que hago mención que por parte de esta Dirección se dio seguimiento mediante correos Electrónicos y llamadas telefónicas sin obtener resultados y la respuesta de la empresa  fue que XXXXXXXXXXXXXXXXXXXXXXXXXXXXXXXXXXXXXXX, por lo que se imposibilito cubrir el monto del servicio otorgado por COFOCE--------------------</w:t>
      </w:r>
    </w:p>
    <w:p w14:paraId="5F443086" w14:textId="77777777" w:rsidR="00492EB5" w:rsidRPr="009C37A5" w:rsidRDefault="00492EB5" w:rsidP="00492EB5">
      <w:pPr>
        <w:pStyle w:val="Textoindependiente"/>
        <w:jc w:val="both"/>
        <w:rPr>
          <w:rFonts w:cs="Arial"/>
          <w:b/>
          <w:color w:val="808080"/>
          <w:sz w:val="16"/>
          <w:szCs w:val="16"/>
          <w:lang w:val="es-ES"/>
        </w:rPr>
      </w:pPr>
      <w:r w:rsidRPr="009C37A5">
        <w:rPr>
          <w:rFonts w:cs="Arial"/>
          <w:b/>
          <w:color w:val="808080"/>
          <w:sz w:val="16"/>
          <w:szCs w:val="16"/>
          <w:lang w:val="es-ES"/>
        </w:rPr>
        <w:t>El registro contable de la cancelación de dichas operaciones se realizará considerando las reglas específicas del Registro y Valoración del Patrimonio--------</w:t>
      </w:r>
    </w:p>
    <w:p w14:paraId="56065FA4" w14:textId="77777777" w:rsidR="00492EB5" w:rsidRPr="009C37A5" w:rsidRDefault="00492EB5" w:rsidP="00492EB5">
      <w:pPr>
        <w:spacing w:line="360" w:lineRule="auto"/>
        <w:jc w:val="both"/>
        <w:rPr>
          <w:rFonts w:ascii="Century Gothic" w:hAnsi="Century Gothic" w:cs="Arial"/>
          <w:color w:val="808080"/>
          <w:sz w:val="16"/>
          <w:szCs w:val="16"/>
        </w:rPr>
      </w:pPr>
      <w:r w:rsidRPr="009C37A5">
        <w:rPr>
          <w:rFonts w:ascii="Century Gothic" w:hAnsi="Century Gothic" w:cs="Arial"/>
          <w:color w:val="808080"/>
          <w:sz w:val="16"/>
          <w:szCs w:val="16"/>
        </w:rPr>
        <w:t>Siendo las 13:00 horas del día citado y en el mismo lugar de inicio, se da por terminada no habiendo más que hacer constar, firmando para constancia los que en la presente acta intervinieron.---------------------------------------------</w:t>
      </w:r>
    </w:p>
    <w:p w14:paraId="4D90040C" w14:textId="77777777" w:rsidR="00492EB5" w:rsidRPr="009C37A5" w:rsidRDefault="00492EB5" w:rsidP="00492EB5">
      <w:pPr>
        <w:spacing w:line="360" w:lineRule="auto"/>
        <w:jc w:val="both"/>
        <w:rPr>
          <w:rFonts w:ascii="Century Gothic" w:hAnsi="Century Gothic" w:cs="Arial"/>
          <w:color w:val="808080"/>
          <w:sz w:val="16"/>
          <w:szCs w:val="16"/>
        </w:rPr>
      </w:pPr>
    </w:p>
    <w:tbl>
      <w:tblPr>
        <w:tblW w:w="10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6"/>
        <w:gridCol w:w="5581"/>
      </w:tblGrid>
      <w:tr w:rsidR="00492EB5" w:rsidRPr="009C37A5" w14:paraId="23DB4FA5" w14:textId="77777777" w:rsidTr="00530DD1">
        <w:trPr>
          <w:trHeight w:val="3058"/>
          <w:jc w:val="center"/>
        </w:trPr>
        <w:tc>
          <w:tcPr>
            <w:tcW w:w="5396" w:type="dxa"/>
          </w:tcPr>
          <w:p w14:paraId="28F828A9" w14:textId="77777777" w:rsidR="00492EB5" w:rsidRPr="009C37A5" w:rsidRDefault="00492EB5" w:rsidP="00BB6E02">
            <w:pPr>
              <w:pStyle w:val="Ttulo1"/>
              <w:jc w:val="center"/>
              <w:rPr>
                <w:rFonts w:ascii="Century Gothic" w:hAnsi="Century Gothic" w:cs="Arial"/>
                <w:b w:val="0"/>
                <w:color w:val="808080"/>
                <w:sz w:val="16"/>
                <w:szCs w:val="16"/>
              </w:rPr>
            </w:pPr>
            <w:r w:rsidRPr="009C37A5">
              <w:rPr>
                <w:rFonts w:ascii="Century Gothic" w:hAnsi="Century Gothic" w:cs="Arial"/>
                <w:b w:val="0"/>
                <w:color w:val="808080"/>
                <w:sz w:val="16"/>
                <w:szCs w:val="16"/>
              </w:rPr>
              <w:lastRenderedPageBreak/>
              <w:t>Protesto lo Necesario</w:t>
            </w:r>
          </w:p>
          <w:p w14:paraId="533CAF3D" w14:textId="77777777" w:rsidR="00492EB5" w:rsidRPr="009C37A5" w:rsidRDefault="00492EB5" w:rsidP="00A95ADF">
            <w:pPr>
              <w:pStyle w:val="Ttulo1"/>
              <w:rPr>
                <w:rFonts w:ascii="Century Gothic" w:hAnsi="Century Gothic" w:cs="Arial"/>
                <w:b w:val="0"/>
                <w:color w:val="808080"/>
                <w:sz w:val="16"/>
                <w:szCs w:val="16"/>
              </w:rPr>
            </w:pPr>
          </w:p>
          <w:p w14:paraId="5A1B9AD0" w14:textId="77777777" w:rsidR="00492EB5" w:rsidRPr="009C37A5" w:rsidRDefault="00492EB5" w:rsidP="00A95ADF">
            <w:pPr>
              <w:pStyle w:val="Ttulo1"/>
              <w:rPr>
                <w:rFonts w:ascii="Century Gothic" w:hAnsi="Century Gothic" w:cs="Arial"/>
                <w:b w:val="0"/>
                <w:color w:val="808080"/>
                <w:sz w:val="16"/>
                <w:szCs w:val="16"/>
              </w:rPr>
            </w:pPr>
            <w:r w:rsidRPr="009C37A5">
              <w:rPr>
                <w:rFonts w:ascii="Century Gothic" w:hAnsi="Century Gothic" w:cs="Arial"/>
                <w:b w:val="0"/>
                <w:color w:val="808080"/>
                <w:sz w:val="16"/>
                <w:szCs w:val="16"/>
              </w:rPr>
              <w:t>XXXXXXXXXXX</w:t>
            </w:r>
          </w:p>
          <w:p w14:paraId="700F0DBA" w14:textId="77777777" w:rsidR="00492EB5" w:rsidRPr="009C37A5" w:rsidRDefault="00492EB5" w:rsidP="00A95ADF">
            <w:pPr>
              <w:pStyle w:val="Ttulo1"/>
              <w:rPr>
                <w:rFonts w:ascii="Century Gothic" w:hAnsi="Century Gothic" w:cs="Arial"/>
                <w:b w:val="0"/>
                <w:color w:val="808080"/>
                <w:sz w:val="16"/>
                <w:szCs w:val="16"/>
              </w:rPr>
            </w:pPr>
            <w:r w:rsidRPr="009C37A5">
              <w:rPr>
                <w:rFonts w:ascii="Century Gothic" w:hAnsi="Century Gothic" w:cs="Arial"/>
                <w:b w:val="0"/>
                <w:color w:val="808080"/>
                <w:sz w:val="16"/>
                <w:szCs w:val="16"/>
              </w:rPr>
              <w:t>Responsable de la cuenta incobrable</w:t>
            </w:r>
          </w:p>
          <w:p w14:paraId="0C8E958E" w14:textId="77777777" w:rsidR="00492EB5" w:rsidRPr="009C37A5" w:rsidRDefault="00492EB5" w:rsidP="00A95ADF">
            <w:pPr>
              <w:jc w:val="both"/>
              <w:rPr>
                <w:rFonts w:ascii="Century Gothic" w:hAnsi="Century Gothic" w:cs="Arial"/>
                <w:color w:val="808080"/>
                <w:sz w:val="16"/>
                <w:szCs w:val="16"/>
              </w:rPr>
            </w:pPr>
            <w:r w:rsidRPr="009C37A5">
              <w:rPr>
                <w:rFonts w:ascii="Century Gothic" w:hAnsi="Century Gothic" w:cs="Arial"/>
                <w:color w:val="808080"/>
                <w:sz w:val="16"/>
                <w:szCs w:val="16"/>
              </w:rPr>
              <w:t>(nombre y firma)</w:t>
            </w:r>
          </w:p>
          <w:p w14:paraId="550C1B29" w14:textId="77777777" w:rsidR="00492EB5" w:rsidRPr="009C37A5" w:rsidRDefault="00492EB5" w:rsidP="00A95ADF">
            <w:pPr>
              <w:spacing w:line="360" w:lineRule="auto"/>
              <w:jc w:val="both"/>
              <w:rPr>
                <w:rFonts w:ascii="Century Gothic" w:hAnsi="Century Gothic" w:cs="Arial"/>
                <w:color w:val="808080"/>
                <w:sz w:val="16"/>
                <w:szCs w:val="16"/>
              </w:rPr>
            </w:pPr>
          </w:p>
        </w:tc>
        <w:tc>
          <w:tcPr>
            <w:tcW w:w="5581" w:type="dxa"/>
          </w:tcPr>
          <w:p w14:paraId="4C7AE509" w14:textId="77777777" w:rsidR="00492EB5" w:rsidRPr="009C37A5" w:rsidRDefault="00492EB5" w:rsidP="00A95ADF">
            <w:pPr>
              <w:pStyle w:val="Ttulo1"/>
              <w:rPr>
                <w:rFonts w:ascii="Century Gothic" w:hAnsi="Century Gothic" w:cs="Arial"/>
                <w:b w:val="0"/>
                <w:color w:val="808080"/>
                <w:sz w:val="16"/>
                <w:szCs w:val="16"/>
              </w:rPr>
            </w:pPr>
            <w:r w:rsidRPr="009C37A5">
              <w:rPr>
                <w:rFonts w:ascii="Century Gothic" w:hAnsi="Century Gothic" w:cs="Arial"/>
                <w:b w:val="0"/>
                <w:color w:val="808080"/>
                <w:sz w:val="16"/>
                <w:szCs w:val="16"/>
              </w:rPr>
              <w:t xml:space="preserve">Coordinador de Contabilidad </w:t>
            </w:r>
          </w:p>
          <w:p w14:paraId="21B16EC0" w14:textId="77777777" w:rsidR="00492EB5" w:rsidRPr="009C37A5" w:rsidRDefault="00492EB5" w:rsidP="00A95ADF">
            <w:pPr>
              <w:pStyle w:val="Ttulo1"/>
              <w:rPr>
                <w:rFonts w:ascii="Century Gothic" w:hAnsi="Century Gothic" w:cs="Arial"/>
                <w:b w:val="0"/>
                <w:color w:val="808080"/>
                <w:sz w:val="16"/>
                <w:szCs w:val="16"/>
              </w:rPr>
            </w:pPr>
          </w:p>
          <w:p w14:paraId="2EF2857B" w14:textId="77777777" w:rsidR="00492EB5" w:rsidRPr="009C37A5" w:rsidRDefault="00492EB5" w:rsidP="00A95ADF">
            <w:pPr>
              <w:spacing w:line="360" w:lineRule="auto"/>
              <w:jc w:val="both"/>
              <w:rPr>
                <w:rFonts w:ascii="Century Gothic" w:hAnsi="Century Gothic" w:cs="Arial"/>
                <w:color w:val="808080"/>
                <w:sz w:val="16"/>
                <w:szCs w:val="16"/>
              </w:rPr>
            </w:pPr>
            <w:r w:rsidRPr="009C37A5">
              <w:rPr>
                <w:rFonts w:ascii="Century Gothic" w:hAnsi="Century Gothic" w:cs="Arial"/>
                <w:color w:val="808080"/>
                <w:sz w:val="16"/>
                <w:szCs w:val="16"/>
              </w:rPr>
              <w:t>XXXXXXXXXXXXX</w:t>
            </w:r>
          </w:p>
          <w:p w14:paraId="28F78F56" w14:textId="77777777" w:rsidR="00492EB5" w:rsidRPr="009C37A5" w:rsidRDefault="00492EB5" w:rsidP="00A95ADF">
            <w:pPr>
              <w:spacing w:line="360" w:lineRule="auto"/>
              <w:jc w:val="both"/>
              <w:rPr>
                <w:rFonts w:ascii="Century Gothic" w:hAnsi="Century Gothic" w:cs="Arial"/>
                <w:color w:val="808080"/>
                <w:sz w:val="16"/>
                <w:szCs w:val="16"/>
              </w:rPr>
            </w:pPr>
            <w:r w:rsidRPr="009C37A5">
              <w:rPr>
                <w:rFonts w:ascii="Century Gothic" w:hAnsi="Century Gothic" w:cs="Arial"/>
                <w:color w:val="808080"/>
                <w:sz w:val="16"/>
                <w:szCs w:val="16"/>
              </w:rPr>
              <w:t>Colaborador en el Seguimiento</w:t>
            </w:r>
          </w:p>
          <w:p w14:paraId="3C428CF1" w14:textId="77777777" w:rsidR="00492EB5" w:rsidRPr="009C37A5" w:rsidRDefault="00492EB5" w:rsidP="00A95ADF">
            <w:pPr>
              <w:jc w:val="both"/>
              <w:rPr>
                <w:rFonts w:ascii="Century Gothic" w:hAnsi="Century Gothic" w:cs="Arial"/>
                <w:color w:val="808080"/>
                <w:sz w:val="16"/>
                <w:szCs w:val="16"/>
              </w:rPr>
            </w:pPr>
            <w:r w:rsidRPr="009C37A5">
              <w:rPr>
                <w:rFonts w:ascii="Century Gothic" w:hAnsi="Century Gothic" w:cs="Arial"/>
                <w:color w:val="808080"/>
                <w:sz w:val="16"/>
                <w:szCs w:val="16"/>
              </w:rPr>
              <w:t>(nombre y firma)</w:t>
            </w:r>
          </w:p>
          <w:p w14:paraId="6025C3F4" w14:textId="77777777" w:rsidR="00492EB5" w:rsidRPr="009C37A5" w:rsidRDefault="00492EB5" w:rsidP="00A95ADF">
            <w:pPr>
              <w:spacing w:line="360" w:lineRule="auto"/>
              <w:jc w:val="both"/>
              <w:rPr>
                <w:rFonts w:ascii="Century Gothic" w:hAnsi="Century Gothic" w:cs="Arial"/>
                <w:color w:val="808080"/>
                <w:sz w:val="16"/>
                <w:szCs w:val="16"/>
              </w:rPr>
            </w:pPr>
          </w:p>
        </w:tc>
      </w:tr>
      <w:tr w:rsidR="00492EB5" w:rsidRPr="009C37A5" w14:paraId="3EBBED9C" w14:textId="77777777" w:rsidTr="00530DD1">
        <w:trPr>
          <w:trHeight w:val="2401"/>
          <w:jc w:val="center"/>
        </w:trPr>
        <w:tc>
          <w:tcPr>
            <w:tcW w:w="5396" w:type="dxa"/>
          </w:tcPr>
          <w:p w14:paraId="2F8B24EA" w14:textId="77777777" w:rsidR="00492EB5" w:rsidRPr="009C37A5" w:rsidRDefault="00492EB5" w:rsidP="00A95ADF">
            <w:pPr>
              <w:pStyle w:val="Ttulo1"/>
              <w:rPr>
                <w:rFonts w:ascii="Century Gothic" w:hAnsi="Century Gothic" w:cs="Arial"/>
                <w:b w:val="0"/>
                <w:color w:val="808080"/>
                <w:sz w:val="16"/>
                <w:szCs w:val="16"/>
              </w:rPr>
            </w:pPr>
            <w:r w:rsidRPr="009C37A5">
              <w:rPr>
                <w:rFonts w:ascii="Century Gothic" w:hAnsi="Century Gothic" w:cs="Arial"/>
                <w:b w:val="0"/>
                <w:color w:val="808080"/>
                <w:sz w:val="16"/>
                <w:szCs w:val="16"/>
              </w:rPr>
              <w:t xml:space="preserve">Asesor Jurídico </w:t>
            </w:r>
          </w:p>
          <w:p w14:paraId="0813F2CA" w14:textId="77777777" w:rsidR="00492EB5" w:rsidRPr="009C37A5" w:rsidRDefault="00492EB5" w:rsidP="00A95ADF">
            <w:pPr>
              <w:pStyle w:val="Ttulo1"/>
              <w:rPr>
                <w:rFonts w:ascii="Century Gothic" w:hAnsi="Century Gothic" w:cs="Arial"/>
                <w:b w:val="0"/>
                <w:color w:val="808080"/>
                <w:sz w:val="16"/>
                <w:szCs w:val="16"/>
              </w:rPr>
            </w:pPr>
          </w:p>
          <w:p w14:paraId="0055D154" w14:textId="77777777" w:rsidR="00492EB5" w:rsidRPr="009C37A5" w:rsidRDefault="00492EB5" w:rsidP="00A95ADF">
            <w:pPr>
              <w:jc w:val="both"/>
              <w:rPr>
                <w:rFonts w:ascii="Century Gothic" w:hAnsi="Century Gothic" w:cs="Arial"/>
                <w:color w:val="808080"/>
                <w:sz w:val="16"/>
                <w:szCs w:val="16"/>
              </w:rPr>
            </w:pPr>
            <w:r w:rsidRPr="009C37A5">
              <w:rPr>
                <w:rFonts w:ascii="Century Gothic" w:hAnsi="Century Gothic" w:cs="Arial"/>
                <w:color w:val="808080"/>
                <w:sz w:val="16"/>
                <w:szCs w:val="16"/>
              </w:rPr>
              <w:t>XXXXXXXXXX</w:t>
            </w:r>
          </w:p>
          <w:p w14:paraId="774C41DA" w14:textId="77777777" w:rsidR="00492EB5" w:rsidRPr="009C37A5" w:rsidRDefault="00492EB5" w:rsidP="00A95ADF">
            <w:pPr>
              <w:spacing w:line="360" w:lineRule="auto"/>
              <w:jc w:val="both"/>
              <w:rPr>
                <w:rFonts w:ascii="Century Gothic" w:hAnsi="Century Gothic" w:cs="Arial"/>
                <w:color w:val="808080"/>
                <w:sz w:val="16"/>
                <w:szCs w:val="16"/>
              </w:rPr>
            </w:pPr>
            <w:r w:rsidRPr="009C37A5">
              <w:rPr>
                <w:rFonts w:ascii="Century Gothic" w:hAnsi="Century Gothic" w:cs="Arial"/>
                <w:color w:val="808080"/>
                <w:sz w:val="16"/>
                <w:szCs w:val="16"/>
              </w:rPr>
              <w:t>Colaborador en el Seguimiento</w:t>
            </w:r>
          </w:p>
          <w:p w14:paraId="43874D32" w14:textId="77777777" w:rsidR="00492EB5" w:rsidRPr="009C37A5" w:rsidRDefault="00492EB5" w:rsidP="00A95ADF">
            <w:pPr>
              <w:jc w:val="both"/>
              <w:rPr>
                <w:rFonts w:ascii="Century Gothic" w:hAnsi="Century Gothic" w:cs="Arial"/>
                <w:color w:val="808080"/>
                <w:sz w:val="16"/>
                <w:szCs w:val="16"/>
              </w:rPr>
            </w:pPr>
            <w:r w:rsidRPr="009C37A5">
              <w:rPr>
                <w:rFonts w:ascii="Century Gothic" w:hAnsi="Century Gothic" w:cs="Arial"/>
                <w:color w:val="808080"/>
                <w:sz w:val="16"/>
                <w:szCs w:val="16"/>
              </w:rPr>
              <w:t>(nombre y firma)</w:t>
            </w:r>
          </w:p>
          <w:p w14:paraId="38A948E9" w14:textId="77777777" w:rsidR="00492EB5" w:rsidRPr="009C37A5" w:rsidRDefault="00492EB5" w:rsidP="00A95ADF">
            <w:pPr>
              <w:spacing w:line="360" w:lineRule="auto"/>
              <w:jc w:val="both"/>
              <w:rPr>
                <w:rFonts w:ascii="Century Gothic" w:hAnsi="Century Gothic" w:cs="Arial"/>
                <w:color w:val="808080"/>
                <w:sz w:val="16"/>
                <w:szCs w:val="16"/>
              </w:rPr>
            </w:pPr>
          </w:p>
        </w:tc>
        <w:tc>
          <w:tcPr>
            <w:tcW w:w="5581" w:type="dxa"/>
          </w:tcPr>
          <w:p w14:paraId="515EF300" w14:textId="77777777" w:rsidR="00492EB5" w:rsidRPr="009C37A5" w:rsidRDefault="00492EB5" w:rsidP="00A95ADF">
            <w:pPr>
              <w:pStyle w:val="Ttulo1"/>
              <w:rPr>
                <w:rFonts w:ascii="Century Gothic" w:hAnsi="Century Gothic" w:cs="Arial"/>
                <w:b w:val="0"/>
                <w:color w:val="808080"/>
                <w:sz w:val="16"/>
                <w:szCs w:val="16"/>
              </w:rPr>
            </w:pPr>
            <w:r w:rsidRPr="009C37A5">
              <w:rPr>
                <w:rFonts w:ascii="Century Gothic" w:hAnsi="Century Gothic" w:cs="Arial"/>
                <w:b w:val="0"/>
                <w:color w:val="808080"/>
                <w:sz w:val="16"/>
                <w:szCs w:val="16"/>
              </w:rPr>
              <w:t>Director Financiero</w:t>
            </w:r>
          </w:p>
          <w:p w14:paraId="429D3778" w14:textId="77777777" w:rsidR="00492EB5" w:rsidRPr="009C37A5" w:rsidRDefault="00492EB5" w:rsidP="00A95ADF">
            <w:pPr>
              <w:pStyle w:val="Ttulo1"/>
              <w:rPr>
                <w:rFonts w:ascii="Century Gothic" w:hAnsi="Century Gothic" w:cs="Arial"/>
                <w:b w:val="0"/>
                <w:color w:val="808080"/>
                <w:sz w:val="16"/>
                <w:szCs w:val="16"/>
              </w:rPr>
            </w:pPr>
          </w:p>
          <w:p w14:paraId="2465C2B9" w14:textId="77777777" w:rsidR="00492EB5" w:rsidRPr="009C37A5" w:rsidRDefault="00492EB5" w:rsidP="00A95ADF">
            <w:pPr>
              <w:pStyle w:val="Ttulo1"/>
              <w:rPr>
                <w:rFonts w:ascii="Century Gothic" w:hAnsi="Century Gothic" w:cs="Arial"/>
                <w:b w:val="0"/>
                <w:color w:val="808080"/>
                <w:sz w:val="16"/>
                <w:szCs w:val="16"/>
              </w:rPr>
            </w:pPr>
            <w:r w:rsidRPr="009C37A5">
              <w:rPr>
                <w:rFonts w:ascii="Century Gothic" w:hAnsi="Century Gothic" w:cs="Arial"/>
                <w:b w:val="0"/>
                <w:color w:val="808080"/>
                <w:sz w:val="16"/>
                <w:szCs w:val="16"/>
              </w:rPr>
              <w:t>XXXXXXX</w:t>
            </w:r>
          </w:p>
          <w:p w14:paraId="6EEBFBA9" w14:textId="77777777" w:rsidR="00492EB5" w:rsidRPr="009C37A5" w:rsidRDefault="00492EB5" w:rsidP="00A95ADF">
            <w:pPr>
              <w:spacing w:line="360" w:lineRule="auto"/>
              <w:jc w:val="both"/>
              <w:rPr>
                <w:rFonts w:ascii="Century Gothic" w:hAnsi="Century Gothic" w:cs="Arial"/>
                <w:color w:val="808080"/>
                <w:sz w:val="16"/>
                <w:szCs w:val="16"/>
              </w:rPr>
            </w:pPr>
            <w:r w:rsidRPr="009C37A5">
              <w:rPr>
                <w:rFonts w:ascii="Century Gothic" w:hAnsi="Century Gothic" w:cs="Arial"/>
                <w:color w:val="808080"/>
                <w:sz w:val="16"/>
                <w:szCs w:val="16"/>
              </w:rPr>
              <w:t>Testigo</w:t>
            </w:r>
          </w:p>
          <w:p w14:paraId="6E227508" w14:textId="77777777" w:rsidR="00492EB5" w:rsidRPr="009C37A5" w:rsidRDefault="00492EB5" w:rsidP="00A95ADF">
            <w:pPr>
              <w:jc w:val="both"/>
              <w:rPr>
                <w:rFonts w:ascii="Century Gothic" w:hAnsi="Century Gothic" w:cs="Arial"/>
                <w:color w:val="808080"/>
                <w:sz w:val="16"/>
                <w:szCs w:val="16"/>
              </w:rPr>
            </w:pPr>
            <w:r w:rsidRPr="009C37A5">
              <w:rPr>
                <w:rFonts w:ascii="Century Gothic" w:hAnsi="Century Gothic" w:cs="Arial"/>
                <w:color w:val="808080"/>
                <w:sz w:val="16"/>
                <w:szCs w:val="16"/>
              </w:rPr>
              <w:t>(nombre y firma)</w:t>
            </w:r>
          </w:p>
          <w:p w14:paraId="3AF0B0D0" w14:textId="77777777" w:rsidR="00492EB5" w:rsidRPr="009C37A5" w:rsidRDefault="00492EB5" w:rsidP="00A95ADF">
            <w:pPr>
              <w:spacing w:line="360" w:lineRule="auto"/>
              <w:jc w:val="both"/>
              <w:rPr>
                <w:rFonts w:ascii="Century Gothic" w:hAnsi="Century Gothic" w:cs="Arial"/>
                <w:color w:val="808080"/>
                <w:sz w:val="16"/>
                <w:szCs w:val="16"/>
              </w:rPr>
            </w:pPr>
          </w:p>
        </w:tc>
      </w:tr>
      <w:tr w:rsidR="00492EB5" w:rsidRPr="00335320" w14:paraId="5EA1775E" w14:textId="77777777" w:rsidTr="00530DD1">
        <w:trPr>
          <w:trHeight w:val="3093"/>
          <w:jc w:val="center"/>
        </w:trPr>
        <w:tc>
          <w:tcPr>
            <w:tcW w:w="5396" w:type="dxa"/>
          </w:tcPr>
          <w:p w14:paraId="4A974F8A" w14:textId="77777777" w:rsidR="00492EB5" w:rsidRPr="009C37A5" w:rsidRDefault="00492EB5" w:rsidP="00A95ADF">
            <w:pPr>
              <w:pStyle w:val="Ttulo1"/>
              <w:rPr>
                <w:rFonts w:ascii="Century Gothic" w:hAnsi="Century Gothic" w:cs="Arial"/>
                <w:b w:val="0"/>
                <w:color w:val="808080"/>
                <w:sz w:val="16"/>
                <w:szCs w:val="16"/>
              </w:rPr>
            </w:pPr>
            <w:r w:rsidRPr="009C37A5">
              <w:rPr>
                <w:rFonts w:ascii="Century Gothic" w:hAnsi="Century Gothic" w:cs="Arial"/>
                <w:b w:val="0"/>
                <w:color w:val="808080"/>
                <w:sz w:val="16"/>
                <w:szCs w:val="16"/>
              </w:rPr>
              <w:t>Personal del Sector</w:t>
            </w:r>
          </w:p>
          <w:p w14:paraId="29D3411E" w14:textId="77777777" w:rsidR="00492EB5" w:rsidRPr="009C37A5" w:rsidRDefault="00492EB5" w:rsidP="00A95ADF">
            <w:pPr>
              <w:jc w:val="both"/>
              <w:rPr>
                <w:rFonts w:ascii="Century Gothic" w:hAnsi="Century Gothic" w:cs="Arial"/>
                <w:color w:val="808080"/>
                <w:sz w:val="16"/>
                <w:szCs w:val="16"/>
              </w:rPr>
            </w:pPr>
          </w:p>
          <w:p w14:paraId="2875E987" w14:textId="77777777" w:rsidR="00492EB5" w:rsidRPr="009C37A5" w:rsidRDefault="00492EB5" w:rsidP="00A95ADF">
            <w:pPr>
              <w:pStyle w:val="Ttulo1"/>
              <w:rPr>
                <w:rFonts w:ascii="Century Gothic" w:hAnsi="Century Gothic" w:cs="Arial"/>
                <w:b w:val="0"/>
                <w:color w:val="808080"/>
                <w:sz w:val="16"/>
                <w:szCs w:val="16"/>
              </w:rPr>
            </w:pPr>
            <w:r w:rsidRPr="009C37A5">
              <w:rPr>
                <w:rFonts w:ascii="Century Gothic" w:hAnsi="Century Gothic" w:cs="Arial"/>
                <w:b w:val="0"/>
                <w:color w:val="808080"/>
                <w:sz w:val="16"/>
                <w:szCs w:val="16"/>
              </w:rPr>
              <w:t>XXXXXXXXXXXXX</w:t>
            </w:r>
          </w:p>
          <w:p w14:paraId="4E8C9A69" w14:textId="77777777" w:rsidR="00492EB5" w:rsidRPr="009C37A5" w:rsidRDefault="00492EB5" w:rsidP="00A95ADF">
            <w:pPr>
              <w:pStyle w:val="Ttulo1"/>
              <w:rPr>
                <w:rFonts w:ascii="Century Gothic" w:hAnsi="Century Gothic" w:cs="Arial"/>
                <w:b w:val="0"/>
                <w:color w:val="808080"/>
                <w:sz w:val="16"/>
                <w:szCs w:val="16"/>
              </w:rPr>
            </w:pPr>
            <w:r w:rsidRPr="009C37A5">
              <w:rPr>
                <w:rFonts w:ascii="Century Gothic" w:hAnsi="Century Gothic" w:cs="Arial"/>
                <w:b w:val="0"/>
                <w:color w:val="808080"/>
                <w:sz w:val="16"/>
                <w:szCs w:val="16"/>
              </w:rPr>
              <w:t>Testigo</w:t>
            </w:r>
          </w:p>
          <w:p w14:paraId="030C9B18" w14:textId="77777777" w:rsidR="00492EB5" w:rsidRPr="009C37A5" w:rsidRDefault="00492EB5" w:rsidP="00A95ADF">
            <w:pPr>
              <w:jc w:val="both"/>
              <w:rPr>
                <w:rFonts w:ascii="Century Gothic" w:hAnsi="Century Gothic" w:cs="Arial"/>
                <w:color w:val="808080"/>
                <w:sz w:val="16"/>
                <w:szCs w:val="16"/>
              </w:rPr>
            </w:pPr>
            <w:r w:rsidRPr="009C37A5">
              <w:rPr>
                <w:rFonts w:ascii="Century Gothic" w:hAnsi="Century Gothic" w:cs="Arial"/>
                <w:color w:val="808080"/>
                <w:sz w:val="16"/>
                <w:szCs w:val="16"/>
              </w:rPr>
              <w:t>(nombre y firma)</w:t>
            </w:r>
          </w:p>
          <w:p w14:paraId="15A69F3E" w14:textId="77777777" w:rsidR="00492EB5" w:rsidRPr="009C37A5" w:rsidRDefault="00492EB5" w:rsidP="00A95ADF">
            <w:pPr>
              <w:jc w:val="both"/>
              <w:rPr>
                <w:rFonts w:ascii="Century Gothic" w:hAnsi="Century Gothic" w:cs="Arial"/>
                <w:color w:val="808080"/>
                <w:sz w:val="16"/>
                <w:szCs w:val="16"/>
              </w:rPr>
            </w:pPr>
          </w:p>
          <w:p w14:paraId="3437D7DB" w14:textId="77777777" w:rsidR="00492EB5" w:rsidRPr="009C37A5" w:rsidRDefault="00492EB5" w:rsidP="00A95ADF">
            <w:pPr>
              <w:jc w:val="both"/>
              <w:rPr>
                <w:rFonts w:ascii="Century Gothic" w:hAnsi="Century Gothic" w:cs="Arial"/>
                <w:color w:val="808080"/>
                <w:sz w:val="16"/>
                <w:szCs w:val="16"/>
              </w:rPr>
            </w:pPr>
          </w:p>
        </w:tc>
        <w:tc>
          <w:tcPr>
            <w:tcW w:w="5581" w:type="dxa"/>
          </w:tcPr>
          <w:p w14:paraId="5D60BE3B" w14:textId="77777777" w:rsidR="00492EB5" w:rsidRPr="009C37A5" w:rsidRDefault="00492EB5" w:rsidP="00A95ADF">
            <w:pPr>
              <w:pStyle w:val="Ttulo1"/>
              <w:rPr>
                <w:rFonts w:ascii="Century Gothic" w:hAnsi="Century Gothic" w:cs="Arial"/>
                <w:b w:val="0"/>
                <w:color w:val="808080"/>
                <w:sz w:val="16"/>
                <w:szCs w:val="16"/>
              </w:rPr>
            </w:pPr>
            <w:r w:rsidRPr="009C37A5">
              <w:rPr>
                <w:rFonts w:ascii="Century Gothic" w:hAnsi="Century Gothic" w:cs="Arial"/>
                <w:b w:val="0"/>
                <w:color w:val="808080"/>
                <w:sz w:val="16"/>
                <w:szCs w:val="16"/>
              </w:rPr>
              <w:t>Contraloría Interna</w:t>
            </w:r>
          </w:p>
          <w:p w14:paraId="636EB6D2" w14:textId="77777777" w:rsidR="00492EB5" w:rsidRPr="009C37A5" w:rsidRDefault="00492EB5" w:rsidP="00A95ADF">
            <w:pPr>
              <w:pStyle w:val="Ttulo1"/>
              <w:rPr>
                <w:rFonts w:ascii="Century Gothic" w:hAnsi="Century Gothic" w:cs="Arial"/>
                <w:b w:val="0"/>
                <w:color w:val="808080"/>
                <w:sz w:val="16"/>
                <w:szCs w:val="16"/>
              </w:rPr>
            </w:pPr>
          </w:p>
          <w:p w14:paraId="29688AE1" w14:textId="77777777" w:rsidR="00492EB5" w:rsidRPr="009C37A5" w:rsidRDefault="00492EB5" w:rsidP="00A95ADF">
            <w:pPr>
              <w:spacing w:line="360" w:lineRule="auto"/>
              <w:jc w:val="both"/>
              <w:rPr>
                <w:rFonts w:ascii="Century Gothic" w:hAnsi="Century Gothic" w:cs="Arial"/>
                <w:color w:val="808080"/>
                <w:sz w:val="16"/>
                <w:szCs w:val="16"/>
              </w:rPr>
            </w:pPr>
            <w:r w:rsidRPr="009C37A5">
              <w:rPr>
                <w:rFonts w:ascii="Century Gothic" w:hAnsi="Century Gothic" w:cs="Arial"/>
                <w:color w:val="808080"/>
                <w:sz w:val="16"/>
                <w:szCs w:val="16"/>
              </w:rPr>
              <w:t>XXXXXXXXXXXXX</w:t>
            </w:r>
          </w:p>
          <w:p w14:paraId="2AA4A57E" w14:textId="77777777" w:rsidR="00492EB5" w:rsidRPr="009C37A5" w:rsidRDefault="00492EB5" w:rsidP="00A95ADF">
            <w:pPr>
              <w:spacing w:line="360" w:lineRule="auto"/>
              <w:jc w:val="both"/>
              <w:rPr>
                <w:rFonts w:ascii="Century Gothic" w:hAnsi="Century Gothic" w:cs="Arial"/>
                <w:color w:val="808080"/>
                <w:sz w:val="16"/>
                <w:szCs w:val="16"/>
              </w:rPr>
            </w:pPr>
            <w:r w:rsidRPr="009C37A5">
              <w:rPr>
                <w:rFonts w:ascii="Century Gothic" w:hAnsi="Century Gothic" w:cs="Arial"/>
                <w:color w:val="808080"/>
                <w:sz w:val="16"/>
                <w:szCs w:val="16"/>
              </w:rPr>
              <w:t>Testigo</w:t>
            </w:r>
          </w:p>
          <w:p w14:paraId="096D9EC1" w14:textId="77777777" w:rsidR="00492EB5" w:rsidRPr="00335320" w:rsidRDefault="00492EB5" w:rsidP="00A95ADF">
            <w:pPr>
              <w:jc w:val="both"/>
              <w:rPr>
                <w:rFonts w:ascii="Century Gothic" w:hAnsi="Century Gothic" w:cs="Arial"/>
                <w:color w:val="808080"/>
                <w:sz w:val="16"/>
                <w:szCs w:val="16"/>
              </w:rPr>
            </w:pPr>
            <w:r w:rsidRPr="009C37A5">
              <w:rPr>
                <w:rFonts w:ascii="Century Gothic" w:hAnsi="Century Gothic" w:cs="Arial"/>
                <w:color w:val="808080"/>
                <w:sz w:val="16"/>
                <w:szCs w:val="16"/>
              </w:rPr>
              <w:t>(nombre y firma)</w:t>
            </w:r>
          </w:p>
          <w:p w14:paraId="4D700CA2" w14:textId="77777777" w:rsidR="00492EB5" w:rsidRPr="00335320" w:rsidRDefault="00492EB5" w:rsidP="00A95ADF">
            <w:pPr>
              <w:spacing w:line="360" w:lineRule="auto"/>
              <w:jc w:val="both"/>
              <w:rPr>
                <w:rFonts w:ascii="Century Gothic" w:hAnsi="Century Gothic" w:cs="Arial"/>
                <w:color w:val="808080"/>
                <w:sz w:val="16"/>
                <w:szCs w:val="16"/>
              </w:rPr>
            </w:pPr>
          </w:p>
        </w:tc>
      </w:tr>
    </w:tbl>
    <w:p w14:paraId="736D4D27" w14:textId="77777777" w:rsidR="00F8079E" w:rsidRDefault="00F8079E" w:rsidP="003E7E3C">
      <w:pPr>
        <w:rPr>
          <w:rFonts w:ascii="Arial" w:hAnsi="Arial" w:cs="Arial"/>
          <w:b/>
          <w:sz w:val="24"/>
          <w:szCs w:val="24"/>
        </w:rPr>
      </w:pPr>
    </w:p>
    <w:p w14:paraId="61CBFC45" w14:textId="40B0A2D2" w:rsidR="00D638D1" w:rsidRPr="00B341C7" w:rsidRDefault="00D638D1" w:rsidP="003E7E3C">
      <w:pPr>
        <w:rPr>
          <w:rFonts w:ascii="Arial" w:hAnsi="Arial" w:cs="Arial"/>
          <w:b/>
          <w:sz w:val="24"/>
          <w:szCs w:val="24"/>
        </w:rPr>
      </w:pPr>
      <w:r w:rsidRPr="00B341C7">
        <w:rPr>
          <w:rFonts w:ascii="Arial" w:hAnsi="Arial" w:cs="Arial"/>
          <w:b/>
          <w:sz w:val="24"/>
          <w:szCs w:val="24"/>
        </w:rPr>
        <w:t>1</w:t>
      </w:r>
      <w:r w:rsidR="006B38A7">
        <w:rPr>
          <w:rFonts w:ascii="Arial" w:hAnsi="Arial" w:cs="Arial"/>
          <w:b/>
          <w:sz w:val="24"/>
          <w:szCs w:val="24"/>
        </w:rPr>
        <w:t>3</w:t>
      </w:r>
      <w:r w:rsidRPr="00B341C7">
        <w:rPr>
          <w:rFonts w:ascii="Arial" w:hAnsi="Arial" w:cs="Arial"/>
          <w:b/>
          <w:sz w:val="24"/>
          <w:szCs w:val="24"/>
        </w:rPr>
        <w:t>. Información por Segmentos:</w:t>
      </w:r>
    </w:p>
    <w:p w14:paraId="6999D029" w14:textId="77777777" w:rsidR="00D638D1" w:rsidRPr="00B341C7" w:rsidRDefault="00D638D1">
      <w:pPr>
        <w:jc w:val="both"/>
        <w:rPr>
          <w:rFonts w:ascii="Arial" w:hAnsi="Arial" w:cs="Arial"/>
          <w:sz w:val="20"/>
          <w:szCs w:val="20"/>
        </w:rPr>
      </w:pPr>
      <w:r w:rsidRPr="00B341C7">
        <w:rPr>
          <w:rFonts w:ascii="Arial" w:hAnsi="Arial" w:cs="Arial"/>
          <w:sz w:val="20"/>
          <w:szCs w:val="20"/>
        </w:rPr>
        <w:t>COFOCE no proporciona información por segmentos, por lo que este apartado no aplica.</w:t>
      </w:r>
    </w:p>
    <w:p w14:paraId="6DC974EE" w14:textId="1F4D37E7" w:rsidR="00D638D1" w:rsidRPr="00B341C7" w:rsidRDefault="00D638D1">
      <w:pPr>
        <w:jc w:val="both"/>
        <w:rPr>
          <w:rFonts w:ascii="Arial" w:hAnsi="Arial" w:cs="Arial"/>
          <w:b/>
          <w:sz w:val="24"/>
          <w:szCs w:val="24"/>
        </w:rPr>
      </w:pPr>
      <w:r w:rsidRPr="00B341C7">
        <w:rPr>
          <w:rFonts w:ascii="Arial" w:hAnsi="Arial" w:cs="Arial"/>
          <w:b/>
          <w:sz w:val="24"/>
          <w:szCs w:val="24"/>
        </w:rPr>
        <w:t>1</w:t>
      </w:r>
      <w:r w:rsidR="006B38A7">
        <w:rPr>
          <w:rFonts w:ascii="Arial" w:hAnsi="Arial" w:cs="Arial"/>
          <w:b/>
          <w:sz w:val="24"/>
          <w:szCs w:val="24"/>
        </w:rPr>
        <w:t>4</w:t>
      </w:r>
      <w:r w:rsidRPr="00B341C7">
        <w:rPr>
          <w:rFonts w:ascii="Arial" w:hAnsi="Arial" w:cs="Arial"/>
          <w:b/>
          <w:sz w:val="24"/>
          <w:szCs w:val="24"/>
        </w:rPr>
        <w:t>. Eventos Posteriores al Cierre:</w:t>
      </w:r>
    </w:p>
    <w:p w14:paraId="6497B03E" w14:textId="77777777" w:rsidR="001D5DE9" w:rsidRDefault="00D638D1">
      <w:pPr>
        <w:jc w:val="both"/>
        <w:rPr>
          <w:rFonts w:ascii="Arial" w:hAnsi="Arial" w:cs="Arial"/>
          <w:sz w:val="20"/>
          <w:szCs w:val="20"/>
        </w:rPr>
      </w:pPr>
      <w:r w:rsidRPr="00B341C7">
        <w:rPr>
          <w:rFonts w:ascii="Arial" w:hAnsi="Arial" w:cs="Arial"/>
          <w:sz w:val="20"/>
          <w:szCs w:val="20"/>
        </w:rPr>
        <w:t>No Existieron eventos posteriores al Cierre</w:t>
      </w:r>
    </w:p>
    <w:p w14:paraId="2A511603" w14:textId="22ACAC6A" w:rsidR="00D638D1" w:rsidRPr="001D5DE9" w:rsidRDefault="00D638D1">
      <w:pPr>
        <w:jc w:val="both"/>
        <w:rPr>
          <w:rFonts w:ascii="Arial" w:hAnsi="Arial" w:cs="Arial"/>
          <w:sz w:val="20"/>
          <w:szCs w:val="20"/>
        </w:rPr>
      </w:pPr>
      <w:r w:rsidRPr="00B341C7">
        <w:rPr>
          <w:rFonts w:ascii="Arial" w:hAnsi="Arial" w:cs="Arial"/>
          <w:b/>
          <w:sz w:val="24"/>
          <w:szCs w:val="24"/>
        </w:rPr>
        <w:t>1</w:t>
      </w:r>
      <w:r w:rsidR="006B38A7">
        <w:rPr>
          <w:rFonts w:ascii="Arial" w:hAnsi="Arial" w:cs="Arial"/>
          <w:b/>
          <w:sz w:val="24"/>
          <w:szCs w:val="24"/>
        </w:rPr>
        <w:t>5</w:t>
      </w:r>
      <w:r w:rsidRPr="00B341C7">
        <w:rPr>
          <w:rFonts w:ascii="Arial" w:hAnsi="Arial" w:cs="Arial"/>
          <w:b/>
          <w:sz w:val="24"/>
          <w:szCs w:val="24"/>
        </w:rPr>
        <w:t>. Partes Relacionadas:</w:t>
      </w:r>
    </w:p>
    <w:p w14:paraId="03C6429E" w14:textId="77777777" w:rsidR="00D638D1" w:rsidRPr="00B341C7" w:rsidRDefault="00D638D1">
      <w:pPr>
        <w:jc w:val="both"/>
        <w:rPr>
          <w:rFonts w:ascii="Arial" w:hAnsi="Arial" w:cs="Arial"/>
          <w:sz w:val="20"/>
          <w:szCs w:val="20"/>
        </w:rPr>
      </w:pPr>
      <w:r w:rsidRPr="00B341C7">
        <w:rPr>
          <w:rFonts w:ascii="Arial" w:hAnsi="Arial" w:cs="Arial"/>
          <w:sz w:val="20"/>
          <w:szCs w:val="20"/>
        </w:rPr>
        <w:t>No existen partes relacionadas que pudieran ejercer influencia significativa sobre la toma de decisiones financieras y operativas.</w:t>
      </w:r>
    </w:p>
    <w:p w14:paraId="6EE12DE0" w14:textId="3BF9B9F1" w:rsidR="00D638D1" w:rsidRPr="00B341C7" w:rsidRDefault="00D638D1">
      <w:pPr>
        <w:jc w:val="both"/>
        <w:rPr>
          <w:rFonts w:ascii="Arial" w:hAnsi="Arial" w:cs="Arial"/>
          <w:b/>
          <w:sz w:val="24"/>
          <w:szCs w:val="24"/>
        </w:rPr>
      </w:pPr>
      <w:r w:rsidRPr="00B341C7">
        <w:rPr>
          <w:rFonts w:ascii="Arial" w:hAnsi="Arial" w:cs="Arial"/>
          <w:b/>
          <w:sz w:val="24"/>
          <w:szCs w:val="24"/>
        </w:rPr>
        <w:t>1</w:t>
      </w:r>
      <w:r w:rsidR="006B38A7">
        <w:rPr>
          <w:rFonts w:ascii="Arial" w:hAnsi="Arial" w:cs="Arial"/>
          <w:b/>
          <w:sz w:val="24"/>
          <w:szCs w:val="24"/>
        </w:rPr>
        <w:t>6</w:t>
      </w:r>
      <w:r w:rsidRPr="00B341C7">
        <w:rPr>
          <w:rFonts w:ascii="Arial" w:hAnsi="Arial" w:cs="Arial"/>
          <w:b/>
          <w:sz w:val="24"/>
          <w:szCs w:val="24"/>
        </w:rPr>
        <w:t>. Responsabilidad sobre la presentación razonable de los Estados Financieros:</w:t>
      </w:r>
    </w:p>
    <w:p w14:paraId="4FA9DBBE" w14:textId="77777777" w:rsidR="00D638D1" w:rsidRDefault="00782D78">
      <w:pPr>
        <w:jc w:val="both"/>
        <w:rPr>
          <w:rFonts w:ascii="Arial" w:hAnsi="Arial" w:cs="Arial"/>
          <w:sz w:val="20"/>
          <w:szCs w:val="20"/>
        </w:rPr>
      </w:pPr>
      <w:r w:rsidRPr="00B341C7">
        <w:rPr>
          <w:rFonts w:ascii="Arial" w:hAnsi="Arial" w:cs="Arial"/>
          <w:sz w:val="20"/>
          <w:szCs w:val="20"/>
        </w:rPr>
        <w:t>“</w:t>
      </w:r>
      <w:r w:rsidR="00D638D1" w:rsidRPr="00B341C7">
        <w:rPr>
          <w:rFonts w:ascii="Arial" w:hAnsi="Arial" w:cs="Arial"/>
          <w:sz w:val="20"/>
          <w:szCs w:val="20"/>
        </w:rPr>
        <w:t>Bajo protesta de decir verdad declaramos que los Estados Financieros y sus notas, son razonablemente correctos y son responsabilidad del emisor</w:t>
      </w:r>
      <w:r w:rsidRPr="00B341C7">
        <w:rPr>
          <w:rFonts w:ascii="Arial" w:hAnsi="Arial" w:cs="Arial"/>
          <w:sz w:val="20"/>
          <w:szCs w:val="20"/>
        </w:rPr>
        <w:t>”</w:t>
      </w:r>
      <w:r w:rsidR="00D638D1" w:rsidRPr="00B341C7">
        <w:rPr>
          <w:rFonts w:ascii="Arial" w:hAnsi="Arial" w:cs="Arial"/>
          <w:sz w:val="20"/>
          <w:szCs w:val="20"/>
        </w:rPr>
        <w:t>.</w:t>
      </w:r>
    </w:p>
    <w:p w14:paraId="425FDB1E" w14:textId="77777777" w:rsidR="00BB6E02" w:rsidRPr="00B341C7" w:rsidRDefault="00BB6E02">
      <w:pPr>
        <w:jc w:val="both"/>
        <w:rPr>
          <w:rFonts w:ascii="Arial" w:hAnsi="Arial" w:cs="Arial"/>
          <w:sz w:val="20"/>
          <w:szCs w:val="20"/>
        </w:rPr>
      </w:pPr>
    </w:p>
    <w:tbl>
      <w:tblPr>
        <w:tblW w:w="10057" w:type="dxa"/>
        <w:jc w:val="center"/>
        <w:tblCellMar>
          <w:left w:w="70" w:type="dxa"/>
          <w:right w:w="70" w:type="dxa"/>
        </w:tblCellMar>
        <w:tblLook w:val="04A0" w:firstRow="1" w:lastRow="0" w:firstColumn="1" w:lastColumn="0" w:noHBand="0" w:noVBand="1"/>
      </w:tblPr>
      <w:tblGrid>
        <w:gridCol w:w="224"/>
        <w:gridCol w:w="2533"/>
        <w:gridCol w:w="780"/>
        <w:gridCol w:w="1200"/>
        <w:gridCol w:w="583"/>
        <w:gridCol w:w="224"/>
        <w:gridCol w:w="2533"/>
        <w:gridCol w:w="780"/>
        <w:gridCol w:w="1200"/>
      </w:tblGrid>
      <w:tr w:rsidR="00615752" w:rsidRPr="00B341C7" w14:paraId="5921D3B2" w14:textId="77777777" w:rsidTr="00075A8E">
        <w:trPr>
          <w:trHeight w:val="255"/>
          <w:jc w:val="center"/>
        </w:trPr>
        <w:tc>
          <w:tcPr>
            <w:tcW w:w="5320" w:type="dxa"/>
            <w:gridSpan w:val="5"/>
            <w:tcBorders>
              <w:top w:val="nil"/>
              <w:left w:val="nil"/>
              <w:bottom w:val="nil"/>
              <w:right w:val="nil"/>
            </w:tcBorders>
            <w:shd w:val="clear" w:color="000000" w:fill="FFFFFF"/>
            <w:noWrap/>
            <w:vAlign w:val="bottom"/>
            <w:hideMark/>
          </w:tcPr>
          <w:p w14:paraId="7265F898" w14:textId="77777777" w:rsidR="003C0984" w:rsidRDefault="00615752" w:rsidP="00615752">
            <w:pPr>
              <w:spacing w:after="0" w:line="240" w:lineRule="auto"/>
              <w:rPr>
                <w:rFonts w:ascii="Arial" w:eastAsia="Times New Roman" w:hAnsi="Arial" w:cs="Arial"/>
                <w:sz w:val="20"/>
                <w:szCs w:val="20"/>
                <w:lang w:eastAsia="es-MX"/>
              </w:rPr>
            </w:pPr>
            <w:r w:rsidRPr="00B341C7">
              <w:rPr>
                <w:rFonts w:ascii="Arial" w:eastAsia="Times New Roman" w:hAnsi="Arial" w:cs="Arial"/>
                <w:sz w:val="20"/>
                <w:szCs w:val="20"/>
                <w:lang w:eastAsia="es-MX"/>
              </w:rPr>
              <w:t> </w:t>
            </w:r>
          </w:p>
          <w:p w14:paraId="4CFED23C" w14:textId="77777777" w:rsidR="003C0984" w:rsidRPr="00B341C7" w:rsidRDefault="003C0984" w:rsidP="00615752">
            <w:pPr>
              <w:spacing w:after="0" w:line="240" w:lineRule="auto"/>
              <w:rPr>
                <w:rFonts w:ascii="Arial" w:eastAsia="Times New Roman" w:hAnsi="Arial" w:cs="Arial"/>
                <w:sz w:val="20"/>
                <w:szCs w:val="20"/>
                <w:lang w:eastAsia="es-MX"/>
              </w:rPr>
            </w:pPr>
          </w:p>
        </w:tc>
        <w:tc>
          <w:tcPr>
            <w:tcW w:w="224" w:type="dxa"/>
            <w:tcBorders>
              <w:top w:val="nil"/>
              <w:left w:val="nil"/>
              <w:bottom w:val="nil"/>
              <w:right w:val="nil"/>
            </w:tcBorders>
            <w:shd w:val="clear" w:color="000000" w:fill="FFFFFF"/>
          </w:tcPr>
          <w:p w14:paraId="66D41ABE" w14:textId="77777777" w:rsidR="00615752" w:rsidRPr="00B341C7" w:rsidRDefault="00615752" w:rsidP="00615752">
            <w:pPr>
              <w:spacing w:after="0" w:line="240" w:lineRule="auto"/>
              <w:rPr>
                <w:rFonts w:ascii="Arial" w:eastAsia="Times New Roman" w:hAnsi="Arial" w:cs="Arial"/>
                <w:sz w:val="20"/>
                <w:szCs w:val="20"/>
                <w:lang w:eastAsia="es-MX"/>
              </w:rPr>
            </w:pPr>
          </w:p>
        </w:tc>
        <w:tc>
          <w:tcPr>
            <w:tcW w:w="2533" w:type="dxa"/>
            <w:tcBorders>
              <w:top w:val="nil"/>
              <w:left w:val="nil"/>
              <w:bottom w:val="nil"/>
              <w:right w:val="nil"/>
            </w:tcBorders>
            <w:shd w:val="clear" w:color="000000" w:fill="FFFFFF"/>
            <w:noWrap/>
            <w:vAlign w:val="bottom"/>
            <w:hideMark/>
          </w:tcPr>
          <w:p w14:paraId="7212C7C8" w14:textId="77777777" w:rsidR="00615752" w:rsidRPr="00B341C7" w:rsidRDefault="00615752" w:rsidP="00615752">
            <w:pPr>
              <w:spacing w:after="0" w:line="240" w:lineRule="auto"/>
              <w:rPr>
                <w:rFonts w:ascii="Arial" w:eastAsia="Times New Roman" w:hAnsi="Arial" w:cs="Arial"/>
                <w:sz w:val="20"/>
                <w:szCs w:val="20"/>
                <w:lang w:eastAsia="es-MX"/>
              </w:rPr>
            </w:pPr>
            <w:r w:rsidRPr="00B341C7">
              <w:rPr>
                <w:rFonts w:ascii="Arial" w:eastAsia="Times New Roman" w:hAnsi="Arial" w:cs="Arial"/>
                <w:sz w:val="20"/>
                <w:szCs w:val="20"/>
                <w:lang w:eastAsia="es-MX"/>
              </w:rPr>
              <w:t> </w:t>
            </w:r>
          </w:p>
        </w:tc>
        <w:tc>
          <w:tcPr>
            <w:tcW w:w="780" w:type="dxa"/>
            <w:tcBorders>
              <w:top w:val="nil"/>
              <w:left w:val="nil"/>
              <w:bottom w:val="nil"/>
              <w:right w:val="nil"/>
            </w:tcBorders>
            <w:shd w:val="clear" w:color="000000" w:fill="FFFFFF"/>
            <w:noWrap/>
            <w:vAlign w:val="bottom"/>
            <w:hideMark/>
          </w:tcPr>
          <w:p w14:paraId="55873EEA" w14:textId="77777777" w:rsidR="00615752" w:rsidRPr="00B341C7" w:rsidRDefault="00615752" w:rsidP="00615752">
            <w:pPr>
              <w:spacing w:after="0" w:line="240" w:lineRule="auto"/>
              <w:rPr>
                <w:rFonts w:ascii="Arial" w:eastAsia="Times New Roman" w:hAnsi="Arial" w:cs="Arial"/>
                <w:sz w:val="20"/>
                <w:szCs w:val="20"/>
                <w:lang w:eastAsia="es-MX"/>
              </w:rPr>
            </w:pPr>
            <w:r w:rsidRPr="00B341C7">
              <w:rPr>
                <w:rFonts w:ascii="Arial" w:eastAsia="Times New Roman" w:hAnsi="Arial" w:cs="Arial"/>
                <w:sz w:val="20"/>
                <w:szCs w:val="20"/>
                <w:lang w:eastAsia="es-MX"/>
              </w:rPr>
              <w:t> </w:t>
            </w:r>
          </w:p>
        </w:tc>
        <w:tc>
          <w:tcPr>
            <w:tcW w:w="1200" w:type="dxa"/>
            <w:tcBorders>
              <w:top w:val="nil"/>
              <w:left w:val="nil"/>
              <w:bottom w:val="nil"/>
              <w:right w:val="nil"/>
            </w:tcBorders>
            <w:shd w:val="clear" w:color="000000" w:fill="FFFFFF"/>
            <w:noWrap/>
            <w:vAlign w:val="bottom"/>
            <w:hideMark/>
          </w:tcPr>
          <w:p w14:paraId="40856934" w14:textId="77777777" w:rsidR="00615752" w:rsidRPr="00B341C7" w:rsidRDefault="00615752" w:rsidP="00615752">
            <w:pPr>
              <w:spacing w:after="0" w:line="240" w:lineRule="auto"/>
              <w:rPr>
                <w:rFonts w:ascii="Arial" w:eastAsia="Times New Roman" w:hAnsi="Arial" w:cs="Arial"/>
                <w:sz w:val="20"/>
                <w:szCs w:val="20"/>
                <w:lang w:eastAsia="es-MX"/>
              </w:rPr>
            </w:pPr>
            <w:r w:rsidRPr="00B341C7">
              <w:rPr>
                <w:rFonts w:ascii="Arial" w:eastAsia="Times New Roman" w:hAnsi="Arial" w:cs="Arial"/>
                <w:sz w:val="20"/>
                <w:szCs w:val="20"/>
                <w:lang w:eastAsia="es-MX"/>
              </w:rPr>
              <w:t> </w:t>
            </w:r>
          </w:p>
        </w:tc>
      </w:tr>
      <w:tr w:rsidR="0091669D" w:rsidRPr="00B341C7" w14:paraId="6A7645FA" w14:textId="77777777" w:rsidTr="00075A8E">
        <w:trPr>
          <w:gridAfter w:val="5"/>
          <w:wAfter w:w="5320" w:type="dxa"/>
          <w:trHeight w:val="255"/>
          <w:jc w:val="center"/>
        </w:trPr>
        <w:tc>
          <w:tcPr>
            <w:tcW w:w="224" w:type="dxa"/>
            <w:tcBorders>
              <w:top w:val="nil"/>
              <w:left w:val="nil"/>
              <w:bottom w:val="single" w:sz="4" w:space="0" w:color="auto"/>
              <w:right w:val="nil"/>
            </w:tcBorders>
            <w:shd w:val="clear" w:color="000000" w:fill="FFFFFF"/>
          </w:tcPr>
          <w:p w14:paraId="01C32B69" w14:textId="77777777" w:rsidR="0091669D" w:rsidRPr="00B341C7" w:rsidRDefault="0091669D" w:rsidP="00615752">
            <w:pPr>
              <w:spacing w:after="0" w:line="240" w:lineRule="auto"/>
              <w:rPr>
                <w:rFonts w:ascii="Arial" w:eastAsia="Times New Roman" w:hAnsi="Arial" w:cs="Arial"/>
                <w:sz w:val="20"/>
                <w:szCs w:val="20"/>
                <w:lang w:eastAsia="es-MX"/>
              </w:rPr>
            </w:pPr>
          </w:p>
        </w:tc>
        <w:tc>
          <w:tcPr>
            <w:tcW w:w="2533" w:type="dxa"/>
            <w:tcBorders>
              <w:top w:val="nil"/>
              <w:left w:val="nil"/>
              <w:bottom w:val="single" w:sz="4" w:space="0" w:color="auto"/>
              <w:right w:val="nil"/>
            </w:tcBorders>
            <w:shd w:val="clear" w:color="000000" w:fill="FFFFFF"/>
            <w:noWrap/>
            <w:vAlign w:val="bottom"/>
            <w:hideMark/>
          </w:tcPr>
          <w:p w14:paraId="37650328" w14:textId="77777777" w:rsidR="0091669D" w:rsidRPr="00B341C7" w:rsidRDefault="0091669D" w:rsidP="00615752">
            <w:pPr>
              <w:spacing w:after="0" w:line="240" w:lineRule="auto"/>
              <w:rPr>
                <w:rFonts w:ascii="Arial" w:eastAsia="Times New Roman" w:hAnsi="Arial" w:cs="Arial"/>
                <w:sz w:val="20"/>
                <w:szCs w:val="20"/>
                <w:lang w:eastAsia="es-MX"/>
              </w:rPr>
            </w:pPr>
            <w:r w:rsidRPr="00B341C7">
              <w:rPr>
                <w:rFonts w:ascii="Arial" w:eastAsia="Times New Roman" w:hAnsi="Arial" w:cs="Arial"/>
                <w:sz w:val="20"/>
                <w:szCs w:val="20"/>
                <w:lang w:eastAsia="es-MX"/>
              </w:rPr>
              <w:t> </w:t>
            </w:r>
          </w:p>
        </w:tc>
        <w:tc>
          <w:tcPr>
            <w:tcW w:w="780" w:type="dxa"/>
            <w:tcBorders>
              <w:top w:val="nil"/>
              <w:left w:val="nil"/>
              <w:bottom w:val="single" w:sz="4" w:space="0" w:color="auto"/>
              <w:right w:val="nil"/>
            </w:tcBorders>
            <w:shd w:val="clear" w:color="000000" w:fill="FFFFFF"/>
            <w:noWrap/>
            <w:vAlign w:val="bottom"/>
            <w:hideMark/>
          </w:tcPr>
          <w:p w14:paraId="3936EF39" w14:textId="77777777" w:rsidR="0091669D" w:rsidRPr="00B341C7" w:rsidRDefault="0091669D" w:rsidP="00615752">
            <w:pPr>
              <w:spacing w:after="0" w:line="240" w:lineRule="auto"/>
              <w:rPr>
                <w:rFonts w:ascii="Arial" w:eastAsia="Times New Roman" w:hAnsi="Arial" w:cs="Arial"/>
                <w:sz w:val="20"/>
                <w:szCs w:val="20"/>
                <w:lang w:eastAsia="es-MX"/>
              </w:rPr>
            </w:pPr>
            <w:r w:rsidRPr="00B341C7">
              <w:rPr>
                <w:rFonts w:ascii="Arial" w:eastAsia="Times New Roman" w:hAnsi="Arial" w:cs="Arial"/>
                <w:sz w:val="20"/>
                <w:szCs w:val="20"/>
                <w:lang w:eastAsia="es-MX"/>
              </w:rPr>
              <w:t> </w:t>
            </w:r>
          </w:p>
        </w:tc>
        <w:tc>
          <w:tcPr>
            <w:tcW w:w="1200" w:type="dxa"/>
            <w:tcBorders>
              <w:top w:val="nil"/>
              <w:left w:val="nil"/>
              <w:bottom w:val="single" w:sz="4" w:space="0" w:color="auto"/>
              <w:right w:val="nil"/>
            </w:tcBorders>
            <w:shd w:val="clear" w:color="000000" w:fill="FFFFFF"/>
            <w:noWrap/>
            <w:vAlign w:val="bottom"/>
            <w:hideMark/>
          </w:tcPr>
          <w:p w14:paraId="0B843873" w14:textId="77777777" w:rsidR="0091669D" w:rsidRPr="00B341C7" w:rsidRDefault="0091669D" w:rsidP="00615752">
            <w:pPr>
              <w:spacing w:after="0" w:line="240" w:lineRule="auto"/>
              <w:rPr>
                <w:rFonts w:ascii="Arial" w:eastAsia="Times New Roman" w:hAnsi="Arial" w:cs="Arial"/>
                <w:sz w:val="20"/>
                <w:szCs w:val="20"/>
                <w:lang w:eastAsia="es-MX"/>
              </w:rPr>
            </w:pPr>
            <w:r w:rsidRPr="00B341C7">
              <w:rPr>
                <w:rFonts w:ascii="Arial" w:eastAsia="Times New Roman" w:hAnsi="Arial" w:cs="Arial"/>
                <w:sz w:val="20"/>
                <w:szCs w:val="20"/>
                <w:lang w:eastAsia="es-MX"/>
              </w:rPr>
              <w:t> </w:t>
            </w:r>
          </w:p>
        </w:tc>
      </w:tr>
      <w:tr w:rsidR="00615752" w:rsidRPr="00B341C7" w14:paraId="4FA90AF8" w14:textId="77777777" w:rsidTr="00075A8E">
        <w:trPr>
          <w:trHeight w:val="255"/>
          <w:jc w:val="center"/>
        </w:trPr>
        <w:tc>
          <w:tcPr>
            <w:tcW w:w="5320" w:type="dxa"/>
            <w:gridSpan w:val="5"/>
            <w:tcBorders>
              <w:top w:val="nil"/>
              <w:left w:val="nil"/>
              <w:bottom w:val="nil"/>
              <w:right w:val="nil"/>
            </w:tcBorders>
            <w:shd w:val="clear" w:color="000000" w:fill="FFFFFF"/>
            <w:noWrap/>
            <w:vAlign w:val="bottom"/>
            <w:hideMark/>
          </w:tcPr>
          <w:p w14:paraId="56677C7C" w14:textId="77777777" w:rsidR="00615752" w:rsidRPr="00B341C7" w:rsidRDefault="00224F23" w:rsidP="00615752">
            <w:pPr>
              <w:spacing w:after="0" w:line="240" w:lineRule="auto"/>
              <w:jc w:val="center"/>
              <w:rPr>
                <w:rFonts w:ascii="Arial" w:eastAsia="Times New Roman" w:hAnsi="Arial" w:cs="Arial"/>
                <w:b/>
                <w:bCs/>
                <w:sz w:val="20"/>
                <w:szCs w:val="20"/>
                <w:lang w:eastAsia="es-MX"/>
              </w:rPr>
            </w:pPr>
            <w:r w:rsidRPr="00B341C7">
              <w:rPr>
                <w:rFonts w:ascii="Arial" w:eastAsia="Times New Roman" w:hAnsi="Arial" w:cs="Arial"/>
                <w:b/>
                <w:bCs/>
                <w:sz w:val="20"/>
                <w:szCs w:val="20"/>
                <w:lang w:eastAsia="es-MX"/>
              </w:rPr>
              <w:t>LIC. LUIS ERNESTO ROJAS AVILA</w:t>
            </w:r>
          </w:p>
          <w:p w14:paraId="5B1F73C4" w14:textId="77777777" w:rsidR="00711749" w:rsidRPr="00B341C7" w:rsidRDefault="00D86829" w:rsidP="00D86829">
            <w:pPr>
              <w:spacing w:after="0" w:line="240" w:lineRule="auto"/>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DIRECTOR GENERAL COFOCE</w:t>
            </w:r>
          </w:p>
        </w:tc>
        <w:tc>
          <w:tcPr>
            <w:tcW w:w="224" w:type="dxa"/>
            <w:tcBorders>
              <w:top w:val="single" w:sz="4" w:space="0" w:color="auto"/>
              <w:left w:val="nil"/>
              <w:bottom w:val="nil"/>
              <w:right w:val="nil"/>
            </w:tcBorders>
            <w:shd w:val="clear" w:color="000000" w:fill="FFFFFF"/>
          </w:tcPr>
          <w:p w14:paraId="60A9146C" w14:textId="77777777" w:rsidR="00615752" w:rsidRPr="00B341C7" w:rsidRDefault="00615752" w:rsidP="00615752">
            <w:pPr>
              <w:spacing w:after="0" w:line="240" w:lineRule="auto"/>
              <w:jc w:val="center"/>
              <w:rPr>
                <w:rFonts w:ascii="Arial" w:eastAsia="Times New Roman" w:hAnsi="Arial" w:cs="Arial"/>
                <w:b/>
                <w:bCs/>
                <w:sz w:val="20"/>
                <w:szCs w:val="20"/>
                <w:lang w:eastAsia="es-MX"/>
              </w:rPr>
            </w:pPr>
          </w:p>
        </w:tc>
        <w:tc>
          <w:tcPr>
            <w:tcW w:w="4513" w:type="dxa"/>
            <w:gridSpan w:val="3"/>
            <w:tcBorders>
              <w:top w:val="single" w:sz="4" w:space="0" w:color="auto"/>
              <w:left w:val="nil"/>
              <w:bottom w:val="nil"/>
              <w:right w:val="nil"/>
            </w:tcBorders>
            <w:shd w:val="clear" w:color="000000" w:fill="FFFFFF"/>
            <w:noWrap/>
            <w:vAlign w:val="bottom"/>
            <w:hideMark/>
          </w:tcPr>
          <w:p w14:paraId="5181547E" w14:textId="77777777" w:rsidR="00615752" w:rsidRPr="00B341C7" w:rsidRDefault="00615752" w:rsidP="00615752">
            <w:pPr>
              <w:spacing w:after="0" w:line="240" w:lineRule="auto"/>
              <w:jc w:val="center"/>
              <w:rPr>
                <w:rFonts w:ascii="Arial" w:eastAsia="Times New Roman" w:hAnsi="Arial" w:cs="Arial"/>
                <w:b/>
                <w:bCs/>
                <w:sz w:val="20"/>
                <w:szCs w:val="20"/>
                <w:lang w:eastAsia="es-MX"/>
              </w:rPr>
            </w:pPr>
            <w:r w:rsidRPr="00B341C7">
              <w:rPr>
                <w:rFonts w:ascii="Arial" w:eastAsia="Times New Roman" w:hAnsi="Arial" w:cs="Arial"/>
                <w:b/>
                <w:bCs/>
                <w:sz w:val="20"/>
                <w:szCs w:val="20"/>
                <w:lang w:eastAsia="es-MX"/>
              </w:rPr>
              <w:t xml:space="preserve">C.P </w:t>
            </w:r>
            <w:r w:rsidR="00192B2F" w:rsidRPr="00B341C7">
              <w:rPr>
                <w:rFonts w:ascii="Arial" w:eastAsia="Times New Roman" w:hAnsi="Arial" w:cs="Arial"/>
                <w:b/>
                <w:bCs/>
                <w:sz w:val="20"/>
                <w:szCs w:val="20"/>
                <w:lang w:eastAsia="es-MX"/>
              </w:rPr>
              <w:t>JUAN JOSE RANGEL GUTIERREZ</w:t>
            </w:r>
          </w:p>
          <w:p w14:paraId="699336C5" w14:textId="77777777" w:rsidR="00711749" w:rsidRPr="00B341C7" w:rsidRDefault="00711749" w:rsidP="00A3280D">
            <w:pPr>
              <w:spacing w:after="0" w:line="240" w:lineRule="auto"/>
              <w:jc w:val="center"/>
              <w:rPr>
                <w:rFonts w:ascii="Arial" w:eastAsia="Times New Roman" w:hAnsi="Arial" w:cs="Arial"/>
                <w:b/>
                <w:bCs/>
                <w:sz w:val="20"/>
                <w:szCs w:val="20"/>
                <w:lang w:eastAsia="es-MX"/>
              </w:rPr>
            </w:pPr>
            <w:r w:rsidRPr="00B341C7">
              <w:rPr>
                <w:rFonts w:ascii="Arial" w:eastAsia="Times New Roman" w:hAnsi="Arial" w:cs="Arial"/>
                <w:b/>
                <w:bCs/>
                <w:sz w:val="20"/>
                <w:szCs w:val="20"/>
                <w:lang w:eastAsia="es-MX"/>
              </w:rPr>
              <w:t xml:space="preserve">DIRECTOR </w:t>
            </w:r>
            <w:r w:rsidR="00A3280D">
              <w:rPr>
                <w:rFonts w:ascii="Arial" w:eastAsia="Times New Roman" w:hAnsi="Arial" w:cs="Arial"/>
                <w:b/>
                <w:bCs/>
                <w:sz w:val="20"/>
                <w:szCs w:val="20"/>
                <w:lang w:eastAsia="es-MX"/>
              </w:rPr>
              <w:t>FINANCIERO Y DE ADMINISTRACION</w:t>
            </w:r>
          </w:p>
        </w:tc>
      </w:tr>
    </w:tbl>
    <w:p w14:paraId="2316990C" w14:textId="02133B13" w:rsidR="00615752" w:rsidRPr="00B341C7" w:rsidRDefault="00B9395E" w:rsidP="00F8079E">
      <w:pPr>
        <w:jc w:val="both"/>
        <w:rPr>
          <w:rFonts w:ascii="Arial" w:hAnsi="Arial" w:cs="Arial"/>
          <w:sz w:val="20"/>
          <w:szCs w:val="20"/>
        </w:rPr>
      </w:pPr>
      <w:r>
        <w:rPr>
          <w:rFonts w:ascii="Arial" w:hAnsi="Arial" w:cs="Arial"/>
          <w:sz w:val="20"/>
          <w:szCs w:val="20"/>
        </w:rPr>
        <w:softHyphen/>
      </w:r>
      <w:r>
        <w:rPr>
          <w:rFonts w:ascii="Arial" w:hAnsi="Arial" w:cs="Arial"/>
          <w:sz w:val="20"/>
          <w:szCs w:val="20"/>
        </w:rPr>
        <w:softHyphen/>
      </w:r>
    </w:p>
    <w:sectPr w:rsidR="00615752" w:rsidRPr="00B341C7" w:rsidSect="00016C78">
      <w:headerReference w:type="default" r:id="rId23"/>
      <w:footerReference w:type="default" r:id="rId24"/>
      <w:pgSz w:w="15840" w:h="12240" w:orient="landscape"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EDF64" w14:textId="77777777" w:rsidR="00CE4452" w:rsidRDefault="00CE4452">
      <w:pPr>
        <w:spacing w:after="0" w:line="240" w:lineRule="auto"/>
      </w:pPr>
      <w:r>
        <w:separator/>
      </w:r>
    </w:p>
  </w:endnote>
  <w:endnote w:type="continuationSeparator" w:id="0">
    <w:p w14:paraId="5D58526B" w14:textId="77777777" w:rsidR="00CE4452" w:rsidRDefault="00CE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EEAB" w14:textId="77777777" w:rsidR="00566255" w:rsidRDefault="002406D3">
    <w:pPr>
      <w:pStyle w:val="Piedepgina"/>
      <w:jc w:val="center"/>
    </w:pPr>
    <w:r>
      <w:rPr>
        <w:noProof/>
      </w:rPr>
      <mc:AlternateContent>
        <mc:Choice Requires="wps">
          <w:drawing>
            <wp:inline distT="0" distB="0" distL="0" distR="0" wp14:anchorId="616F26CA" wp14:editId="002FF71E">
              <wp:extent cx="512445" cy="441325"/>
              <wp:effectExtent l="0" t="3810" r="1905" b="2540"/>
              <wp:docPr id="16712041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189DDD1D" w14:textId="77777777" w:rsidR="00566255" w:rsidRDefault="00566255">
                          <w:pPr>
                            <w:pStyle w:val="Piedepgina"/>
                            <w:pBdr>
                              <w:top w:val="single" w:sz="12" w:space="1" w:color="9BBB59"/>
                              <w:bottom w:val="single" w:sz="48" w:space="1" w:color="9BBB59"/>
                            </w:pBdr>
                            <w:jc w:val="center"/>
                            <w:rPr>
                              <w:sz w:val="28"/>
                              <w:szCs w:val="28"/>
                            </w:rPr>
                          </w:pPr>
                          <w:r>
                            <w:fldChar w:fldCharType="begin"/>
                          </w:r>
                          <w:r>
                            <w:instrText xml:space="preserve"> PAGE    \* MERGEFORMAT </w:instrText>
                          </w:r>
                          <w:r>
                            <w:fldChar w:fldCharType="separate"/>
                          </w:r>
                          <w:r w:rsidR="00033769" w:rsidRPr="00033769">
                            <w:rPr>
                              <w:noProof/>
                              <w:sz w:val="28"/>
                              <w:szCs w:val="28"/>
                            </w:rPr>
                            <w:t>92</w:t>
                          </w:r>
                          <w:r>
                            <w:fldChar w:fldCharType="end"/>
                          </w:r>
                        </w:p>
                      </w:txbxContent>
                    </wps:txbx>
                    <wps:bodyPr rot="0" vert="horz" wrap="square" lIns="91440" tIns="45720" rIns="91440" bIns="45720" anchor="t" anchorCtr="0" upright="1">
                      <a:noAutofit/>
                    </wps:bodyPr>
                  </wps:wsp>
                </a:graphicData>
              </a:graphic>
            </wp:inline>
          </w:drawing>
        </mc:Choice>
        <mc:Fallback>
          <w:pict>
            <v:shapetype w14:anchorId="616F26C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" filled="f" fillcolor="#4f81bd" stroked="f" strokecolor="#737373">
              <v:textbox>
                <w:txbxContent>
                  <w:p w14:paraId="189DDD1D" w14:textId="77777777" w:rsidR="00566255" w:rsidRDefault="00566255">
                    <w:pPr>
                      <w:pStyle w:val="Piedepgina"/>
                      <w:pBdr>
                        <w:top w:val="single" w:sz="12" w:space="1" w:color="9BBB59"/>
                        <w:bottom w:val="single" w:sz="48" w:space="1" w:color="9BBB59"/>
                      </w:pBdr>
                      <w:jc w:val="center"/>
                      <w:rPr>
                        <w:sz w:val="28"/>
                        <w:szCs w:val="28"/>
                      </w:rPr>
                    </w:pPr>
                    <w:r>
                      <w:fldChar w:fldCharType="begin"/>
                    </w:r>
                    <w:r>
                      <w:instrText xml:space="preserve"> PAGE    \* MERGEFORMAT </w:instrText>
                    </w:r>
                    <w:r>
                      <w:fldChar w:fldCharType="separate"/>
                    </w:r>
                    <w:r w:rsidR="00033769" w:rsidRPr="00033769">
                      <w:rPr>
                        <w:noProof/>
                        <w:sz w:val="28"/>
                        <w:szCs w:val="28"/>
                      </w:rPr>
                      <w:t>92</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5B203" w14:textId="77777777" w:rsidR="00CE4452" w:rsidRDefault="00CE4452">
      <w:pPr>
        <w:spacing w:after="0" w:line="240" w:lineRule="auto"/>
      </w:pPr>
      <w:r>
        <w:separator/>
      </w:r>
    </w:p>
  </w:footnote>
  <w:footnote w:type="continuationSeparator" w:id="0">
    <w:p w14:paraId="37C4C23A" w14:textId="77777777" w:rsidR="00CE4452" w:rsidRDefault="00CE4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E14A" w14:textId="77777777" w:rsidR="00566255" w:rsidRDefault="00566255">
    <w:pPr>
      <w:pStyle w:val="Encabezado"/>
      <w:pBdr>
        <w:bottom w:val="thickThinSmallGap" w:sz="24" w:space="1" w:color="622423"/>
      </w:pBdr>
      <w:jc w:val="center"/>
      <w:rPr>
        <w:rFonts w:ascii="Cambria" w:eastAsia="Times New Roman" w:hAnsi="Cambria"/>
        <w:sz w:val="32"/>
        <w:szCs w:val="32"/>
      </w:rPr>
    </w:pPr>
    <w:r>
      <w:rPr>
        <w:rFonts w:ascii="Cambria" w:eastAsia="Times New Roman" w:hAnsi="Cambria"/>
        <w:sz w:val="20"/>
        <w:szCs w:val="20"/>
      </w:rPr>
      <w:t>COORDINADORA DE FOMENTO AL COMERCIO EXT</w:t>
    </w:r>
    <w:r w:rsidR="00FC6598" w:rsidRPr="00AE3A7C">
      <w:rPr>
        <w:rFonts w:ascii="Cambria" w:eastAsia="Times New Roman" w:hAnsi="Cambria"/>
        <w:sz w:val="20"/>
        <w:szCs w:val="20"/>
      </w:rPr>
      <w:t>E</w:t>
    </w:r>
    <w:r>
      <w:rPr>
        <w:rFonts w:ascii="Cambria" w:eastAsia="Times New Roman" w:hAnsi="Cambria"/>
        <w:sz w:val="20"/>
        <w:szCs w:val="20"/>
      </w:rPr>
      <w:t>RIOR DEL ESTADO DE GUANAJUATO.</w:t>
    </w:r>
  </w:p>
  <w:p w14:paraId="545682DD" w14:textId="77777777" w:rsidR="00566255" w:rsidRDefault="005662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42.75pt;visibility:visible;mso-wrap-style:square" o:bullet="t">
        <v:imagedata r:id="rId1" o:title=""/>
      </v:shape>
    </w:pict>
  </w:numPicBullet>
  <w:abstractNum w:abstractNumId="0" w15:restartNumberingAfterBreak="0">
    <w:nsid w:val="06051AE2"/>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905689"/>
    <w:multiLevelType w:val="hybridMultilevel"/>
    <w:tmpl w:val="330A8DF2"/>
    <w:lvl w:ilvl="0" w:tplc="F7E013EE">
      <w:start w:val="1"/>
      <w:numFmt w:val="lowerLetter"/>
      <w:lvlText w:val="%1)"/>
      <w:lvlJc w:val="left"/>
      <w:pPr>
        <w:ind w:left="825" w:hanging="465"/>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D16C70"/>
    <w:multiLevelType w:val="hybridMultilevel"/>
    <w:tmpl w:val="986603D4"/>
    <w:lvl w:ilvl="0" w:tplc="28EA04EC">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833722"/>
    <w:multiLevelType w:val="hybridMultilevel"/>
    <w:tmpl w:val="9398C7C2"/>
    <w:lvl w:ilvl="0" w:tplc="8CA40B4E">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BE1913"/>
    <w:multiLevelType w:val="hybridMultilevel"/>
    <w:tmpl w:val="6574A5D0"/>
    <w:lvl w:ilvl="0" w:tplc="4D5C463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8F4866"/>
    <w:multiLevelType w:val="hybridMultilevel"/>
    <w:tmpl w:val="88B4E7D0"/>
    <w:lvl w:ilvl="0" w:tplc="3DAEA858">
      <w:start w:val="1"/>
      <w:numFmt w:val="upperRoman"/>
      <w:lvlText w:val="%1."/>
      <w:lvlJc w:val="right"/>
      <w:pPr>
        <w:ind w:left="1068" w:hanging="360"/>
      </w:pPr>
      <w:rPr>
        <w:rFonts w:hint="default"/>
        <w:b/>
        <w:i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1AD93A09"/>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F85E3E"/>
    <w:multiLevelType w:val="hybridMultilevel"/>
    <w:tmpl w:val="83E69BA4"/>
    <w:lvl w:ilvl="0" w:tplc="1AFEEE10">
      <w:start w:val="1"/>
      <w:numFmt w:val="lowerLetter"/>
      <w:lvlText w:val="%1)"/>
      <w:lvlJc w:val="left"/>
      <w:pPr>
        <w:ind w:left="1380" w:hanging="360"/>
      </w:pPr>
      <w:rPr>
        <w:rFonts w:hint="default"/>
      </w:rPr>
    </w:lvl>
    <w:lvl w:ilvl="1" w:tplc="080A0019" w:tentative="1">
      <w:start w:val="1"/>
      <w:numFmt w:val="lowerLetter"/>
      <w:lvlText w:val="%2."/>
      <w:lvlJc w:val="left"/>
      <w:pPr>
        <w:ind w:left="2100" w:hanging="360"/>
      </w:pPr>
    </w:lvl>
    <w:lvl w:ilvl="2" w:tplc="080A001B" w:tentative="1">
      <w:start w:val="1"/>
      <w:numFmt w:val="lowerRoman"/>
      <w:lvlText w:val="%3."/>
      <w:lvlJc w:val="right"/>
      <w:pPr>
        <w:ind w:left="2820" w:hanging="180"/>
      </w:pPr>
    </w:lvl>
    <w:lvl w:ilvl="3" w:tplc="080A000F" w:tentative="1">
      <w:start w:val="1"/>
      <w:numFmt w:val="decimal"/>
      <w:lvlText w:val="%4."/>
      <w:lvlJc w:val="left"/>
      <w:pPr>
        <w:ind w:left="3540" w:hanging="360"/>
      </w:pPr>
    </w:lvl>
    <w:lvl w:ilvl="4" w:tplc="080A0019" w:tentative="1">
      <w:start w:val="1"/>
      <w:numFmt w:val="lowerLetter"/>
      <w:lvlText w:val="%5."/>
      <w:lvlJc w:val="left"/>
      <w:pPr>
        <w:ind w:left="4260" w:hanging="360"/>
      </w:pPr>
    </w:lvl>
    <w:lvl w:ilvl="5" w:tplc="080A001B" w:tentative="1">
      <w:start w:val="1"/>
      <w:numFmt w:val="lowerRoman"/>
      <w:lvlText w:val="%6."/>
      <w:lvlJc w:val="right"/>
      <w:pPr>
        <w:ind w:left="4980" w:hanging="180"/>
      </w:pPr>
    </w:lvl>
    <w:lvl w:ilvl="6" w:tplc="080A000F" w:tentative="1">
      <w:start w:val="1"/>
      <w:numFmt w:val="decimal"/>
      <w:lvlText w:val="%7."/>
      <w:lvlJc w:val="left"/>
      <w:pPr>
        <w:ind w:left="5700" w:hanging="360"/>
      </w:pPr>
    </w:lvl>
    <w:lvl w:ilvl="7" w:tplc="080A0019" w:tentative="1">
      <w:start w:val="1"/>
      <w:numFmt w:val="lowerLetter"/>
      <w:lvlText w:val="%8."/>
      <w:lvlJc w:val="left"/>
      <w:pPr>
        <w:ind w:left="6420" w:hanging="360"/>
      </w:pPr>
    </w:lvl>
    <w:lvl w:ilvl="8" w:tplc="080A001B" w:tentative="1">
      <w:start w:val="1"/>
      <w:numFmt w:val="lowerRoman"/>
      <w:lvlText w:val="%9."/>
      <w:lvlJc w:val="right"/>
      <w:pPr>
        <w:ind w:left="7140" w:hanging="180"/>
      </w:pPr>
    </w:lvl>
  </w:abstractNum>
  <w:abstractNum w:abstractNumId="8" w15:restartNumberingAfterBreak="0">
    <w:nsid w:val="1BA5356A"/>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090491"/>
    <w:multiLevelType w:val="hybridMultilevel"/>
    <w:tmpl w:val="C0EA6D94"/>
    <w:lvl w:ilvl="0" w:tplc="5516876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737369"/>
    <w:multiLevelType w:val="hybridMultilevel"/>
    <w:tmpl w:val="B3E6F8E6"/>
    <w:lvl w:ilvl="0" w:tplc="080A000F">
      <w:start w:val="1"/>
      <w:numFmt w:val="decimal"/>
      <w:lvlText w:val="%1."/>
      <w:lvlJc w:val="left"/>
      <w:pPr>
        <w:ind w:left="1004" w:hanging="360"/>
      </w:pPr>
      <w:rPr>
        <w:rFonts w:hint="default"/>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594C92"/>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40344BA"/>
    <w:multiLevelType w:val="hybridMultilevel"/>
    <w:tmpl w:val="F5F43A04"/>
    <w:lvl w:ilvl="0" w:tplc="20A494AC">
      <w:start w:val="1"/>
      <w:numFmt w:val="lowerLetter"/>
      <w:lvlText w:val="%1)"/>
      <w:lvlJc w:val="left"/>
      <w:pPr>
        <w:ind w:left="720" w:hanging="360"/>
      </w:pPr>
      <w:rPr>
        <w:b w:val="0"/>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C3C4230"/>
    <w:multiLevelType w:val="hybridMultilevel"/>
    <w:tmpl w:val="CCEE8660"/>
    <w:lvl w:ilvl="0" w:tplc="697C28F2">
      <w:start w:val="1"/>
      <w:numFmt w:val="decimal"/>
      <w:lvlText w:val="%1."/>
      <w:lvlJc w:val="left"/>
      <w:pPr>
        <w:ind w:left="1004" w:hanging="360"/>
      </w:pPr>
      <w:rPr>
        <w:rFonts w:hint="default"/>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E873715"/>
    <w:multiLevelType w:val="hybridMultilevel"/>
    <w:tmpl w:val="B412A64A"/>
    <w:lvl w:ilvl="0" w:tplc="CB724B7C">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233B2D"/>
    <w:multiLevelType w:val="multilevel"/>
    <w:tmpl w:val="542A3462"/>
    <w:lvl w:ilvl="0">
      <w:start w:val="1"/>
      <w:numFmt w:val="decimal"/>
      <w:lvlText w:val="%1."/>
      <w:lvlJc w:val="left"/>
      <w:pPr>
        <w:ind w:left="1080" w:hanging="360"/>
      </w:pPr>
      <w:rPr>
        <w:rFonts w:hint="default"/>
        <w:b/>
        <w:sz w:val="20"/>
        <w:szCs w:val="20"/>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5760" w:hanging="2160"/>
      </w:pPr>
      <w:rPr>
        <w:rFonts w:hint="default"/>
      </w:rPr>
    </w:lvl>
  </w:abstractNum>
  <w:abstractNum w:abstractNumId="16" w15:restartNumberingAfterBreak="0">
    <w:nsid w:val="3132185C"/>
    <w:multiLevelType w:val="hybridMultilevel"/>
    <w:tmpl w:val="13B0A522"/>
    <w:lvl w:ilvl="0" w:tplc="3DAEA858">
      <w:start w:val="1"/>
      <w:numFmt w:val="upperRoman"/>
      <w:lvlText w:val="%1."/>
      <w:lvlJc w:val="right"/>
      <w:pPr>
        <w:ind w:left="1068" w:hanging="360"/>
      </w:pPr>
      <w:rPr>
        <w:rFonts w:hint="default"/>
        <w:b/>
        <w:i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15:restartNumberingAfterBreak="0">
    <w:nsid w:val="329B26D1"/>
    <w:multiLevelType w:val="hybridMultilevel"/>
    <w:tmpl w:val="B6F20146"/>
    <w:lvl w:ilvl="0" w:tplc="0C0A0017">
      <w:start w:val="1"/>
      <w:numFmt w:val="lowerLetter"/>
      <w:lvlText w:val="%1)"/>
      <w:lvlJc w:val="left"/>
      <w:pPr>
        <w:ind w:left="1778"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3A503C9"/>
    <w:multiLevelType w:val="hybridMultilevel"/>
    <w:tmpl w:val="E918CE24"/>
    <w:lvl w:ilvl="0" w:tplc="080A0011">
      <w:start w:val="1"/>
      <w:numFmt w:val="decimal"/>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46126EC"/>
    <w:multiLevelType w:val="hybridMultilevel"/>
    <w:tmpl w:val="986603D4"/>
    <w:lvl w:ilvl="0" w:tplc="28EA04EC">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227D4F"/>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6C73DD0"/>
    <w:multiLevelType w:val="hybridMultilevel"/>
    <w:tmpl w:val="B3E6F8E6"/>
    <w:lvl w:ilvl="0" w:tplc="080A000F">
      <w:start w:val="1"/>
      <w:numFmt w:val="decimal"/>
      <w:lvlText w:val="%1."/>
      <w:lvlJc w:val="left"/>
      <w:pPr>
        <w:ind w:left="1004" w:hanging="360"/>
      </w:pPr>
      <w:rPr>
        <w:rFonts w:hint="default"/>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8624BF6"/>
    <w:multiLevelType w:val="hybridMultilevel"/>
    <w:tmpl w:val="C42C83E8"/>
    <w:lvl w:ilvl="0" w:tplc="3DAEA858">
      <w:start w:val="1"/>
      <w:numFmt w:val="upperRoman"/>
      <w:lvlText w:val="%1."/>
      <w:lvlJc w:val="right"/>
      <w:pPr>
        <w:ind w:left="1068" w:hanging="360"/>
      </w:pPr>
      <w:rPr>
        <w:rFonts w:hint="default"/>
        <w:b/>
        <w:i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3" w15:restartNumberingAfterBreak="0">
    <w:nsid w:val="388753EB"/>
    <w:multiLevelType w:val="hybridMultilevel"/>
    <w:tmpl w:val="4DB0C9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8EF73B5"/>
    <w:multiLevelType w:val="hybridMultilevel"/>
    <w:tmpl w:val="9AFE910A"/>
    <w:lvl w:ilvl="0" w:tplc="3D461F86">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A3E1444"/>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3004C6"/>
    <w:multiLevelType w:val="hybridMultilevel"/>
    <w:tmpl w:val="A22E41F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7" w15:restartNumberingAfterBreak="0">
    <w:nsid w:val="3F100FD8"/>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F864605"/>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5D36274"/>
    <w:multiLevelType w:val="hybridMultilevel"/>
    <w:tmpl w:val="4DB0C9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A556215"/>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AD24AF"/>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DF7581"/>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041222A"/>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15F680A"/>
    <w:multiLevelType w:val="hybridMultilevel"/>
    <w:tmpl w:val="1D0E1548"/>
    <w:lvl w:ilvl="0" w:tplc="8FF07000">
      <w:start w:val="1"/>
      <w:numFmt w:val="upp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1D053B6"/>
    <w:multiLevelType w:val="hybridMultilevel"/>
    <w:tmpl w:val="4CB05886"/>
    <w:lvl w:ilvl="0" w:tplc="6AD26CF0">
      <w:start w:val="1"/>
      <w:numFmt w:val="lowerLetter"/>
      <w:lvlText w:val="%1)"/>
      <w:lvlJc w:val="left"/>
      <w:pPr>
        <w:ind w:left="1080" w:hanging="360"/>
      </w:pPr>
      <w:rPr>
        <w:rFonts w:hint="default"/>
        <w:b w:val="0"/>
        <w:sz w:val="18"/>
        <w:szCs w:val="18"/>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528F11B3"/>
    <w:multiLevelType w:val="hybridMultilevel"/>
    <w:tmpl w:val="4DB0C9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54E64B2"/>
    <w:multiLevelType w:val="hybridMultilevel"/>
    <w:tmpl w:val="4DB0C9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5D52528"/>
    <w:multiLevelType w:val="hybridMultilevel"/>
    <w:tmpl w:val="63262FE2"/>
    <w:lvl w:ilvl="0" w:tplc="94F64B64">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B202672"/>
    <w:multiLevelType w:val="hybridMultilevel"/>
    <w:tmpl w:val="4DB0C9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1320D1C"/>
    <w:multiLevelType w:val="hybridMultilevel"/>
    <w:tmpl w:val="F5F43A04"/>
    <w:lvl w:ilvl="0" w:tplc="20A494AC">
      <w:start w:val="1"/>
      <w:numFmt w:val="lowerLetter"/>
      <w:lvlText w:val="%1)"/>
      <w:lvlJc w:val="left"/>
      <w:pPr>
        <w:ind w:left="1080" w:hanging="360"/>
      </w:pPr>
      <w:rPr>
        <w:b w:val="0"/>
        <w:sz w:val="18"/>
        <w:szCs w:val="18"/>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15:restartNumberingAfterBreak="0">
    <w:nsid w:val="62260C25"/>
    <w:multiLevelType w:val="hybridMultilevel"/>
    <w:tmpl w:val="913ADDE0"/>
    <w:lvl w:ilvl="0" w:tplc="794605C8">
      <w:start w:val="1"/>
      <w:numFmt w:val="upperRoman"/>
      <w:lvlText w:val="%1."/>
      <w:lvlJc w:val="right"/>
      <w:pPr>
        <w:ind w:left="720" w:hanging="360"/>
      </w:pPr>
      <w:rPr>
        <w:sz w:val="18"/>
        <w:szCs w:val="18"/>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55E109B"/>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5C16700"/>
    <w:multiLevelType w:val="hybridMultilevel"/>
    <w:tmpl w:val="5B16DFE4"/>
    <w:lvl w:ilvl="0" w:tplc="0C0A0017">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4" w15:restartNumberingAfterBreak="0">
    <w:nsid w:val="65E97B5E"/>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7282C59"/>
    <w:multiLevelType w:val="hybridMultilevel"/>
    <w:tmpl w:val="1EE0E30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682F2037"/>
    <w:multiLevelType w:val="hybridMultilevel"/>
    <w:tmpl w:val="33243CC4"/>
    <w:lvl w:ilvl="0" w:tplc="A0B4CC1E">
      <w:start w:val="1"/>
      <w:numFmt w:val="upperRoman"/>
      <w:lvlText w:val="%1."/>
      <w:lvlJc w:val="righ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15:restartNumberingAfterBreak="0">
    <w:nsid w:val="699C5D37"/>
    <w:multiLevelType w:val="hybridMultilevel"/>
    <w:tmpl w:val="9466931A"/>
    <w:lvl w:ilvl="0" w:tplc="7D22FE42">
      <w:start w:val="1"/>
      <w:numFmt w:val="decimal"/>
      <w:lvlText w:val="%1."/>
      <w:lvlJc w:val="left"/>
      <w:pPr>
        <w:ind w:left="1004" w:hanging="360"/>
      </w:pPr>
      <w:rPr>
        <w:rFonts w:hint="default"/>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11B5AD5"/>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6267276"/>
    <w:multiLevelType w:val="hybridMultilevel"/>
    <w:tmpl w:val="BE02F866"/>
    <w:lvl w:ilvl="0" w:tplc="080A000F">
      <w:start w:val="1"/>
      <w:numFmt w:val="decimal"/>
      <w:lvlText w:val="%1."/>
      <w:lvlJc w:val="left"/>
      <w:pPr>
        <w:ind w:left="1066" w:hanging="360"/>
      </w:pPr>
      <w:rPr>
        <w:rFonts w:hint="default"/>
      </w:rPr>
    </w:lvl>
    <w:lvl w:ilvl="1" w:tplc="080A0003" w:tentative="1">
      <w:start w:val="1"/>
      <w:numFmt w:val="bullet"/>
      <w:lvlText w:val="o"/>
      <w:lvlJc w:val="left"/>
      <w:pPr>
        <w:ind w:left="1786" w:hanging="360"/>
      </w:pPr>
      <w:rPr>
        <w:rFonts w:ascii="Courier New" w:hAnsi="Courier New" w:cs="Courier New" w:hint="default"/>
      </w:rPr>
    </w:lvl>
    <w:lvl w:ilvl="2" w:tplc="080A0005" w:tentative="1">
      <w:start w:val="1"/>
      <w:numFmt w:val="bullet"/>
      <w:lvlText w:val=""/>
      <w:lvlJc w:val="left"/>
      <w:pPr>
        <w:ind w:left="2506" w:hanging="360"/>
      </w:pPr>
      <w:rPr>
        <w:rFonts w:ascii="Wingdings" w:hAnsi="Wingdings" w:hint="default"/>
      </w:rPr>
    </w:lvl>
    <w:lvl w:ilvl="3" w:tplc="080A0001" w:tentative="1">
      <w:start w:val="1"/>
      <w:numFmt w:val="bullet"/>
      <w:lvlText w:val=""/>
      <w:lvlJc w:val="left"/>
      <w:pPr>
        <w:ind w:left="3226" w:hanging="360"/>
      </w:pPr>
      <w:rPr>
        <w:rFonts w:ascii="Symbol" w:hAnsi="Symbol" w:hint="default"/>
      </w:rPr>
    </w:lvl>
    <w:lvl w:ilvl="4" w:tplc="080A0003" w:tentative="1">
      <w:start w:val="1"/>
      <w:numFmt w:val="bullet"/>
      <w:lvlText w:val="o"/>
      <w:lvlJc w:val="left"/>
      <w:pPr>
        <w:ind w:left="3946" w:hanging="360"/>
      </w:pPr>
      <w:rPr>
        <w:rFonts w:ascii="Courier New" w:hAnsi="Courier New" w:cs="Courier New" w:hint="default"/>
      </w:rPr>
    </w:lvl>
    <w:lvl w:ilvl="5" w:tplc="080A0005" w:tentative="1">
      <w:start w:val="1"/>
      <w:numFmt w:val="bullet"/>
      <w:lvlText w:val=""/>
      <w:lvlJc w:val="left"/>
      <w:pPr>
        <w:ind w:left="4666" w:hanging="360"/>
      </w:pPr>
      <w:rPr>
        <w:rFonts w:ascii="Wingdings" w:hAnsi="Wingdings" w:hint="default"/>
      </w:rPr>
    </w:lvl>
    <w:lvl w:ilvl="6" w:tplc="080A0001" w:tentative="1">
      <w:start w:val="1"/>
      <w:numFmt w:val="bullet"/>
      <w:lvlText w:val=""/>
      <w:lvlJc w:val="left"/>
      <w:pPr>
        <w:ind w:left="5386" w:hanging="360"/>
      </w:pPr>
      <w:rPr>
        <w:rFonts w:ascii="Symbol" w:hAnsi="Symbol" w:hint="default"/>
      </w:rPr>
    </w:lvl>
    <w:lvl w:ilvl="7" w:tplc="080A0003" w:tentative="1">
      <w:start w:val="1"/>
      <w:numFmt w:val="bullet"/>
      <w:lvlText w:val="o"/>
      <w:lvlJc w:val="left"/>
      <w:pPr>
        <w:ind w:left="6106" w:hanging="360"/>
      </w:pPr>
      <w:rPr>
        <w:rFonts w:ascii="Courier New" w:hAnsi="Courier New" w:cs="Courier New" w:hint="default"/>
      </w:rPr>
    </w:lvl>
    <w:lvl w:ilvl="8" w:tplc="080A0005" w:tentative="1">
      <w:start w:val="1"/>
      <w:numFmt w:val="bullet"/>
      <w:lvlText w:val=""/>
      <w:lvlJc w:val="left"/>
      <w:pPr>
        <w:ind w:left="6826" w:hanging="360"/>
      </w:pPr>
      <w:rPr>
        <w:rFonts w:ascii="Wingdings" w:hAnsi="Wingdings" w:hint="default"/>
      </w:rPr>
    </w:lvl>
  </w:abstractNum>
  <w:abstractNum w:abstractNumId="50" w15:restartNumberingAfterBreak="0">
    <w:nsid w:val="775D0363"/>
    <w:multiLevelType w:val="hybridMultilevel"/>
    <w:tmpl w:val="13B0A522"/>
    <w:lvl w:ilvl="0" w:tplc="3DAEA858">
      <w:start w:val="1"/>
      <w:numFmt w:val="upperRoman"/>
      <w:lvlText w:val="%1."/>
      <w:lvlJc w:val="right"/>
      <w:pPr>
        <w:ind w:left="1068" w:hanging="360"/>
      </w:pPr>
      <w:rPr>
        <w:rFonts w:hint="default"/>
        <w:b/>
        <w:i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1" w15:restartNumberingAfterBreak="0">
    <w:nsid w:val="77AE24B0"/>
    <w:multiLevelType w:val="hybridMultilevel"/>
    <w:tmpl w:val="2BC814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8925C79"/>
    <w:multiLevelType w:val="hybridMultilevel"/>
    <w:tmpl w:val="45CCF170"/>
    <w:lvl w:ilvl="0" w:tplc="3D8460A0">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BDE58C6"/>
    <w:multiLevelType w:val="hybridMultilevel"/>
    <w:tmpl w:val="DAE2B73E"/>
    <w:lvl w:ilvl="0" w:tplc="5A141578">
      <w:start w:val="1"/>
      <w:numFmt w:val="lowerLetter"/>
      <w:lvlText w:val="%1)"/>
      <w:lvlJc w:val="left"/>
      <w:pPr>
        <w:ind w:left="825" w:hanging="46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07266719">
    <w:abstractNumId w:val="10"/>
  </w:num>
  <w:num w:numId="2" w16cid:durableId="1590774341">
    <w:abstractNumId w:val="13"/>
  </w:num>
  <w:num w:numId="3" w16cid:durableId="2004384319">
    <w:abstractNumId w:val="47"/>
  </w:num>
  <w:num w:numId="4" w16cid:durableId="492573794">
    <w:abstractNumId w:val="45"/>
  </w:num>
  <w:num w:numId="5" w16cid:durableId="472718589">
    <w:abstractNumId w:val="41"/>
  </w:num>
  <w:num w:numId="6" w16cid:durableId="1484664889">
    <w:abstractNumId w:val="12"/>
  </w:num>
  <w:num w:numId="7" w16cid:durableId="682171868">
    <w:abstractNumId w:val="17"/>
  </w:num>
  <w:num w:numId="8" w16cid:durableId="1192108277">
    <w:abstractNumId w:val="43"/>
  </w:num>
  <w:num w:numId="9" w16cid:durableId="547187789">
    <w:abstractNumId w:val="24"/>
  </w:num>
  <w:num w:numId="10" w16cid:durableId="413665988">
    <w:abstractNumId w:val="1"/>
  </w:num>
  <w:num w:numId="11" w16cid:durableId="559285837">
    <w:abstractNumId w:val="38"/>
  </w:num>
  <w:num w:numId="12" w16cid:durableId="1857890115">
    <w:abstractNumId w:val="4"/>
  </w:num>
  <w:num w:numId="13" w16cid:durableId="1678147365">
    <w:abstractNumId w:val="3"/>
  </w:num>
  <w:num w:numId="14" w16cid:durableId="2117555740">
    <w:abstractNumId w:val="14"/>
  </w:num>
  <w:num w:numId="15" w16cid:durableId="1234852664">
    <w:abstractNumId w:val="2"/>
  </w:num>
  <w:num w:numId="16" w16cid:durableId="1321958969">
    <w:abstractNumId w:val="25"/>
  </w:num>
  <w:num w:numId="17" w16cid:durableId="529297053">
    <w:abstractNumId w:val="19"/>
  </w:num>
  <w:num w:numId="18" w16cid:durableId="1138186918">
    <w:abstractNumId w:val="51"/>
  </w:num>
  <w:num w:numId="19" w16cid:durableId="1682782140">
    <w:abstractNumId w:val="21"/>
  </w:num>
  <w:num w:numId="20" w16cid:durableId="1477529455">
    <w:abstractNumId w:val="53"/>
  </w:num>
  <w:num w:numId="21" w16cid:durableId="564797608">
    <w:abstractNumId w:val="18"/>
  </w:num>
  <w:num w:numId="22" w16cid:durableId="2042781270">
    <w:abstractNumId w:val="49"/>
  </w:num>
  <w:num w:numId="23" w16cid:durableId="1682389497">
    <w:abstractNumId w:val="44"/>
  </w:num>
  <w:num w:numId="24" w16cid:durableId="898781204">
    <w:abstractNumId w:val="20"/>
  </w:num>
  <w:num w:numId="25" w16cid:durableId="1637755231">
    <w:abstractNumId w:val="8"/>
  </w:num>
  <w:num w:numId="26" w16cid:durableId="1711684140">
    <w:abstractNumId w:val="48"/>
  </w:num>
  <w:num w:numId="27" w16cid:durableId="1619331918">
    <w:abstractNumId w:val="28"/>
  </w:num>
  <w:num w:numId="28" w16cid:durableId="1558709051">
    <w:abstractNumId w:val="31"/>
  </w:num>
  <w:num w:numId="29" w16cid:durableId="419181872">
    <w:abstractNumId w:val="30"/>
  </w:num>
  <w:num w:numId="30" w16cid:durableId="539754943">
    <w:abstractNumId w:val="52"/>
  </w:num>
  <w:num w:numId="31" w16cid:durableId="683245089">
    <w:abstractNumId w:val="42"/>
  </w:num>
  <w:num w:numId="32" w16cid:durableId="329798436">
    <w:abstractNumId w:val="6"/>
  </w:num>
  <w:num w:numId="33" w16cid:durableId="1349062940">
    <w:abstractNumId w:val="0"/>
  </w:num>
  <w:num w:numId="34" w16cid:durableId="568227227">
    <w:abstractNumId w:val="27"/>
  </w:num>
  <w:num w:numId="35" w16cid:durableId="421613218">
    <w:abstractNumId w:val="11"/>
  </w:num>
  <w:num w:numId="36" w16cid:durableId="1770661002">
    <w:abstractNumId w:val="33"/>
  </w:num>
  <w:num w:numId="37" w16cid:durableId="1930038777">
    <w:abstractNumId w:val="32"/>
  </w:num>
  <w:num w:numId="38" w16cid:durableId="1289121218">
    <w:abstractNumId w:val="9"/>
  </w:num>
  <w:num w:numId="39" w16cid:durableId="177434106">
    <w:abstractNumId w:val="15"/>
  </w:num>
  <w:num w:numId="40" w16cid:durableId="1785230091">
    <w:abstractNumId w:val="46"/>
  </w:num>
  <w:num w:numId="41" w16cid:durableId="962030649">
    <w:abstractNumId w:val="22"/>
  </w:num>
  <w:num w:numId="42" w16cid:durableId="180050566">
    <w:abstractNumId w:val="50"/>
  </w:num>
  <w:num w:numId="43" w16cid:durableId="2099402540">
    <w:abstractNumId w:val="5"/>
  </w:num>
  <w:num w:numId="44" w16cid:durableId="1783187154">
    <w:abstractNumId w:val="23"/>
  </w:num>
  <w:num w:numId="45" w16cid:durableId="594556962">
    <w:abstractNumId w:val="39"/>
  </w:num>
  <w:num w:numId="46" w16cid:durableId="884490850">
    <w:abstractNumId w:val="37"/>
  </w:num>
  <w:num w:numId="47" w16cid:durableId="2006863079">
    <w:abstractNumId w:val="26"/>
  </w:num>
  <w:num w:numId="48" w16cid:durableId="1906337917">
    <w:abstractNumId w:val="36"/>
  </w:num>
  <w:num w:numId="49" w16cid:durableId="1507020304">
    <w:abstractNumId w:val="29"/>
  </w:num>
  <w:num w:numId="50" w16cid:durableId="153766700">
    <w:abstractNumId w:val="34"/>
  </w:num>
  <w:num w:numId="51" w16cid:durableId="272589574">
    <w:abstractNumId w:val="16"/>
  </w:num>
  <w:num w:numId="52" w16cid:durableId="800343452">
    <w:abstractNumId w:val="35"/>
  </w:num>
  <w:num w:numId="53" w16cid:durableId="950940239">
    <w:abstractNumId w:val="40"/>
  </w:num>
  <w:num w:numId="54" w16cid:durableId="791091967">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ECD"/>
    <w:rsid w:val="0000381B"/>
    <w:rsid w:val="00004D58"/>
    <w:rsid w:val="00005EC8"/>
    <w:rsid w:val="00016C78"/>
    <w:rsid w:val="00020A4F"/>
    <w:rsid w:val="00024F60"/>
    <w:rsid w:val="000255A0"/>
    <w:rsid w:val="00033769"/>
    <w:rsid w:val="000507F2"/>
    <w:rsid w:val="000539D8"/>
    <w:rsid w:val="00062BE1"/>
    <w:rsid w:val="000660D0"/>
    <w:rsid w:val="000700CB"/>
    <w:rsid w:val="0007309E"/>
    <w:rsid w:val="00075A8E"/>
    <w:rsid w:val="00086811"/>
    <w:rsid w:val="000909A4"/>
    <w:rsid w:val="00094239"/>
    <w:rsid w:val="0009624E"/>
    <w:rsid w:val="0009671C"/>
    <w:rsid w:val="000A63DD"/>
    <w:rsid w:val="000C4D57"/>
    <w:rsid w:val="000C5E13"/>
    <w:rsid w:val="000D2559"/>
    <w:rsid w:val="000D47EA"/>
    <w:rsid w:val="000D67F7"/>
    <w:rsid w:val="000E16D7"/>
    <w:rsid w:val="000E318B"/>
    <w:rsid w:val="000E59E4"/>
    <w:rsid w:val="00105D95"/>
    <w:rsid w:val="00105DF4"/>
    <w:rsid w:val="00124EB7"/>
    <w:rsid w:val="00131BBF"/>
    <w:rsid w:val="001343CB"/>
    <w:rsid w:val="00146BC5"/>
    <w:rsid w:val="001528B8"/>
    <w:rsid w:val="00156A05"/>
    <w:rsid w:val="00161036"/>
    <w:rsid w:val="00163BA2"/>
    <w:rsid w:val="00164452"/>
    <w:rsid w:val="00171BDF"/>
    <w:rsid w:val="00192B2F"/>
    <w:rsid w:val="00195E1E"/>
    <w:rsid w:val="001B25CD"/>
    <w:rsid w:val="001C4240"/>
    <w:rsid w:val="001C5E9B"/>
    <w:rsid w:val="001D5DE9"/>
    <w:rsid w:val="001E3163"/>
    <w:rsid w:val="001F01A9"/>
    <w:rsid w:val="002032B3"/>
    <w:rsid w:val="00206272"/>
    <w:rsid w:val="002151B0"/>
    <w:rsid w:val="002160D5"/>
    <w:rsid w:val="00224F23"/>
    <w:rsid w:val="00233F89"/>
    <w:rsid w:val="0023617A"/>
    <w:rsid w:val="002406D3"/>
    <w:rsid w:val="00240DC2"/>
    <w:rsid w:val="00263987"/>
    <w:rsid w:val="00275D76"/>
    <w:rsid w:val="00290802"/>
    <w:rsid w:val="0029460D"/>
    <w:rsid w:val="002A2241"/>
    <w:rsid w:val="002B17BD"/>
    <w:rsid w:val="002C2AAF"/>
    <w:rsid w:val="002C2C2B"/>
    <w:rsid w:val="002D5115"/>
    <w:rsid w:val="002D5603"/>
    <w:rsid w:val="002D7320"/>
    <w:rsid w:val="002E545F"/>
    <w:rsid w:val="002F0A1D"/>
    <w:rsid w:val="00301172"/>
    <w:rsid w:val="003023C8"/>
    <w:rsid w:val="00313802"/>
    <w:rsid w:val="00317592"/>
    <w:rsid w:val="003400DD"/>
    <w:rsid w:val="00341909"/>
    <w:rsid w:val="00343D0A"/>
    <w:rsid w:val="00351944"/>
    <w:rsid w:val="00352828"/>
    <w:rsid w:val="0035496D"/>
    <w:rsid w:val="00364970"/>
    <w:rsid w:val="003816A1"/>
    <w:rsid w:val="00385013"/>
    <w:rsid w:val="00385AB9"/>
    <w:rsid w:val="00391E2D"/>
    <w:rsid w:val="003A1A58"/>
    <w:rsid w:val="003A626C"/>
    <w:rsid w:val="003C005D"/>
    <w:rsid w:val="003C082C"/>
    <w:rsid w:val="003C0984"/>
    <w:rsid w:val="003C39FB"/>
    <w:rsid w:val="003C437A"/>
    <w:rsid w:val="003E06CC"/>
    <w:rsid w:val="003E7E3C"/>
    <w:rsid w:val="003F51BB"/>
    <w:rsid w:val="003F5A2A"/>
    <w:rsid w:val="003F5FFE"/>
    <w:rsid w:val="00402E49"/>
    <w:rsid w:val="004049ED"/>
    <w:rsid w:val="004118A2"/>
    <w:rsid w:val="00414FD2"/>
    <w:rsid w:val="00415E3A"/>
    <w:rsid w:val="0042243D"/>
    <w:rsid w:val="00433009"/>
    <w:rsid w:val="00436CBE"/>
    <w:rsid w:val="00437067"/>
    <w:rsid w:val="004461F0"/>
    <w:rsid w:val="004515F5"/>
    <w:rsid w:val="00454B6E"/>
    <w:rsid w:val="004614EA"/>
    <w:rsid w:val="0047015E"/>
    <w:rsid w:val="00480F08"/>
    <w:rsid w:val="00485639"/>
    <w:rsid w:val="0048694C"/>
    <w:rsid w:val="00492EB5"/>
    <w:rsid w:val="00493A5C"/>
    <w:rsid w:val="004A4E22"/>
    <w:rsid w:val="004A570F"/>
    <w:rsid w:val="004A677B"/>
    <w:rsid w:val="004A7413"/>
    <w:rsid w:val="004C29D7"/>
    <w:rsid w:val="004E4F80"/>
    <w:rsid w:val="004F4729"/>
    <w:rsid w:val="004F5B5A"/>
    <w:rsid w:val="00505E9F"/>
    <w:rsid w:val="00517F72"/>
    <w:rsid w:val="005204ED"/>
    <w:rsid w:val="005306F3"/>
    <w:rsid w:val="00530DD1"/>
    <w:rsid w:val="00531D0B"/>
    <w:rsid w:val="005326FC"/>
    <w:rsid w:val="00534F89"/>
    <w:rsid w:val="0054290B"/>
    <w:rsid w:val="00545C53"/>
    <w:rsid w:val="005545FE"/>
    <w:rsid w:val="005620F1"/>
    <w:rsid w:val="00566255"/>
    <w:rsid w:val="00566E28"/>
    <w:rsid w:val="00580CD6"/>
    <w:rsid w:val="00581515"/>
    <w:rsid w:val="005872EB"/>
    <w:rsid w:val="0059316C"/>
    <w:rsid w:val="00593265"/>
    <w:rsid w:val="005A0395"/>
    <w:rsid w:val="005A222F"/>
    <w:rsid w:val="005A35F2"/>
    <w:rsid w:val="005C1EB1"/>
    <w:rsid w:val="005C33B5"/>
    <w:rsid w:val="005E1352"/>
    <w:rsid w:val="00602757"/>
    <w:rsid w:val="006065CD"/>
    <w:rsid w:val="006112F0"/>
    <w:rsid w:val="00615752"/>
    <w:rsid w:val="00631AB8"/>
    <w:rsid w:val="00642820"/>
    <w:rsid w:val="00647E59"/>
    <w:rsid w:val="00660F6E"/>
    <w:rsid w:val="00663FBA"/>
    <w:rsid w:val="006678BF"/>
    <w:rsid w:val="00673C93"/>
    <w:rsid w:val="00673E55"/>
    <w:rsid w:val="006779B9"/>
    <w:rsid w:val="00682473"/>
    <w:rsid w:val="00684AA8"/>
    <w:rsid w:val="006909E1"/>
    <w:rsid w:val="006934FA"/>
    <w:rsid w:val="006A436A"/>
    <w:rsid w:val="006B38A7"/>
    <w:rsid w:val="006C18AA"/>
    <w:rsid w:val="006C44E6"/>
    <w:rsid w:val="006D0B09"/>
    <w:rsid w:val="006E267B"/>
    <w:rsid w:val="006F1DEA"/>
    <w:rsid w:val="006F391B"/>
    <w:rsid w:val="006F4E73"/>
    <w:rsid w:val="006F50FD"/>
    <w:rsid w:val="006F6EE6"/>
    <w:rsid w:val="00702963"/>
    <w:rsid w:val="00710185"/>
    <w:rsid w:val="00711749"/>
    <w:rsid w:val="00712CF4"/>
    <w:rsid w:val="007240EF"/>
    <w:rsid w:val="00732378"/>
    <w:rsid w:val="00732ECB"/>
    <w:rsid w:val="00735590"/>
    <w:rsid w:val="007415B5"/>
    <w:rsid w:val="007548C1"/>
    <w:rsid w:val="0077080B"/>
    <w:rsid w:val="00780DB4"/>
    <w:rsid w:val="00781258"/>
    <w:rsid w:val="00782D78"/>
    <w:rsid w:val="00783D51"/>
    <w:rsid w:val="00784387"/>
    <w:rsid w:val="007A7058"/>
    <w:rsid w:val="007A77BD"/>
    <w:rsid w:val="007B18C5"/>
    <w:rsid w:val="007B230A"/>
    <w:rsid w:val="007B2598"/>
    <w:rsid w:val="007B61C4"/>
    <w:rsid w:val="007B66A0"/>
    <w:rsid w:val="007C2BA9"/>
    <w:rsid w:val="007C62CD"/>
    <w:rsid w:val="007E1E86"/>
    <w:rsid w:val="007E6E13"/>
    <w:rsid w:val="007F02FC"/>
    <w:rsid w:val="007F0D55"/>
    <w:rsid w:val="007F2957"/>
    <w:rsid w:val="00802C7F"/>
    <w:rsid w:val="00802CCD"/>
    <w:rsid w:val="00806933"/>
    <w:rsid w:val="00806AFF"/>
    <w:rsid w:val="008137EB"/>
    <w:rsid w:val="00822B2C"/>
    <w:rsid w:val="008340B7"/>
    <w:rsid w:val="0085061E"/>
    <w:rsid w:val="0086222F"/>
    <w:rsid w:val="00874346"/>
    <w:rsid w:val="008746C7"/>
    <w:rsid w:val="0087706B"/>
    <w:rsid w:val="00883006"/>
    <w:rsid w:val="00884CCC"/>
    <w:rsid w:val="0089667A"/>
    <w:rsid w:val="008A20AB"/>
    <w:rsid w:val="008B1D2E"/>
    <w:rsid w:val="008B5BF9"/>
    <w:rsid w:val="008C216D"/>
    <w:rsid w:val="008D03AF"/>
    <w:rsid w:val="008E2357"/>
    <w:rsid w:val="008E7AF9"/>
    <w:rsid w:val="008F1356"/>
    <w:rsid w:val="0090070E"/>
    <w:rsid w:val="0091160A"/>
    <w:rsid w:val="0091565C"/>
    <w:rsid w:val="00915C1C"/>
    <w:rsid w:val="0091669D"/>
    <w:rsid w:val="009203CB"/>
    <w:rsid w:val="009213AD"/>
    <w:rsid w:val="00924696"/>
    <w:rsid w:val="00925112"/>
    <w:rsid w:val="009345F6"/>
    <w:rsid w:val="00936987"/>
    <w:rsid w:val="00937009"/>
    <w:rsid w:val="00943A0E"/>
    <w:rsid w:val="0094576D"/>
    <w:rsid w:val="009478AB"/>
    <w:rsid w:val="009564BB"/>
    <w:rsid w:val="00962DD0"/>
    <w:rsid w:val="00985631"/>
    <w:rsid w:val="00987870"/>
    <w:rsid w:val="009A48E1"/>
    <w:rsid w:val="009A71A4"/>
    <w:rsid w:val="009B378C"/>
    <w:rsid w:val="009B5A34"/>
    <w:rsid w:val="009B6DF4"/>
    <w:rsid w:val="009C1CFE"/>
    <w:rsid w:val="009C3A78"/>
    <w:rsid w:val="009C46AA"/>
    <w:rsid w:val="009C55F0"/>
    <w:rsid w:val="009C6B7D"/>
    <w:rsid w:val="009D08FC"/>
    <w:rsid w:val="009D146B"/>
    <w:rsid w:val="009E41E0"/>
    <w:rsid w:val="009E6E2E"/>
    <w:rsid w:val="009F6AD6"/>
    <w:rsid w:val="00A020E4"/>
    <w:rsid w:val="00A10D6F"/>
    <w:rsid w:val="00A110CF"/>
    <w:rsid w:val="00A16893"/>
    <w:rsid w:val="00A31ED2"/>
    <w:rsid w:val="00A323A9"/>
    <w:rsid w:val="00A3280D"/>
    <w:rsid w:val="00A37A7F"/>
    <w:rsid w:val="00A41D89"/>
    <w:rsid w:val="00A46407"/>
    <w:rsid w:val="00A4674A"/>
    <w:rsid w:val="00A545B9"/>
    <w:rsid w:val="00A578A1"/>
    <w:rsid w:val="00A626E8"/>
    <w:rsid w:val="00A64602"/>
    <w:rsid w:val="00A65140"/>
    <w:rsid w:val="00A67EB7"/>
    <w:rsid w:val="00A702CC"/>
    <w:rsid w:val="00A810EA"/>
    <w:rsid w:val="00A833F4"/>
    <w:rsid w:val="00A95ADF"/>
    <w:rsid w:val="00A96036"/>
    <w:rsid w:val="00A96EEF"/>
    <w:rsid w:val="00AA5ACC"/>
    <w:rsid w:val="00AB295F"/>
    <w:rsid w:val="00AB2C30"/>
    <w:rsid w:val="00AB62F2"/>
    <w:rsid w:val="00AC16F9"/>
    <w:rsid w:val="00AC2ECF"/>
    <w:rsid w:val="00AD7849"/>
    <w:rsid w:val="00AE205D"/>
    <w:rsid w:val="00AE3A7C"/>
    <w:rsid w:val="00AE4A16"/>
    <w:rsid w:val="00AE4B68"/>
    <w:rsid w:val="00AF4698"/>
    <w:rsid w:val="00B04366"/>
    <w:rsid w:val="00B23D23"/>
    <w:rsid w:val="00B308A5"/>
    <w:rsid w:val="00B30E39"/>
    <w:rsid w:val="00B31976"/>
    <w:rsid w:val="00B341C7"/>
    <w:rsid w:val="00B412BF"/>
    <w:rsid w:val="00B45756"/>
    <w:rsid w:val="00B50405"/>
    <w:rsid w:val="00B5094C"/>
    <w:rsid w:val="00B548A5"/>
    <w:rsid w:val="00B6199E"/>
    <w:rsid w:val="00B63890"/>
    <w:rsid w:val="00B638CD"/>
    <w:rsid w:val="00B63A71"/>
    <w:rsid w:val="00B65F81"/>
    <w:rsid w:val="00B70F9D"/>
    <w:rsid w:val="00B71F33"/>
    <w:rsid w:val="00B72AD0"/>
    <w:rsid w:val="00B8282A"/>
    <w:rsid w:val="00B928AC"/>
    <w:rsid w:val="00B9395E"/>
    <w:rsid w:val="00B96362"/>
    <w:rsid w:val="00BA0014"/>
    <w:rsid w:val="00BA233A"/>
    <w:rsid w:val="00BA59F3"/>
    <w:rsid w:val="00BB2F87"/>
    <w:rsid w:val="00BB6383"/>
    <w:rsid w:val="00BB6E02"/>
    <w:rsid w:val="00BC2E68"/>
    <w:rsid w:val="00BC57F6"/>
    <w:rsid w:val="00BD2E88"/>
    <w:rsid w:val="00BD39DA"/>
    <w:rsid w:val="00BD5781"/>
    <w:rsid w:val="00BF5213"/>
    <w:rsid w:val="00C21F64"/>
    <w:rsid w:val="00C27BF0"/>
    <w:rsid w:val="00C31FC1"/>
    <w:rsid w:val="00C42E8A"/>
    <w:rsid w:val="00C52C91"/>
    <w:rsid w:val="00C67B46"/>
    <w:rsid w:val="00C8290A"/>
    <w:rsid w:val="00C90E07"/>
    <w:rsid w:val="00C92ACE"/>
    <w:rsid w:val="00C94429"/>
    <w:rsid w:val="00C96430"/>
    <w:rsid w:val="00CC486F"/>
    <w:rsid w:val="00CD0EE5"/>
    <w:rsid w:val="00CD2C29"/>
    <w:rsid w:val="00CD7D42"/>
    <w:rsid w:val="00CE4452"/>
    <w:rsid w:val="00CE673A"/>
    <w:rsid w:val="00CE6DD1"/>
    <w:rsid w:val="00D13360"/>
    <w:rsid w:val="00D14ABA"/>
    <w:rsid w:val="00D21310"/>
    <w:rsid w:val="00D223E9"/>
    <w:rsid w:val="00D25D00"/>
    <w:rsid w:val="00D30988"/>
    <w:rsid w:val="00D336A1"/>
    <w:rsid w:val="00D33A70"/>
    <w:rsid w:val="00D40301"/>
    <w:rsid w:val="00D509FC"/>
    <w:rsid w:val="00D569E8"/>
    <w:rsid w:val="00D606E3"/>
    <w:rsid w:val="00D638D1"/>
    <w:rsid w:val="00D660F1"/>
    <w:rsid w:val="00D6703C"/>
    <w:rsid w:val="00D739A7"/>
    <w:rsid w:val="00D8030D"/>
    <w:rsid w:val="00D8156C"/>
    <w:rsid w:val="00D84EBC"/>
    <w:rsid w:val="00D86273"/>
    <w:rsid w:val="00D86829"/>
    <w:rsid w:val="00D95A6D"/>
    <w:rsid w:val="00DA4544"/>
    <w:rsid w:val="00DA4EA8"/>
    <w:rsid w:val="00DC1108"/>
    <w:rsid w:val="00DD2BAD"/>
    <w:rsid w:val="00DD4697"/>
    <w:rsid w:val="00DD7FEF"/>
    <w:rsid w:val="00E132C6"/>
    <w:rsid w:val="00E161E5"/>
    <w:rsid w:val="00E178B9"/>
    <w:rsid w:val="00E4292E"/>
    <w:rsid w:val="00E45F30"/>
    <w:rsid w:val="00E45FE7"/>
    <w:rsid w:val="00E47DB5"/>
    <w:rsid w:val="00E70620"/>
    <w:rsid w:val="00E71333"/>
    <w:rsid w:val="00E761DF"/>
    <w:rsid w:val="00E82C43"/>
    <w:rsid w:val="00E83D9E"/>
    <w:rsid w:val="00E84457"/>
    <w:rsid w:val="00E844F6"/>
    <w:rsid w:val="00E85582"/>
    <w:rsid w:val="00E90025"/>
    <w:rsid w:val="00EA7DD7"/>
    <w:rsid w:val="00EA7E72"/>
    <w:rsid w:val="00EB43DB"/>
    <w:rsid w:val="00EC2616"/>
    <w:rsid w:val="00EC26BC"/>
    <w:rsid w:val="00EC4E1F"/>
    <w:rsid w:val="00EC5E2B"/>
    <w:rsid w:val="00ED06C8"/>
    <w:rsid w:val="00ED1E9C"/>
    <w:rsid w:val="00ED1ED0"/>
    <w:rsid w:val="00ED675C"/>
    <w:rsid w:val="00EE00C2"/>
    <w:rsid w:val="00EE3143"/>
    <w:rsid w:val="00EE5436"/>
    <w:rsid w:val="00EE5DA8"/>
    <w:rsid w:val="00EE7793"/>
    <w:rsid w:val="00F039A6"/>
    <w:rsid w:val="00F06A82"/>
    <w:rsid w:val="00F123CD"/>
    <w:rsid w:val="00F2266E"/>
    <w:rsid w:val="00F22EE4"/>
    <w:rsid w:val="00F258AC"/>
    <w:rsid w:val="00F323E7"/>
    <w:rsid w:val="00F349B6"/>
    <w:rsid w:val="00F36931"/>
    <w:rsid w:val="00F43A5D"/>
    <w:rsid w:val="00F43AD5"/>
    <w:rsid w:val="00F473E8"/>
    <w:rsid w:val="00F5732A"/>
    <w:rsid w:val="00F609D5"/>
    <w:rsid w:val="00F62465"/>
    <w:rsid w:val="00F65E4B"/>
    <w:rsid w:val="00F7433C"/>
    <w:rsid w:val="00F76CF1"/>
    <w:rsid w:val="00F7712C"/>
    <w:rsid w:val="00F8079E"/>
    <w:rsid w:val="00F822E8"/>
    <w:rsid w:val="00F91B6F"/>
    <w:rsid w:val="00F94231"/>
    <w:rsid w:val="00F979DA"/>
    <w:rsid w:val="00FA0589"/>
    <w:rsid w:val="00FA2193"/>
    <w:rsid w:val="00FA2ECD"/>
    <w:rsid w:val="00FB63DC"/>
    <w:rsid w:val="00FC6598"/>
    <w:rsid w:val="00FD335E"/>
    <w:rsid w:val="00FD3FBE"/>
    <w:rsid w:val="00FD7144"/>
    <w:rsid w:val="00FE7389"/>
    <w:rsid w:val="00FF52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8C3987E"/>
  <w15:chartTrackingRefBased/>
  <w15:docId w15:val="{5376DBF4-FD2F-46C0-8535-6048A542B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qFormat/>
    <w:rsid w:val="00D21310"/>
    <w:pPr>
      <w:pBdr>
        <w:bottom w:val="single" w:sz="12" w:space="1" w:color="auto"/>
        <w:between w:val="single" w:sz="12" w:space="1" w:color="auto"/>
      </w:pBdr>
      <w:spacing w:before="120" w:after="0" w:line="240" w:lineRule="auto"/>
      <w:jc w:val="both"/>
      <w:outlineLvl w:val="0"/>
    </w:pPr>
    <w:rPr>
      <w:rFonts w:ascii="Times New Roman" w:eastAsia="Times New Roman" w:hAnsi="Times New Roman" w:cs="CG Palacio (WN)"/>
      <w:b/>
      <w:sz w:val="18"/>
      <w:szCs w:val="24"/>
      <w:lang w:val="es-ES" w:eastAsia="es-ES"/>
    </w:rPr>
  </w:style>
  <w:style w:type="paragraph" w:styleId="Ttulo2">
    <w:name w:val="heading 2"/>
    <w:basedOn w:val="Normal"/>
    <w:next w:val="Normal"/>
    <w:qFormat/>
    <w:pPr>
      <w:keepNext/>
      <w:spacing w:after="0" w:line="240" w:lineRule="auto"/>
      <w:jc w:val="center"/>
      <w:outlineLvl w:val="1"/>
    </w:pPr>
    <w:rPr>
      <w:rFonts w:ascii="Arial" w:eastAsia="Times New Roman" w:hAnsi="Arial"/>
      <w:b/>
      <w:sz w:val="40"/>
      <w:szCs w:val="20"/>
      <w:lang w:val="es-ES" w:eastAsia="es-ES"/>
    </w:rPr>
  </w:style>
  <w:style w:type="paragraph" w:styleId="Ttulo3">
    <w:name w:val="heading 3"/>
    <w:basedOn w:val="Normal"/>
    <w:next w:val="Normal"/>
    <w:qFormat/>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ar"/>
    <w:unhideWhenUsed/>
    <w:qFormat/>
    <w:rsid w:val="00ED675C"/>
    <w:pPr>
      <w:keepNext/>
      <w:spacing w:before="240" w:after="60" w:line="240" w:lineRule="auto"/>
      <w:outlineLvl w:val="3"/>
    </w:pPr>
    <w:rPr>
      <w:rFonts w:eastAsia="Times New Roman"/>
      <w:b/>
      <w:bCs/>
      <w:sz w:val="28"/>
      <w:szCs w:val="28"/>
      <w:lang w:val="es-ES" w:eastAsia="es-ES"/>
    </w:rPr>
  </w:style>
  <w:style w:type="paragraph" w:styleId="Ttulo6">
    <w:name w:val="heading 6"/>
    <w:basedOn w:val="Normal"/>
    <w:next w:val="Normal"/>
    <w:link w:val="Ttulo6Car"/>
    <w:qFormat/>
    <w:rsid w:val="00D21310"/>
    <w:pPr>
      <w:spacing w:before="240" w:after="60" w:line="240" w:lineRule="auto"/>
      <w:outlineLvl w:val="5"/>
    </w:pPr>
    <w:rPr>
      <w:rFonts w:ascii="Times New Roman" w:eastAsia="Times New Roman" w:hAnsi="Times New Roman"/>
      <w:b/>
      <w:bCs/>
      <w:lang w:val="es-ES" w:eastAsia="es-ES"/>
    </w:rPr>
  </w:style>
  <w:style w:type="paragraph" w:styleId="Ttulo7">
    <w:name w:val="heading 7"/>
    <w:basedOn w:val="Normal"/>
    <w:next w:val="Normal"/>
    <w:link w:val="Ttulo7Car"/>
    <w:qFormat/>
    <w:rsid w:val="00ED675C"/>
    <w:pPr>
      <w:keepNext/>
      <w:spacing w:after="0" w:line="240" w:lineRule="auto"/>
      <w:jc w:val="center"/>
      <w:outlineLvl w:val="6"/>
    </w:pPr>
    <w:rPr>
      <w:rFonts w:ascii="Arial" w:eastAsia="Times New Roman" w:hAnsi="Arial"/>
      <w:b/>
      <w:bCs/>
      <w:color w:val="0000FF"/>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paragraph" w:styleId="Sangradetextonormal">
    <w:name w:val="Body Text Indent"/>
    <w:basedOn w:val="Normal"/>
    <w:semiHidden/>
    <w:pPr>
      <w:spacing w:after="0" w:line="240" w:lineRule="auto"/>
      <w:ind w:firstLine="708"/>
      <w:jc w:val="both"/>
    </w:pPr>
    <w:rPr>
      <w:rFonts w:ascii="Times New Roman" w:eastAsia="Times New Roman" w:hAnsi="Times New Roman"/>
      <w:sz w:val="20"/>
      <w:szCs w:val="20"/>
      <w:lang w:val="es-ES_tradnl" w:eastAsia="x-none"/>
    </w:rPr>
  </w:style>
  <w:style w:type="character" w:customStyle="1" w:styleId="SangradetextonormalCar">
    <w:name w:val="Sangría de texto normal Car"/>
    <w:semiHidden/>
    <w:rPr>
      <w:rFonts w:ascii="Times New Roman" w:eastAsia="Times New Roman" w:hAnsi="Times New Roman"/>
      <w:lang w:val="es-ES_tradnl"/>
    </w:rPr>
  </w:style>
  <w:style w:type="paragraph" w:customStyle="1" w:styleId="Textoindependiente21">
    <w:name w:val="Texto independiente 21"/>
    <w:basedOn w:val="Normal"/>
    <w:rsid w:val="0087706B"/>
    <w:pPr>
      <w:tabs>
        <w:tab w:val="left" w:pos="-1440"/>
        <w:tab w:val="left" w:pos="-720"/>
        <w:tab w:val="left" w:pos="0"/>
        <w:tab w:val="left" w:pos="884"/>
      </w:tabs>
      <w:spacing w:after="0" w:line="240" w:lineRule="auto"/>
      <w:jc w:val="center"/>
    </w:pPr>
    <w:rPr>
      <w:rFonts w:ascii="Century Gothic" w:eastAsia="Times New Roman" w:hAnsi="Century Gothic"/>
      <w:b/>
      <w:sz w:val="28"/>
      <w:szCs w:val="20"/>
      <w:lang w:val="es-ES_tradnl" w:eastAsia="es-ES"/>
    </w:rPr>
  </w:style>
  <w:style w:type="paragraph" w:customStyle="1" w:styleId="Default">
    <w:name w:val="Default"/>
    <w:rsid w:val="0087706B"/>
    <w:pPr>
      <w:autoSpaceDE w:val="0"/>
      <w:autoSpaceDN w:val="0"/>
      <w:adjustRightInd w:val="0"/>
    </w:pPr>
    <w:rPr>
      <w:rFonts w:ascii="Verdana" w:eastAsia="Times New Roman" w:hAnsi="Verdana" w:cs="Verdana"/>
      <w:color w:val="000000"/>
      <w:sz w:val="24"/>
      <w:szCs w:val="24"/>
    </w:rPr>
  </w:style>
  <w:style w:type="paragraph" w:customStyle="1" w:styleId="Textoindependiente31">
    <w:name w:val="Texto independiente 31"/>
    <w:basedOn w:val="Normal"/>
    <w:rsid w:val="0087706B"/>
    <w:pPr>
      <w:spacing w:after="0" w:line="240" w:lineRule="auto"/>
    </w:pPr>
    <w:rPr>
      <w:rFonts w:ascii="Century Gothic" w:eastAsia="Times New Roman" w:hAnsi="Century Gothic"/>
      <w:sz w:val="24"/>
      <w:szCs w:val="20"/>
      <w:lang w:val="es-ES_tradnl" w:eastAsia="es-ES"/>
    </w:rPr>
  </w:style>
  <w:style w:type="paragraph" w:styleId="Sinespaciado">
    <w:name w:val="No Spacing"/>
    <w:link w:val="SinespaciadoCar"/>
    <w:uiPriority w:val="1"/>
    <w:qFormat/>
    <w:rsid w:val="0087706B"/>
    <w:rPr>
      <w:sz w:val="22"/>
      <w:szCs w:val="22"/>
      <w:lang w:eastAsia="en-U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s-MX"/>
    </w:rPr>
  </w:style>
  <w:style w:type="paragraph" w:styleId="Encabezado">
    <w:name w:val="header"/>
    <w:basedOn w:val="Normal"/>
    <w:uiPriority w:val="99"/>
    <w:unhideWhenUsed/>
    <w:pPr>
      <w:tabs>
        <w:tab w:val="center" w:pos="4252"/>
        <w:tab w:val="right" w:pos="8504"/>
      </w:tabs>
    </w:pPr>
  </w:style>
  <w:style w:type="character" w:customStyle="1" w:styleId="EncabezadoCar">
    <w:name w:val="Encabezado Car"/>
    <w:uiPriority w:val="99"/>
    <w:rPr>
      <w:sz w:val="22"/>
      <w:szCs w:val="22"/>
      <w:lang w:val="es-MX" w:eastAsia="en-US"/>
    </w:rPr>
  </w:style>
  <w:style w:type="paragraph" w:styleId="Piedepgina">
    <w:name w:val="footer"/>
    <w:basedOn w:val="Normal"/>
    <w:uiPriority w:val="99"/>
    <w:unhideWhenUsed/>
    <w:pPr>
      <w:tabs>
        <w:tab w:val="center" w:pos="4252"/>
        <w:tab w:val="right" w:pos="8504"/>
      </w:tabs>
    </w:pPr>
  </w:style>
  <w:style w:type="character" w:customStyle="1" w:styleId="PiedepginaCar">
    <w:name w:val="Pie de página Car"/>
    <w:uiPriority w:val="99"/>
    <w:rPr>
      <w:sz w:val="22"/>
      <w:szCs w:val="22"/>
      <w:lang w:val="es-MX" w:eastAsia="en-US"/>
    </w:rPr>
  </w:style>
  <w:style w:type="paragraph" w:styleId="Textodeglobo">
    <w:name w:val="Balloon Text"/>
    <w:basedOn w:val="Normal"/>
    <w:unhideWhenUsed/>
    <w:pPr>
      <w:spacing w:after="0" w:line="240" w:lineRule="auto"/>
    </w:pPr>
    <w:rPr>
      <w:rFonts w:ascii="Tahoma" w:hAnsi="Tahoma" w:cs="Tahoma"/>
      <w:sz w:val="16"/>
      <w:szCs w:val="16"/>
    </w:rPr>
  </w:style>
  <w:style w:type="character" w:customStyle="1" w:styleId="TextodegloboCar">
    <w:name w:val="Texto de globo Car"/>
    <w:rPr>
      <w:rFonts w:ascii="Tahoma" w:hAnsi="Tahoma" w:cs="Tahoma"/>
      <w:sz w:val="16"/>
      <w:szCs w:val="16"/>
      <w:lang w:val="es-MX" w:eastAsia="en-US"/>
    </w:rPr>
  </w:style>
  <w:style w:type="paragraph" w:customStyle="1" w:styleId="Textoindependiente22">
    <w:name w:val="Texto independiente 22"/>
    <w:basedOn w:val="Normal"/>
    <w:pPr>
      <w:tabs>
        <w:tab w:val="left" w:pos="-1440"/>
        <w:tab w:val="left" w:pos="-720"/>
        <w:tab w:val="left" w:pos="0"/>
        <w:tab w:val="left" w:pos="884"/>
      </w:tabs>
      <w:spacing w:after="0" w:line="240" w:lineRule="auto"/>
      <w:jc w:val="center"/>
    </w:pPr>
    <w:rPr>
      <w:rFonts w:ascii="Century Gothic" w:eastAsia="Times New Roman" w:hAnsi="Century Gothic"/>
      <w:b/>
      <w:sz w:val="28"/>
      <w:szCs w:val="20"/>
      <w:lang w:val="es-ES_tradnl" w:eastAsia="es-ES"/>
    </w:rPr>
  </w:style>
  <w:style w:type="paragraph" w:styleId="Textoindependiente3">
    <w:name w:val="Body Text 3"/>
    <w:basedOn w:val="Normal"/>
    <w:semiHidden/>
    <w:unhideWhenUsed/>
    <w:pPr>
      <w:spacing w:after="120"/>
    </w:pPr>
    <w:rPr>
      <w:sz w:val="16"/>
      <w:szCs w:val="16"/>
    </w:rPr>
  </w:style>
  <w:style w:type="character" w:customStyle="1" w:styleId="Textoindependiente3Car">
    <w:name w:val="Texto independiente 3 Car"/>
    <w:semiHidden/>
    <w:rPr>
      <w:sz w:val="16"/>
      <w:szCs w:val="16"/>
      <w:lang w:val="es-MX" w:eastAsia="en-US"/>
    </w:rPr>
  </w:style>
  <w:style w:type="paragraph" w:styleId="Textoindependiente">
    <w:name w:val="Body Text"/>
    <w:basedOn w:val="Normal"/>
    <w:unhideWhenUsed/>
    <w:pPr>
      <w:spacing w:after="120"/>
    </w:pPr>
  </w:style>
  <w:style w:type="character" w:customStyle="1" w:styleId="TextoindependienteCar">
    <w:name w:val="Texto independiente Car"/>
    <w:rPr>
      <w:sz w:val="22"/>
      <w:szCs w:val="22"/>
      <w:lang w:val="es-MX" w:eastAsia="en-US"/>
    </w:rPr>
  </w:style>
  <w:style w:type="paragraph" w:styleId="Sangra2detindependiente">
    <w:name w:val="Body Text Indent 2"/>
    <w:basedOn w:val="Normal"/>
    <w:unhideWhenUsed/>
    <w:pPr>
      <w:spacing w:after="120" w:line="480" w:lineRule="auto"/>
      <w:ind w:left="283"/>
    </w:pPr>
  </w:style>
  <w:style w:type="character" w:customStyle="1" w:styleId="Sangra2detindependienteCar">
    <w:name w:val="Sangría 2 de t. independiente Car"/>
    <w:rPr>
      <w:sz w:val="22"/>
      <w:szCs w:val="22"/>
      <w:lang w:val="es-MX" w:eastAsia="en-US"/>
    </w:rPr>
  </w:style>
  <w:style w:type="character" w:customStyle="1" w:styleId="Ttulo2Car">
    <w:name w:val="Título 2 Car"/>
    <w:rPr>
      <w:rFonts w:ascii="Arial" w:eastAsia="Times New Roman" w:hAnsi="Arial"/>
      <w:b/>
      <w:sz w:val="40"/>
    </w:rPr>
  </w:style>
  <w:style w:type="paragraph" w:styleId="Textoindependiente2">
    <w:name w:val="Body Text 2"/>
    <w:basedOn w:val="Normal"/>
    <w:semiHidden/>
    <w:unhideWhenUsed/>
    <w:pPr>
      <w:spacing w:after="120" w:line="480" w:lineRule="auto"/>
    </w:pPr>
  </w:style>
  <w:style w:type="character" w:customStyle="1" w:styleId="Textoindependiente2Car">
    <w:name w:val="Texto independiente 2 Car"/>
    <w:semiHidden/>
    <w:rPr>
      <w:sz w:val="22"/>
      <w:szCs w:val="22"/>
      <w:lang w:val="es-MX" w:eastAsia="en-US"/>
    </w:rPr>
  </w:style>
  <w:style w:type="paragraph" w:styleId="Sangra3detindependiente">
    <w:name w:val="Body Text Indent 3"/>
    <w:basedOn w:val="Normal"/>
    <w:semiHidden/>
    <w:unhideWhenUsed/>
    <w:pPr>
      <w:spacing w:after="120"/>
      <w:ind w:left="283"/>
    </w:pPr>
    <w:rPr>
      <w:sz w:val="16"/>
      <w:szCs w:val="16"/>
    </w:rPr>
  </w:style>
  <w:style w:type="character" w:customStyle="1" w:styleId="Sangra3detindependienteCar">
    <w:name w:val="Sangría 3 de t. independiente Car"/>
    <w:semiHidden/>
    <w:rPr>
      <w:sz w:val="16"/>
      <w:szCs w:val="16"/>
      <w:lang w:val="es-MX" w:eastAsia="en-US"/>
    </w:rPr>
  </w:style>
  <w:style w:type="paragraph" w:styleId="Saludo">
    <w:name w:val="Salutation"/>
    <w:basedOn w:val="Normal"/>
    <w:next w:val="Normal"/>
    <w:semiHidden/>
    <w:pPr>
      <w:spacing w:after="0" w:line="240" w:lineRule="auto"/>
    </w:pPr>
    <w:rPr>
      <w:rFonts w:ascii="Times New Roman" w:eastAsia="Times New Roman" w:hAnsi="Times New Roman"/>
      <w:sz w:val="24"/>
      <w:szCs w:val="20"/>
      <w:lang w:val="es-ES_tradnl" w:eastAsia="es-ES"/>
    </w:rPr>
  </w:style>
  <w:style w:type="character" w:customStyle="1" w:styleId="SaludoCar">
    <w:name w:val="Saludo Car"/>
    <w:semiHidden/>
    <w:rPr>
      <w:rFonts w:ascii="Times New Roman" w:eastAsia="Times New Roman" w:hAnsi="Times New Roman"/>
      <w:sz w:val="24"/>
      <w:lang w:val="es-ES_tradnl"/>
    </w:rPr>
  </w:style>
  <w:style w:type="character" w:customStyle="1" w:styleId="Ttulo3Car">
    <w:name w:val="Título 3 Car"/>
    <w:semiHidden/>
    <w:rPr>
      <w:rFonts w:ascii="Cambria" w:eastAsia="Times New Roman" w:hAnsi="Cambria" w:cs="Times New Roman"/>
      <w:b/>
      <w:bCs/>
      <w:sz w:val="26"/>
      <w:szCs w:val="26"/>
      <w:lang w:val="es-MX" w:eastAsia="en-US"/>
    </w:rPr>
  </w:style>
  <w:style w:type="paragraph" w:styleId="Subttulo">
    <w:name w:val="Subtitle"/>
    <w:basedOn w:val="Normal"/>
    <w:qFormat/>
    <w:pPr>
      <w:spacing w:after="0" w:line="240" w:lineRule="auto"/>
      <w:jc w:val="center"/>
    </w:pPr>
    <w:rPr>
      <w:rFonts w:ascii="Arial" w:eastAsia="Times New Roman" w:hAnsi="Arial" w:cs="Arial"/>
      <w:b/>
      <w:bCs/>
      <w:sz w:val="32"/>
      <w:szCs w:val="24"/>
      <w:lang w:eastAsia="es-ES"/>
    </w:rPr>
  </w:style>
  <w:style w:type="character" w:customStyle="1" w:styleId="SubttuloCar">
    <w:name w:val="Subtítulo Car"/>
    <w:rPr>
      <w:rFonts w:ascii="Arial" w:eastAsia="Times New Roman" w:hAnsi="Arial" w:cs="Arial"/>
      <w:b/>
      <w:bCs/>
      <w:sz w:val="32"/>
      <w:szCs w:val="24"/>
      <w:lang w:val="es-MX"/>
    </w:rPr>
  </w:style>
  <w:style w:type="character" w:styleId="Hipervnculo">
    <w:name w:val="Hyperlink"/>
    <w:unhideWhenUsed/>
    <w:rPr>
      <w:color w:val="0000FF"/>
      <w:u w:val="single"/>
    </w:rPr>
  </w:style>
  <w:style w:type="character" w:customStyle="1" w:styleId="Ttulo1Car">
    <w:name w:val="Título 1 Car"/>
    <w:link w:val="Ttulo1"/>
    <w:rsid w:val="00D21310"/>
    <w:rPr>
      <w:rFonts w:ascii="Times New Roman" w:eastAsia="Times New Roman" w:hAnsi="Times New Roman" w:cs="CG Palacio (WN)"/>
      <w:b/>
      <w:sz w:val="18"/>
      <w:szCs w:val="24"/>
      <w:lang w:val="es-ES" w:eastAsia="es-ES"/>
    </w:rPr>
  </w:style>
  <w:style w:type="character" w:customStyle="1" w:styleId="Ttulo6Car">
    <w:name w:val="Título 6 Car"/>
    <w:link w:val="Ttulo6"/>
    <w:rsid w:val="00D21310"/>
    <w:rPr>
      <w:rFonts w:ascii="Times New Roman" w:eastAsia="Times New Roman" w:hAnsi="Times New Roman"/>
      <w:b/>
      <w:bCs/>
      <w:sz w:val="22"/>
      <w:szCs w:val="22"/>
      <w:lang w:val="es-ES" w:eastAsia="es-ES"/>
    </w:rPr>
  </w:style>
  <w:style w:type="paragraph" w:customStyle="1" w:styleId="Texto">
    <w:name w:val="Texto"/>
    <w:basedOn w:val="Normal"/>
    <w:rsid w:val="00D21310"/>
    <w:pPr>
      <w:spacing w:after="101" w:line="216" w:lineRule="exact"/>
      <w:ind w:firstLine="288"/>
      <w:jc w:val="both"/>
    </w:pPr>
    <w:rPr>
      <w:rFonts w:ascii="Arial" w:eastAsia="Times New Roman" w:hAnsi="Arial" w:cs="Arial"/>
      <w:sz w:val="18"/>
      <w:szCs w:val="20"/>
      <w:lang w:val="es-ES" w:eastAsia="es-ES"/>
    </w:rPr>
  </w:style>
  <w:style w:type="paragraph" w:customStyle="1" w:styleId="CABEZA">
    <w:name w:val="CABEZA"/>
    <w:basedOn w:val="Normal"/>
    <w:rsid w:val="00D21310"/>
    <w:pPr>
      <w:spacing w:after="0" w:line="240" w:lineRule="auto"/>
      <w:jc w:val="center"/>
    </w:pPr>
    <w:rPr>
      <w:rFonts w:ascii="Times New Roman" w:eastAsia="Times New Roman" w:hAnsi="Times New Roman" w:cs="Arial"/>
      <w:b/>
      <w:sz w:val="28"/>
      <w:szCs w:val="28"/>
      <w:lang w:val="es-ES_tradnl" w:eastAsia="es-MX"/>
    </w:rPr>
  </w:style>
  <w:style w:type="paragraph" w:customStyle="1" w:styleId="ROMANOS">
    <w:name w:val="ROMANOS"/>
    <w:basedOn w:val="Normal"/>
    <w:rsid w:val="00D21310"/>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D21310"/>
    <w:pPr>
      <w:spacing w:after="101" w:line="216" w:lineRule="exact"/>
      <w:ind w:left="1080" w:hanging="360"/>
      <w:jc w:val="both"/>
    </w:pPr>
    <w:rPr>
      <w:rFonts w:ascii="Arial" w:eastAsia="Times New Roman" w:hAnsi="Arial" w:cs="Arial"/>
      <w:sz w:val="18"/>
      <w:szCs w:val="18"/>
      <w:lang w:val="es-ES" w:eastAsia="es-ES"/>
    </w:rPr>
  </w:style>
  <w:style w:type="paragraph" w:customStyle="1" w:styleId="Fechas">
    <w:name w:val="Fechas"/>
    <w:basedOn w:val="Texto"/>
    <w:rsid w:val="00D21310"/>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D21310"/>
    <w:pPr>
      <w:spacing w:before="101" w:after="101" w:line="216" w:lineRule="atLeast"/>
      <w:jc w:val="center"/>
    </w:pPr>
    <w:rPr>
      <w:rFonts w:ascii="Times New Roman" w:eastAsia="Times New Roman" w:hAnsi="Times New Roman"/>
      <w:b/>
      <w:sz w:val="18"/>
      <w:szCs w:val="20"/>
      <w:lang w:val="es-ES_tradnl" w:eastAsia="es-ES"/>
    </w:rPr>
  </w:style>
  <w:style w:type="paragraph" w:customStyle="1" w:styleId="SUBIN">
    <w:name w:val="SUBIN"/>
    <w:basedOn w:val="Texto"/>
    <w:rsid w:val="00D21310"/>
    <w:pPr>
      <w:ind w:left="1987" w:hanging="720"/>
    </w:pPr>
    <w:rPr>
      <w:lang w:val="es-MX"/>
    </w:rPr>
  </w:style>
  <w:style w:type="paragraph" w:customStyle="1" w:styleId="Titulo1">
    <w:name w:val="Titulo 1"/>
    <w:basedOn w:val="Texto"/>
    <w:rsid w:val="00D21310"/>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D21310"/>
    <w:pPr>
      <w:pBdr>
        <w:top w:val="double" w:sz="6" w:space="1" w:color="auto"/>
      </w:pBdr>
      <w:spacing w:line="240" w:lineRule="auto"/>
      <w:ind w:firstLine="0"/>
      <w:outlineLvl w:val="1"/>
    </w:pPr>
    <w:rPr>
      <w:lang w:val="es-MX"/>
    </w:rPr>
  </w:style>
  <w:style w:type="paragraph" w:customStyle="1" w:styleId="tt">
    <w:name w:val="tt"/>
    <w:basedOn w:val="Texto"/>
    <w:rsid w:val="00D21310"/>
    <w:pPr>
      <w:tabs>
        <w:tab w:val="left" w:pos="1320"/>
        <w:tab w:val="left" w:pos="1629"/>
      </w:tabs>
      <w:ind w:left="1647" w:hanging="1440"/>
    </w:pPr>
    <w:rPr>
      <w:lang w:val="es-ES_tradnl"/>
    </w:rPr>
  </w:style>
  <w:style w:type="paragraph" w:customStyle="1" w:styleId="sum">
    <w:name w:val="sum"/>
    <w:basedOn w:val="Texto"/>
    <w:rsid w:val="00D21310"/>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D21310"/>
    <w:pPr>
      <w:spacing w:after="101" w:line="216" w:lineRule="exact"/>
      <w:ind w:firstLine="288"/>
      <w:jc w:val="both"/>
    </w:pPr>
    <w:rPr>
      <w:rFonts w:ascii="Arial" w:eastAsia="Times New Roman" w:hAnsi="Arial" w:cs="Arial"/>
      <w:sz w:val="18"/>
      <w:szCs w:val="18"/>
      <w:lang w:eastAsia="es-MX"/>
    </w:rPr>
  </w:style>
  <w:style w:type="paragraph" w:customStyle="1" w:styleId="EstilotextoPrimeralnea0">
    <w:name w:val="Estilo texto + Primera línea:  0&quot;"/>
    <w:basedOn w:val="texto0"/>
    <w:rsid w:val="00D21310"/>
    <w:pPr>
      <w:ind w:firstLine="0"/>
    </w:pPr>
    <w:rPr>
      <w:rFonts w:cs="Times New Roman"/>
      <w:szCs w:val="20"/>
    </w:rPr>
  </w:style>
  <w:style w:type="paragraph" w:customStyle="1" w:styleId="Decreto">
    <w:name w:val="Decreto"/>
    <w:basedOn w:val="Normal"/>
    <w:rsid w:val="00D21310"/>
    <w:pPr>
      <w:spacing w:after="0" w:line="240" w:lineRule="auto"/>
      <w:jc w:val="both"/>
    </w:pPr>
    <w:rPr>
      <w:rFonts w:ascii="Courier" w:eastAsia="Times New Roman" w:hAnsi="Courier" w:cs="Courier New"/>
      <w:sz w:val="24"/>
      <w:szCs w:val="24"/>
      <w:lang w:val="es-ES" w:eastAsia="es-ES"/>
    </w:rPr>
  </w:style>
  <w:style w:type="paragraph" w:styleId="Mapadeldocumento">
    <w:name w:val="Document Map"/>
    <w:basedOn w:val="Normal"/>
    <w:link w:val="MapadeldocumentoCar"/>
    <w:semiHidden/>
    <w:rsid w:val="00D21310"/>
    <w:pPr>
      <w:shd w:val="clear" w:color="auto" w:fill="000080"/>
      <w:spacing w:after="0" w:line="240" w:lineRule="auto"/>
    </w:pPr>
    <w:rPr>
      <w:rFonts w:ascii="Tahoma" w:eastAsia="Times New Roman" w:hAnsi="Tahoma" w:cs="Tahoma"/>
      <w:sz w:val="20"/>
      <w:szCs w:val="20"/>
      <w:lang w:val="es-ES" w:eastAsia="es-ES"/>
    </w:rPr>
  </w:style>
  <w:style w:type="character" w:customStyle="1" w:styleId="MapadeldocumentoCar">
    <w:name w:val="Mapa del documento Car"/>
    <w:link w:val="Mapadeldocumento"/>
    <w:semiHidden/>
    <w:rsid w:val="00D21310"/>
    <w:rPr>
      <w:rFonts w:ascii="Tahoma" w:eastAsia="Times New Roman" w:hAnsi="Tahoma" w:cs="Tahoma"/>
      <w:shd w:val="clear" w:color="auto" w:fill="000080"/>
      <w:lang w:val="es-ES" w:eastAsia="es-ES"/>
    </w:rPr>
  </w:style>
  <w:style w:type="paragraph" w:customStyle="1" w:styleId="contenido">
    <w:name w:val="contenido"/>
    <w:basedOn w:val="Normal"/>
    <w:rsid w:val="00D21310"/>
    <w:pPr>
      <w:spacing w:before="100" w:beforeAutospacing="1" w:after="100" w:afterAutospacing="1" w:line="240" w:lineRule="auto"/>
    </w:pPr>
    <w:rPr>
      <w:rFonts w:ascii="Verdana" w:eastAsia="Times New Roman" w:hAnsi="Verdana"/>
      <w:color w:val="333333"/>
      <w:sz w:val="17"/>
      <w:szCs w:val="17"/>
      <w:lang w:val="es-ES" w:eastAsia="es-ES"/>
    </w:rPr>
  </w:style>
  <w:style w:type="paragraph" w:customStyle="1" w:styleId="Sumario">
    <w:name w:val="Sumario"/>
    <w:basedOn w:val="Normal"/>
    <w:rsid w:val="00D21310"/>
    <w:pPr>
      <w:tabs>
        <w:tab w:val="right" w:leader="dot" w:pos="8107"/>
        <w:tab w:val="right" w:pos="8640"/>
      </w:tabs>
      <w:spacing w:after="0" w:line="260" w:lineRule="exact"/>
      <w:ind w:left="274" w:right="749"/>
      <w:jc w:val="both"/>
    </w:pPr>
    <w:rPr>
      <w:rFonts w:ascii="Arial" w:eastAsia="Times New Roman" w:hAnsi="Arial"/>
      <w:sz w:val="18"/>
      <w:szCs w:val="18"/>
      <w:lang w:val="es-ES" w:eastAsia="es-ES"/>
    </w:rPr>
  </w:style>
  <w:style w:type="character" w:styleId="Nmerodepgina">
    <w:name w:val="page number"/>
    <w:rsid w:val="00D21310"/>
  </w:style>
  <w:style w:type="table" w:styleId="Tablaconcuadrcula">
    <w:name w:val="Table Grid"/>
    <w:basedOn w:val="Tablanormal"/>
    <w:uiPriority w:val="59"/>
    <w:rsid w:val="00D213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rsid w:val="00D21310"/>
    <w:pPr>
      <w:spacing w:after="0" w:line="240" w:lineRule="auto"/>
    </w:pPr>
    <w:rPr>
      <w:rFonts w:ascii="Courier New" w:eastAsia="Times New Roman" w:hAnsi="Courier New" w:cs="Courier New"/>
      <w:sz w:val="20"/>
      <w:szCs w:val="20"/>
      <w:lang w:val="en-US" w:eastAsia="es-MX"/>
    </w:rPr>
  </w:style>
  <w:style w:type="character" w:customStyle="1" w:styleId="TextosinformatoCar">
    <w:name w:val="Texto sin formato Car"/>
    <w:link w:val="Textosinformato"/>
    <w:rsid w:val="00D21310"/>
    <w:rPr>
      <w:rFonts w:ascii="Courier New" w:eastAsia="Times New Roman" w:hAnsi="Courier New" w:cs="Courier New"/>
      <w:lang w:val="en-US"/>
    </w:rPr>
  </w:style>
  <w:style w:type="character" w:styleId="Fuerte">
    <w:name w:val="Strong"/>
    <w:qFormat/>
    <w:rsid w:val="00D21310"/>
    <w:rPr>
      <w:b/>
      <w:bCs/>
    </w:rPr>
  </w:style>
  <w:style w:type="character" w:customStyle="1" w:styleId="SinespaciadoCar">
    <w:name w:val="Sin espaciado Car"/>
    <w:link w:val="Sinespaciado"/>
    <w:uiPriority w:val="1"/>
    <w:rsid w:val="00D21310"/>
    <w:rPr>
      <w:sz w:val="22"/>
      <w:szCs w:val="22"/>
      <w:lang w:eastAsia="en-US"/>
    </w:rPr>
  </w:style>
  <w:style w:type="character" w:customStyle="1" w:styleId="apple-converted-space">
    <w:name w:val="apple-converted-space"/>
    <w:rsid w:val="00D21310"/>
  </w:style>
  <w:style w:type="paragraph" w:styleId="Textonotaalfinal">
    <w:name w:val="endnote text"/>
    <w:basedOn w:val="Normal"/>
    <w:link w:val="TextonotaalfinalCar"/>
    <w:rsid w:val="00D21310"/>
    <w:pPr>
      <w:spacing w:after="0" w:line="240" w:lineRule="auto"/>
    </w:pPr>
    <w:rPr>
      <w:rFonts w:ascii="Times New Roman" w:eastAsia="Times New Roman" w:hAnsi="Times New Roman"/>
      <w:sz w:val="20"/>
      <w:szCs w:val="20"/>
      <w:lang w:val="es-ES" w:eastAsia="es-ES"/>
    </w:rPr>
  </w:style>
  <w:style w:type="character" w:customStyle="1" w:styleId="TextonotaalfinalCar">
    <w:name w:val="Texto nota al final Car"/>
    <w:link w:val="Textonotaalfinal"/>
    <w:rsid w:val="00D21310"/>
    <w:rPr>
      <w:rFonts w:ascii="Times New Roman" w:eastAsia="Times New Roman" w:hAnsi="Times New Roman"/>
      <w:lang w:val="es-ES" w:eastAsia="es-ES"/>
    </w:rPr>
  </w:style>
  <w:style w:type="character" w:styleId="Refdenotaalfinal">
    <w:name w:val="endnote reference"/>
    <w:rsid w:val="00D21310"/>
    <w:rPr>
      <w:vertAlign w:val="superscript"/>
    </w:rPr>
  </w:style>
  <w:style w:type="paragraph" w:customStyle="1" w:styleId="CM48">
    <w:name w:val="CM48"/>
    <w:basedOn w:val="Default"/>
    <w:next w:val="Default"/>
    <w:uiPriority w:val="99"/>
    <w:rsid w:val="003A626C"/>
    <w:pPr>
      <w:widowControl w:val="0"/>
      <w:spacing w:after="243"/>
    </w:pPr>
    <w:rPr>
      <w:rFonts w:ascii="Arial MT" w:hAnsi="Arial MT" w:cs="Times New Roman"/>
      <w:color w:val="auto"/>
      <w:lang w:val="es-ES" w:eastAsia="es-ES"/>
    </w:rPr>
  </w:style>
  <w:style w:type="character" w:customStyle="1" w:styleId="Ttulo4Car">
    <w:name w:val="Título 4 Car"/>
    <w:link w:val="Ttulo4"/>
    <w:rsid w:val="00ED675C"/>
    <w:rPr>
      <w:rFonts w:eastAsia="Times New Roman"/>
      <w:b/>
      <w:bCs/>
      <w:sz w:val="28"/>
      <w:szCs w:val="28"/>
      <w:lang w:val="es-ES" w:eastAsia="es-ES"/>
    </w:rPr>
  </w:style>
  <w:style w:type="character" w:customStyle="1" w:styleId="Ttulo7Car">
    <w:name w:val="Título 7 Car"/>
    <w:link w:val="Ttulo7"/>
    <w:rsid w:val="00ED675C"/>
    <w:rPr>
      <w:rFonts w:ascii="Arial" w:eastAsia="Times New Roman" w:hAnsi="Arial"/>
      <w:b/>
      <w:bCs/>
      <w:color w:val="0000FF"/>
      <w:sz w:val="24"/>
      <w:lang w:val="es-ES" w:eastAsia="es-ES"/>
    </w:rPr>
  </w:style>
  <w:style w:type="character" w:styleId="nfasis">
    <w:name w:val="Emphasis"/>
    <w:qFormat/>
    <w:rsid w:val="00ED675C"/>
    <w:rPr>
      <w:i/>
      <w:iCs/>
    </w:rPr>
  </w:style>
  <w:style w:type="character" w:styleId="Refdecomentario">
    <w:name w:val="annotation reference"/>
    <w:rsid w:val="00ED675C"/>
    <w:rPr>
      <w:sz w:val="16"/>
      <w:szCs w:val="16"/>
    </w:rPr>
  </w:style>
  <w:style w:type="paragraph" w:styleId="Textocomentario">
    <w:name w:val="annotation text"/>
    <w:basedOn w:val="Normal"/>
    <w:link w:val="TextocomentarioCar"/>
    <w:rsid w:val="00ED675C"/>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link w:val="Textocomentario"/>
    <w:rsid w:val="00ED675C"/>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rsid w:val="00ED675C"/>
    <w:rPr>
      <w:b/>
      <w:bCs/>
    </w:rPr>
  </w:style>
  <w:style w:type="character" w:customStyle="1" w:styleId="AsuntodelcomentarioCar">
    <w:name w:val="Asunto del comentario Car"/>
    <w:link w:val="Asuntodelcomentario"/>
    <w:rsid w:val="00ED675C"/>
    <w:rPr>
      <w:rFonts w:ascii="Times New Roman" w:eastAsia="Times New Roman" w:hAnsi="Times New Roman"/>
      <w:b/>
      <w:bCs/>
      <w:lang w:val="es-ES" w:eastAsia="es-ES"/>
    </w:rPr>
  </w:style>
  <w:style w:type="paragraph" w:customStyle="1" w:styleId="Puesto">
    <w:name w:val="Puesto"/>
    <w:basedOn w:val="Normal"/>
    <w:next w:val="Normal"/>
    <w:link w:val="PuestoCar"/>
    <w:qFormat/>
    <w:rsid w:val="00ED675C"/>
    <w:pPr>
      <w:spacing w:before="240" w:after="60" w:line="240" w:lineRule="auto"/>
      <w:jc w:val="center"/>
      <w:outlineLvl w:val="0"/>
    </w:pPr>
    <w:rPr>
      <w:rFonts w:ascii="Calibri Light" w:eastAsia="Times New Roman" w:hAnsi="Calibri Light"/>
      <w:b/>
      <w:bCs/>
      <w:kern w:val="28"/>
      <w:sz w:val="32"/>
      <w:szCs w:val="32"/>
      <w:lang w:val="es-ES" w:eastAsia="es-ES"/>
    </w:rPr>
  </w:style>
  <w:style w:type="character" w:customStyle="1" w:styleId="PuestoCar">
    <w:name w:val="Puesto Car"/>
    <w:link w:val="Puesto"/>
    <w:rsid w:val="00ED675C"/>
    <w:rPr>
      <w:rFonts w:ascii="Calibri Light" w:eastAsia="Times New Roman" w:hAnsi="Calibri Light"/>
      <w:b/>
      <w:bCs/>
      <w:kern w:val="28"/>
      <w:sz w:val="32"/>
      <w:szCs w:val="32"/>
      <w:lang w:val="es-ES" w:eastAsia="es-ES"/>
    </w:rPr>
  </w:style>
  <w:style w:type="paragraph" w:customStyle="1" w:styleId="a">
    <w:basedOn w:val="Normal"/>
    <w:next w:val="Puesto"/>
    <w:link w:val="TtuloCar"/>
    <w:qFormat/>
    <w:rsid w:val="00492EB5"/>
    <w:pPr>
      <w:spacing w:after="0" w:line="240" w:lineRule="auto"/>
      <w:jc w:val="center"/>
    </w:pPr>
    <w:rPr>
      <w:rFonts w:ascii="Arial" w:hAnsi="Arial" w:cs="Arial"/>
      <w:b/>
      <w:bCs/>
      <w:sz w:val="24"/>
      <w:szCs w:val="24"/>
      <w:lang w:val="es-ES" w:eastAsia="es-ES"/>
    </w:rPr>
  </w:style>
  <w:style w:type="character" w:customStyle="1" w:styleId="TtuloCar">
    <w:name w:val="Título Car"/>
    <w:link w:val="a"/>
    <w:rsid w:val="00492EB5"/>
    <w:rPr>
      <w:rFonts w:ascii="Arial" w:hAnsi="Arial" w:cs="Arial"/>
      <w:b/>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6315">
      <w:bodyDiv w:val="1"/>
      <w:marLeft w:val="0"/>
      <w:marRight w:val="0"/>
      <w:marTop w:val="0"/>
      <w:marBottom w:val="0"/>
      <w:divBdr>
        <w:top w:val="none" w:sz="0" w:space="0" w:color="auto"/>
        <w:left w:val="none" w:sz="0" w:space="0" w:color="auto"/>
        <w:bottom w:val="none" w:sz="0" w:space="0" w:color="auto"/>
        <w:right w:val="none" w:sz="0" w:space="0" w:color="auto"/>
      </w:divBdr>
    </w:div>
    <w:div w:id="66465289">
      <w:bodyDiv w:val="1"/>
      <w:marLeft w:val="0"/>
      <w:marRight w:val="0"/>
      <w:marTop w:val="0"/>
      <w:marBottom w:val="0"/>
      <w:divBdr>
        <w:top w:val="none" w:sz="0" w:space="0" w:color="auto"/>
        <w:left w:val="none" w:sz="0" w:space="0" w:color="auto"/>
        <w:bottom w:val="none" w:sz="0" w:space="0" w:color="auto"/>
        <w:right w:val="none" w:sz="0" w:space="0" w:color="auto"/>
      </w:divBdr>
    </w:div>
    <w:div w:id="74403885">
      <w:bodyDiv w:val="1"/>
      <w:marLeft w:val="0"/>
      <w:marRight w:val="0"/>
      <w:marTop w:val="0"/>
      <w:marBottom w:val="0"/>
      <w:divBdr>
        <w:top w:val="none" w:sz="0" w:space="0" w:color="auto"/>
        <w:left w:val="none" w:sz="0" w:space="0" w:color="auto"/>
        <w:bottom w:val="none" w:sz="0" w:space="0" w:color="auto"/>
        <w:right w:val="none" w:sz="0" w:space="0" w:color="auto"/>
      </w:divBdr>
    </w:div>
    <w:div w:id="94785705">
      <w:bodyDiv w:val="1"/>
      <w:marLeft w:val="0"/>
      <w:marRight w:val="0"/>
      <w:marTop w:val="0"/>
      <w:marBottom w:val="0"/>
      <w:divBdr>
        <w:top w:val="none" w:sz="0" w:space="0" w:color="auto"/>
        <w:left w:val="none" w:sz="0" w:space="0" w:color="auto"/>
        <w:bottom w:val="none" w:sz="0" w:space="0" w:color="auto"/>
        <w:right w:val="none" w:sz="0" w:space="0" w:color="auto"/>
      </w:divBdr>
    </w:div>
    <w:div w:id="103156458">
      <w:bodyDiv w:val="1"/>
      <w:marLeft w:val="0"/>
      <w:marRight w:val="0"/>
      <w:marTop w:val="0"/>
      <w:marBottom w:val="0"/>
      <w:divBdr>
        <w:top w:val="none" w:sz="0" w:space="0" w:color="auto"/>
        <w:left w:val="none" w:sz="0" w:space="0" w:color="auto"/>
        <w:bottom w:val="none" w:sz="0" w:space="0" w:color="auto"/>
        <w:right w:val="none" w:sz="0" w:space="0" w:color="auto"/>
      </w:divBdr>
    </w:div>
    <w:div w:id="135954156">
      <w:bodyDiv w:val="1"/>
      <w:marLeft w:val="0"/>
      <w:marRight w:val="0"/>
      <w:marTop w:val="0"/>
      <w:marBottom w:val="0"/>
      <w:divBdr>
        <w:top w:val="none" w:sz="0" w:space="0" w:color="auto"/>
        <w:left w:val="none" w:sz="0" w:space="0" w:color="auto"/>
        <w:bottom w:val="none" w:sz="0" w:space="0" w:color="auto"/>
        <w:right w:val="none" w:sz="0" w:space="0" w:color="auto"/>
      </w:divBdr>
    </w:div>
    <w:div w:id="148442750">
      <w:bodyDiv w:val="1"/>
      <w:marLeft w:val="0"/>
      <w:marRight w:val="0"/>
      <w:marTop w:val="0"/>
      <w:marBottom w:val="0"/>
      <w:divBdr>
        <w:top w:val="none" w:sz="0" w:space="0" w:color="auto"/>
        <w:left w:val="none" w:sz="0" w:space="0" w:color="auto"/>
        <w:bottom w:val="none" w:sz="0" w:space="0" w:color="auto"/>
        <w:right w:val="none" w:sz="0" w:space="0" w:color="auto"/>
      </w:divBdr>
    </w:div>
    <w:div w:id="160969871">
      <w:bodyDiv w:val="1"/>
      <w:marLeft w:val="0"/>
      <w:marRight w:val="0"/>
      <w:marTop w:val="0"/>
      <w:marBottom w:val="0"/>
      <w:divBdr>
        <w:top w:val="none" w:sz="0" w:space="0" w:color="auto"/>
        <w:left w:val="none" w:sz="0" w:space="0" w:color="auto"/>
        <w:bottom w:val="none" w:sz="0" w:space="0" w:color="auto"/>
        <w:right w:val="none" w:sz="0" w:space="0" w:color="auto"/>
      </w:divBdr>
    </w:div>
    <w:div w:id="163475986">
      <w:bodyDiv w:val="1"/>
      <w:marLeft w:val="0"/>
      <w:marRight w:val="0"/>
      <w:marTop w:val="0"/>
      <w:marBottom w:val="0"/>
      <w:divBdr>
        <w:top w:val="none" w:sz="0" w:space="0" w:color="auto"/>
        <w:left w:val="none" w:sz="0" w:space="0" w:color="auto"/>
        <w:bottom w:val="none" w:sz="0" w:space="0" w:color="auto"/>
        <w:right w:val="none" w:sz="0" w:space="0" w:color="auto"/>
      </w:divBdr>
    </w:div>
    <w:div w:id="210386588">
      <w:bodyDiv w:val="1"/>
      <w:marLeft w:val="0"/>
      <w:marRight w:val="0"/>
      <w:marTop w:val="0"/>
      <w:marBottom w:val="0"/>
      <w:divBdr>
        <w:top w:val="none" w:sz="0" w:space="0" w:color="auto"/>
        <w:left w:val="none" w:sz="0" w:space="0" w:color="auto"/>
        <w:bottom w:val="none" w:sz="0" w:space="0" w:color="auto"/>
        <w:right w:val="none" w:sz="0" w:space="0" w:color="auto"/>
      </w:divBdr>
    </w:div>
    <w:div w:id="212083731">
      <w:bodyDiv w:val="1"/>
      <w:marLeft w:val="0"/>
      <w:marRight w:val="0"/>
      <w:marTop w:val="0"/>
      <w:marBottom w:val="0"/>
      <w:divBdr>
        <w:top w:val="none" w:sz="0" w:space="0" w:color="auto"/>
        <w:left w:val="none" w:sz="0" w:space="0" w:color="auto"/>
        <w:bottom w:val="none" w:sz="0" w:space="0" w:color="auto"/>
        <w:right w:val="none" w:sz="0" w:space="0" w:color="auto"/>
      </w:divBdr>
    </w:div>
    <w:div w:id="212738764">
      <w:bodyDiv w:val="1"/>
      <w:marLeft w:val="0"/>
      <w:marRight w:val="0"/>
      <w:marTop w:val="0"/>
      <w:marBottom w:val="0"/>
      <w:divBdr>
        <w:top w:val="none" w:sz="0" w:space="0" w:color="auto"/>
        <w:left w:val="none" w:sz="0" w:space="0" w:color="auto"/>
        <w:bottom w:val="none" w:sz="0" w:space="0" w:color="auto"/>
        <w:right w:val="none" w:sz="0" w:space="0" w:color="auto"/>
      </w:divBdr>
    </w:div>
    <w:div w:id="243338040">
      <w:bodyDiv w:val="1"/>
      <w:marLeft w:val="0"/>
      <w:marRight w:val="0"/>
      <w:marTop w:val="0"/>
      <w:marBottom w:val="0"/>
      <w:divBdr>
        <w:top w:val="none" w:sz="0" w:space="0" w:color="auto"/>
        <w:left w:val="none" w:sz="0" w:space="0" w:color="auto"/>
        <w:bottom w:val="none" w:sz="0" w:space="0" w:color="auto"/>
        <w:right w:val="none" w:sz="0" w:space="0" w:color="auto"/>
      </w:divBdr>
    </w:div>
    <w:div w:id="246353122">
      <w:bodyDiv w:val="1"/>
      <w:marLeft w:val="0"/>
      <w:marRight w:val="0"/>
      <w:marTop w:val="0"/>
      <w:marBottom w:val="0"/>
      <w:divBdr>
        <w:top w:val="none" w:sz="0" w:space="0" w:color="auto"/>
        <w:left w:val="none" w:sz="0" w:space="0" w:color="auto"/>
        <w:bottom w:val="none" w:sz="0" w:space="0" w:color="auto"/>
        <w:right w:val="none" w:sz="0" w:space="0" w:color="auto"/>
      </w:divBdr>
    </w:div>
    <w:div w:id="261689344">
      <w:bodyDiv w:val="1"/>
      <w:marLeft w:val="0"/>
      <w:marRight w:val="0"/>
      <w:marTop w:val="0"/>
      <w:marBottom w:val="0"/>
      <w:divBdr>
        <w:top w:val="none" w:sz="0" w:space="0" w:color="auto"/>
        <w:left w:val="none" w:sz="0" w:space="0" w:color="auto"/>
        <w:bottom w:val="none" w:sz="0" w:space="0" w:color="auto"/>
        <w:right w:val="none" w:sz="0" w:space="0" w:color="auto"/>
      </w:divBdr>
    </w:div>
    <w:div w:id="279993042">
      <w:bodyDiv w:val="1"/>
      <w:marLeft w:val="0"/>
      <w:marRight w:val="0"/>
      <w:marTop w:val="0"/>
      <w:marBottom w:val="0"/>
      <w:divBdr>
        <w:top w:val="none" w:sz="0" w:space="0" w:color="auto"/>
        <w:left w:val="none" w:sz="0" w:space="0" w:color="auto"/>
        <w:bottom w:val="none" w:sz="0" w:space="0" w:color="auto"/>
        <w:right w:val="none" w:sz="0" w:space="0" w:color="auto"/>
      </w:divBdr>
    </w:div>
    <w:div w:id="391537447">
      <w:bodyDiv w:val="1"/>
      <w:marLeft w:val="0"/>
      <w:marRight w:val="0"/>
      <w:marTop w:val="0"/>
      <w:marBottom w:val="0"/>
      <w:divBdr>
        <w:top w:val="none" w:sz="0" w:space="0" w:color="auto"/>
        <w:left w:val="none" w:sz="0" w:space="0" w:color="auto"/>
        <w:bottom w:val="none" w:sz="0" w:space="0" w:color="auto"/>
        <w:right w:val="none" w:sz="0" w:space="0" w:color="auto"/>
      </w:divBdr>
    </w:div>
    <w:div w:id="419914019">
      <w:bodyDiv w:val="1"/>
      <w:marLeft w:val="0"/>
      <w:marRight w:val="0"/>
      <w:marTop w:val="0"/>
      <w:marBottom w:val="0"/>
      <w:divBdr>
        <w:top w:val="none" w:sz="0" w:space="0" w:color="auto"/>
        <w:left w:val="none" w:sz="0" w:space="0" w:color="auto"/>
        <w:bottom w:val="none" w:sz="0" w:space="0" w:color="auto"/>
        <w:right w:val="none" w:sz="0" w:space="0" w:color="auto"/>
      </w:divBdr>
    </w:div>
    <w:div w:id="433668842">
      <w:bodyDiv w:val="1"/>
      <w:marLeft w:val="0"/>
      <w:marRight w:val="0"/>
      <w:marTop w:val="0"/>
      <w:marBottom w:val="0"/>
      <w:divBdr>
        <w:top w:val="none" w:sz="0" w:space="0" w:color="auto"/>
        <w:left w:val="none" w:sz="0" w:space="0" w:color="auto"/>
        <w:bottom w:val="none" w:sz="0" w:space="0" w:color="auto"/>
        <w:right w:val="none" w:sz="0" w:space="0" w:color="auto"/>
      </w:divBdr>
    </w:div>
    <w:div w:id="453523301">
      <w:bodyDiv w:val="1"/>
      <w:marLeft w:val="0"/>
      <w:marRight w:val="0"/>
      <w:marTop w:val="0"/>
      <w:marBottom w:val="0"/>
      <w:divBdr>
        <w:top w:val="none" w:sz="0" w:space="0" w:color="auto"/>
        <w:left w:val="none" w:sz="0" w:space="0" w:color="auto"/>
        <w:bottom w:val="none" w:sz="0" w:space="0" w:color="auto"/>
        <w:right w:val="none" w:sz="0" w:space="0" w:color="auto"/>
      </w:divBdr>
    </w:div>
    <w:div w:id="510530565">
      <w:bodyDiv w:val="1"/>
      <w:marLeft w:val="0"/>
      <w:marRight w:val="0"/>
      <w:marTop w:val="0"/>
      <w:marBottom w:val="0"/>
      <w:divBdr>
        <w:top w:val="none" w:sz="0" w:space="0" w:color="auto"/>
        <w:left w:val="none" w:sz="0" w:space="0" w:color="auto"/>
        <w:bottom w:val="none" w:sz="0" w:space="0" w:color="auto"/>
        <w:right w:val="none" w:sz="0" w:space="0" w:color="auto"/>
      </w:divBdr>
    </w:div>
    <w:div w:id="515651912">
      <w:bodyDiv w:val="1"/>
      <w:marLeft w:val="0"/>
      <w:marRight w:val="0"/>
      <w:marTop w:val="0"/>
      <w:marBottom w:val="0"/>
      <w:divBdr>
        <w:top w:val="none" w:sz="0" w:space="0" w:color="auto"/>
        <w:left w:val="none" w:sz="0" w:space="0" w:color="auto"/>
        <w:bottom w:val="none" w:sz="0" w:space="0" w:color="auto"/>
        <w:right w:val="none" w:sz="0" w:space="0" w:color="auto"/>
      </w:divBdr>
    </w:div>
    <w:div w:id="561868387">
      <w:bodyDiv w:val="1"/>
      <w:marLeft w:val="0"/>
      <w:marRight w:val="0"/>
      <w:marTop w:val="0"/>
      <w:marBottom w:val="0"/>
      <w:divBdr>
        <w:top w:val="none" w:sz="0" w:space="0" w:color="auto"/>
        <w:left w:val="none" w:sz="0" w:space="0" w:color="auto"/>
        <w:bottom w:val="none" w:sz="0" w:space="0" w:color="auto"/>
        <w:right w:val="none" w:sz="0" w:space="0" w:color="auto"/>
      </w:divBdr>
    </w:div>
    <w:div w:id="579484012">
      <w:bodyDiv w:val="1"/>
      <w:marLeft w:val="0"/>
      <w:marRight w:val="0"/>
      <w:marTop w:val="0"/>
      <w:marBottom w:val="0"/>
      <w:divBdr>
        <w:top w:val="none" w:sz="0" w:space="0" w:color="auto"/>
        <w:left w:val="none" w:sz="0" w:space="0" w:color="auto"/>
        <w:bottom w:val="none" w:sz="0" w:space="0" w:color="auto"/>
        <w:right w:val="none" w:sz="0" w:space="0" w:color="auto"/>
      </w:divBdr>
    </w:div>
    <w:div w:id="584608832">
      <w:bodyDiv w:val="1"/>
      <w:marLeft w:val="0"/>
      <w:marRight w:val="0"/>
      <w:marTop w:val="0"/>
      <w:marBottom w:val="0"/>
      <w:divBdr>
        <w:top w:val="none" w:sz="0" w:space="0" w:color="auto"/>
        <w:left w:val="none" w:sz="0" w:space="0" w:color="auto"/>
        <w:bottom w:val="none" w:sz="0" w:space="0" w:color="auto"/>
        <w:right w:val="none" w:sz="0" w:space="0" w:color="auto"/>
      </w:divBdr>
    </w:div>
    <w:div w:id="621889396">
      <w:bodyDiv w:val="1"/>
      <w:marLeft w:val="0"/>
      <w:marRight w:val="0"/>
      <w:marTop w:val="0"/>
      <w:marBottom w:val="0"/>
      <w:divBdr>
        <w:top w:val="none" w:sz="0" w:space="0" w:color="auto"/>
        <w:left w:val="none" w:sz="0" w:space="0" w:color="auto"/>
        <w:bottom w:val="none" w:sz="0" w:space="0" w:color="auto"/>
        <w:right w:val="none" w:sz="0" w:space="0" w:color="auto"/>
      </w:divBdr>
    </w:div>
    <w:div w:id="628896980">
      <w:bodyDiv w:val="1"/>
      <w:marLeft w:val="0"/>
      <w:marRight w:val="0"/>
      <w:marTop w:val="0"/>
      <w:marBottom w:val="0"/>
      <w:divBdr>
        <w:top w:val="none" w:sz="0" w:space="0" w:color="auto"/>
        <w:left w:val="none" w:sz="0" w:space="0" w:color="auto"/>
        <w:bottom w:val="none" w:sz="0" w:space="0" w:color="auto"/>
        <w:right w:val="none" w:sz="0" w:space="0" w:color="auto"/>
      </w:divBdr>
    </w:div>
    <w:div w:id="629046731">
      <w:bodyDiv w:val="1"/>
      <w:marLeft w:val="0"/>
      <w:marRight w:val="0"/>
      <w:marTop w:val="0"/>
      <w:marBottom w:val="0"/>
      <w:divBdr>
        <w:top w:val="none" w:sz="0" w:space="0" w:color="auto"/>
        <w:left w:val="none" w:sz="0" w:space="0" w:color="auto"/>
        <w:bottom w:val="none" w:sz="0" w:space="0" w:color="auto"/>
        <w:right w:val="none" w:sz="0" w:space="0" w:color="auto"/>
      </w:divBdr>
    </w:div>
    <w:div w:id="631978193">
      <w:bodyDiv w:val="1"/>
      <w:marLeft w:val="0"/>
      <w:marRight w:val="0"/>
      <w:marTop w:val="0"/>
      <w:marBottom w:val="0"/>
      <w:divBdr>
        <w:top w:val="none" w:sz="0" w:space="0" w:color="auto"/>
        <w:left w:val="none" w:sz="0" w:space="0" w:color="auto"/>
        <w:bottom w:val="none" w:sz="0" w:space="0" w:color="auto"/>
        <w:right w:val="none" w:sz="0" w:space="0" w:color="auto"/>
      </w:divBdr>
    </w:div>
    <w:div w:id="641471986">
      <w:bodyDiv w:val="1"/>
      <w:marLeft w:val="0"/>
      <w:marRight w:val="0"/>
      <w:marTop w:val="0"/>
      <w:marBottom w:val="0"/>
      <w:divBdr>
        <w:top w:val="none" w:sz="0" w:space="0" w:color="auto"/>
        <w:left w:val="none" w:sz="0" w:space="0" w:color="auto"/>
        <w:bottom w:val="none" w:sz="0" w:space="0" w:color="auto"/>
        <w:right w:val="none" w:sz="0" w:space="0" w:color="auto"/>
      </w:divBdr>
    </w:div>
    <w:div w:id="678653453">
      <w:bodyDiv w:val="1"/>
      <w:marLeft w:val="0"/>
      <w:marRight w:val="0"/>
      <w:marTop w:val="0"/>
      <w:marBottom w:val="0"/>
      <w:divBdr>
        <w:top w:val="none" w:sz="0" w:space="0" w:color="auto"/>
        <w:left w:val="none" w:sz="0" w:space="0" w:color="auto"/>
        <w:bottom w:val="none" w:sz="0" w:space="0" w:color="auto"/>
        <w:right w:val="none" w:sz="0" w:space="0" w:color="auto"/>
      </w:divBdr>
    </w:div>
    <w:div w:id="701906032">
      <w:bodyDiv w:val="1"/>
      <w:marLeft w:val="0"/>
      <w:marRight w:val="0"/>
      <w:marTop w:val="0"/>
      <w:marBottom w:val="0"/>
      <w:divBdr>
        <w:top w:val="none" w:sz="0" w:space="0" w:color="auto"/>
        <w:left w:val="none" w:sz="0" w:space="0" w:color="auto"/>
        <w:bottom w:val="none" w:sz="0" w:space="0" w:color="auto"/>
        <w:right w:val="none" w:sz="0" w:space="0" w:color="auto"/>
      </w:divBdr>
    </w:div>
    <w:div w:id="729153687">
      <w:bodyDiv w:val="1"/>
      <w:marLeft w:val="0"/>
      <w:marRight w:val="0"/>
      <w:marTop w:val="0"/>
      <w:marBottom w:val="0"/>
      <w:divBdr>
        <w:top w:val="none" w:sz="0" w:space="0" w:color="auto"/>
        <w:left w:val="none" w:sz="0" w:space="0" w:color="auto"/>
        <w:bottom w:val="none" w:sz="0" w:space="0" w:color="auto"/>
        <w:right w:val="none" w:sz="0" w:space="0" w:color="auto"/>
      </w:divBdr>
    </w:div>
    <w:div w:id="733164213">
      <w:bodyDiv w:val="1"/>
      <w:marLeft w:val="0"/>
      <w:marRight w:val="0"/>
      <w:marTop w:val="0"/>
      <w:marBottom w:val="0"/>
      <w:divBdr>
        <w:top w:val="none" w:sz="0" w:space="0" w:color="auto"/>
        <w:left w:val="none" w:sz="0" w:space="0" w:color="auto"/>
        <w:bottom w:val="none" w:sz="0" w:space="0" w:color="auto"/>
        <w:right w:val="none" w:sz="0" w:space="0" w:color="auto"/>
      </w:divBdr>
    </w:div>
    <w:div w:id="750156516">
      <w:bodyDiv w:val="1"/>
      <w:marLeft w:val="0"/>
      <w:marRight w:val="0"/>
      <w:marTop w:val="0"/>
      <w:marBottom w:val="0"/>
      <w:divBdr>
        <w:top w:val="none" w:sz="0" w:space="0" w:color="auto"/>
        <w:left w:val="none" w:sz="0" w:space="0" w:color="auto"/>
        <w:bottom w:val="none" w:sz="0" w:space="0" w:color="auto"/>
        <w:right w:val="none" w:sz="0" w:space="0" w:color="auto"/>
      </w:divBdr>
    </w:div>
    <w:div w:id="763385150">
      <w:bodyDiv w:val="1"/>
      <w:marLeft w:val="0"/>
      <w:marRight w:val="0"/>
      <w:marTop w:val="0"/>
      <w:marBottom w:val="0"/>
      <w:divBdr>
        <w:top w:val="none" w:sz="0" w:space="0" w:color="auto"/>
        <w:left w:val="none" w:sz="0" w:space="0" w:color="auto"/>
        <w:bottom w:val="none" w:sz="0" w:space="0" w:color="auto"/>
        <w:right w:val="none" w:sz="0" w:space="0" w:color="auto"/>
      </w:divBdr>
    </w:div>
    <w:div w:id="768351499">
      <w:bodyDiv w:val="1"/>
      <w:marLeft w:val="0"/>
      <w:marRight w:val="0"/>
      <w:marTop w:val="0"/>
      <w:marBottom w:val="0"/>
      <w:divBdr>
        <w:top w:val="none" w:sz="0" w:space="0" w:color="auto"/>
        <w:left w:val="none" w:sz="0" w:space="0" w:color="auto"/>
        <w:bottom w:val="none" w:sz="0" w:space="0" w:color="auto"/>
        <w:right w:val="none" w:sz="0" w:space="0" w:color="auto"/>
      </w:divBdr>
    </w:div>
    <w:div w:id="776561262">
      <w:bodyDiv w:val="1"/>
      <w:marLeft w:val="0"/>
      <w:marRight w:val="0"/>
      <w:marTop w:val="0"/>
      <w:marBottom w:val="0"/>
      <w:divBdr>
        <w:top w:val="none" w:sz="0" w:space="0" w:color="auto"/>
        <w:left w:val="none" w:sz="0" w:space="0" w:color="auto"/>
        <w:bottom w:val="none" w:sz="0" w:space="0" w:color="auto"/>
        <w:right w:val="none" w:sz="0" w:space="0" w:color="auto"/>
      </w:divBdr>
    </w:div>
    <w:div w:id="787431030">
      <w:bodyDiv w:val="1"/>
      <w:marLeft w:val="0"/>
      <w:marRight w:val="0"/>
      <w:marTop w:val="0"/>
      <w:marBottom w:val="0"/>
      <w:divBdr>
        <w:top w:val="none" w:sz="0" w:space="0" w:color="auto"/>
        <w:left w:val="none" w:sz="0" w:space="0" w:color="auto"/>
        <w:bottom w:val="none" w:sz="0" w:space="0" w:color="auto"/>
        <w:right w:val="none" w:sz="0" w:space="0" w:color="auto"/>
      </w:divBdr>
    </w:div>
    <w:div w:id="794061401">
      <w:bodyDiv w:val="1"/>
      <w:marLeft w:val="0"/>
      <w:marRight w:val="0"/>
      <w:marTop w:val="0"/>
      <w:marBottom w:val="0"/>
      <w:divBdr>
        <w:top w:val="none" w:sz="0" w:space="0" w:color="auto"/>
        <w:left w:val="none" w:sz="0" w:space="0" w:color="auto"/>
        <w:bottom w:val="none" w:sz="0" w:space="0" w:color="auto"/>
        <w:right w:val="none" w:sz="0" w:space="0" w:color="auto"/>
      </w:divBdr>
    </w:div>
    <w:div w:id="812530078">
      <w:bodyDiv w:val="1"/>
      <w:marLeft w:val="0"/>
      <w:marRight w:val="0"/>
      <w:marTop w:val="0"/>
      <w:marBottom w:val="0"/>
      <w:divBdr>
        <w:top w:val="none" w:sz="0" w:space="0" w:color="auto"/>
        <w:left w:val="none" w:sz="0" w:space="0" w:color="auto"/>
        <w:bottom w:val="none" w:sz="0" w:space="0" w:color="auto"/>
        <w:right w:val="none" w:sz="0" w:space="0" w:color="auto"/>
      </w:divBdr>
    </w:div>
    <w:div w:id="814251880">
      <w:bodyDiv w:val="1"/>
      <w:marLeft w:val="0"/>
      <w:marRight w:val="0"/>
      <w:marTop w:val="0"/>
      <w:marBottom w:val="0"/>
      <w:divBdr>
        <w:top w:val="none" w:sz="0" w:space="0" w:color="auto"/>
        <w:left w:val="none" w:sz="0" w:space="0" w:color="auto"/>
        <w:bottom w:val="none" w:sz="0" w:space="0" w:color="auto"/>
        <w:right w:val="none" w:sz="0" w:space="0" w:color="auto"/>
      </w:divBdr>
    </w:div>
    <w:div w:id="833186062">
      <w:bodyDiv w:val="1"/>
      <w:marLeft w:val="0"/>
      <w:marRight w:val="0"/>
      <w:marTop w:val="0"/>
      <w:marBottom w:val="0"/>
      <w:divBdr>
        <w:top w:val="none" w:sz="0" w:space="0" w:color="auto"/>
        <w:left w:val="none" w:sz="0" w:space="0" w:color="auto"/>
        <w:bottom w:val="none" w:sz="0" w:space="0" w:color="auto"/>
        <w:right w:val="none" w:sz="0" w:space="0" w:color="auto"/>
      </w:divBdr>
    </w:div>
    <w:div w:id="890530842">
      <w:bodyDiv w:val="1"/>
      <w:marLeft w:val="0"/>
      <w:marRight w:val="0"/>
      <w:marTop w:val="0"/>
      <w:marBottom w:val="0"/>
      <w:divBdr>
        <w:top w:val="none" w:sz="0" w:space="0" w:color="auto"/>
        <w:left w:val="none" w:sz="0" w:space="0" w:color="auto"/>
        <w:bottom w:val="none" w:sz="0" w:space="0" w:color="auto"/>
        <w:right w:val="none" w:sz="0" w:space="0" w:color="auto"/>
      </w:divBdr>
    </w:div>
    <w:div w:id="898593793">
      <w:bodyDiv w:val="1"/>
      <w:marLeft w:val="0"/>
      <w:marRight w:val="0"/>
      <w:marTop w:val="0"/>
      <w:marBottom w:val="0"/>
      <w:divBdr>
        <w:top w:val="none" w:sz="0" w:space="0" w:color="auto"/>
        <w:left w:val="none" w:sz="0" w:space="0" w:color="auto"/>
        <w:bottom w:val="none" w:sz="0" w:space="0" w:color="auto"/>
        <w:right w:val="none" w:sz="0" w:space="0" w:color="auto"/>
      </w:divBdr>
    </w:div>
    <w:div w:id="929385479">
      <w:bodyDiv w:val="1"/>
      <w:marLeft w:val="0"/>
      <w:marRight w:val="0"/>
      <w:marTop w:val="0"/>
      <w:marBottom w:val="0"/>
      <w:divBdr>
        <w:top w:val="none" w:sz="0" w:space="0" w:color="auto"/>
        <w:left w:val="none" w:sz="0" w:space="0" w:color="auto"/>
        <w:bottom w:val="none" w:sz="0" w:space="0" w:color="auto"/>
        <w:right w:val="none" w:sz="0" w:space="0" w:color="auto"/>
      </w:divBdr>
    </w:div>
    <w:div w:id="947273688">
      <w:bodyDiv w:val="1"/>
      <w:marLeft w:val="0"/>
      <w:marRight w:val="0"/>
      <w:marTop w:val="0"/>
      <w:marBottom w:val="0"/>
      <w:divBdr>
        <w:top w:val="none" w:sz="0" w:space="0" w:color="auto"/>
        <w:left w:val="none" w:sz="0" w:space="0" w:color="auto"/>
        <w:bottom w:val="none" w:sz="0" w:space="0" w:color="auto"/>
        <w:right w:val="none" w:sz="0" w:space="0" w:color="auto"/>
      </w:divBdr>
    </w:div>
    <w:div w:id="957178032">
      <w:bodyDiv w:val="1"/>
      <w:marLeft w:val="0"/>
      <w:marRight w:val="0"/>
      <w:marTop w:val="0"/>
      <w:marBottom w:val="0"/>
      <w:divBdr>
        <w:top w:val="none" w:sz="0" w:space="0" w:color="auto"/>
        <w:left w:val="none" w:sz="0" w:space="0" w:color="auto"/>
        <w:bottom w:val="none" w:sz="0" w:space="0" w:color="auto"/>
        <w:right w:val="none" w:sz="0" w:space="0" w:color="auto"/>
      </w:divBdr>
    </w:div>
    <w:div w:id="985471958">
      <w:bodyDiv w:val="1"/>
      <w:marLeft w:val="0"/>
      <w:marRight w:val="0"/>
      <w:marTop w:val="0"/>
      <w:marBottom w:val="0"/>
      <w:divBdr>
        <w:top w:val="none" w:sz="0" w:space="0" w:color="auto"/>
        <w:left w:val="none" w:sz="0" w:space="0" w:color="auto"/>
        <w:bottom w:val="none" w:sz="0" w:space="0" w:color="auto"/>
        <w:right w:val="none" w:sz="0" w:space="0" w:color="auto"/>
      </w:divBdr>
    </w:div>
    <w:div w:id="988168732">
      <w:bodyDiv w:val="1"/>
      <w:marLeft w:val="0"/>
      <w:marRight w:val="0"/>
      <w:marTop w:val="0"/>
      <w:marBottom w:val="0"/>
      <w:divBdr>
        <w:top w:val="none" w:sz="0" w:space="0" w:color="auto"/>
        <w:left w:val="none" w:sz="0" w:space="0" w:color="auto"/>
        <w:bottom w:val="none" w:sz="0" w:space="0" w:color="auto"/>
        <w:right w:val="none" w:sz="0" w:space="0" w:color="auto"/>
      </w:divBdr>
    </w:div>
    <w:div w:id="1011562571">
      <w:bodyDiv w:val="1"/>
      <w:marLeft w:val="0"/>
      <w:marRight w:val="0"/>
      <w:marTop w:val="0"/>
      <w:marBottom w:val="0"/>
      <w:divBdr>
        <w:top w:val="none" w:sz="0" w:space="0" w:color="auto"/>
        <w:left w:val="none" w:sz="0" w:space="0" w:color="auto"/>
        <w:bottom w:val="none" w:sz="0" w:space="0" w:color="auto"/>
        <w:right w:val="none" w:sz="0" w:space="0" w:color="auto"/>
      </w:divBdr>
    </w:div>
    <w:div w:id="1024751716">
      <w:bodyDiv w:val="1"/>
      <w:marLeft w:val="0"/>
      <w:marRight w:val="0"/>
      <w:marTop w:val="0"/>
      <w:marBottom w:val="0"/>
      <w:divBdr>
        <w:top w:val="none" w:sz="0" w:space="0" w:color="auto"/>
        <w:left w:val="none" w:sz="0" w:space="0" w:color="auto"/>
        <w:bottom w:val="none" w:sz="0" w:space="0" w:color="auto"/>
        <w:right w:val="none" w:sz="0" w:space="0" w:color="auto"/>
      </w:divBdr>
    </w:div>
    <w:div w:id="1038701899">
      <w:bodyDiv w:val="1"/>
      <w:marLeft w:val="0"/>
      <w:marRight w:val="0"/>
      <w:marTop w:val="0"/>
      <w:marBottom w:val="0"/>
      <w:divBdr>
        <w:top w:val="none" w:sz="0" w:space="0" w:color="auto"/>
        <w:left w:val="none" w:sz="0" w:space="0" w:color="auto"/>
        <w:bottom w:val="none" w:sz="0" w:space="0" w:color="auto"/>
        <w:right w:val="none" w:sz="0" w:space="0" w:color="auto"/>
      </w:divBdr>
    </w:div>
    <w:div w:id="1077942627">
      <w:bodyDiv w:val="1"/>
      <w:marLeft w:val="0"/>
      <w:marRight w:val="0"/>
      <w:marTop w:val="0"/>
      <w:marBottom w:val="0"/>
      <w:divBdr>
        <w:top w:val="none" w:sz="0" w:space="0" w:color="auto"/>
        <w:left w:val="none" w:sz="0" w:space="0" w:color="auto"/>
        <w:bottom w:val="none" w:sz="0" w:space="0" w:color="auto"/>
        <w:right w:val="none" w:sz="0" w:space="0" w:color="auto"/>
      </w:divBdr>
    </w:div>
    <w:div w:id="1133329710">
      <w:bodyDiv w:val="1"/>
      <w:marLeft w:val="0"/>
      <w:marRight w:val="0"/>
      <w:marTop w:val="0"/>
      <w:marBottom w:val="0"/>
      <w:divBdr>
        <w:top w:val="none" w:sz="0" w:space="0" w:color="auto"/>
        <w:left w:val="none" w:sz="0" w:space="0" w:color="auto"/>
        <w:bottom w:val="none" w:sz="0" w:space="0" w:color="auto"/>
        <w:right w:val="none" w:sz="0" w:space="0" w:color="auto"/>
      </w:divBdr>
    </w:div>
    <w:div w:id="1135173299">
      <w:bodyDiv w:val="1"/>
      <w:marLeft w:val="0"/>
      <w:marRight w:val="0"/>
      <w:marTop w:val="0"/>
      <w:marBottom w:val="0"/>
      <w:divBdr>
        <w:top w:val="none" w:sz="0" w:space="0" w:color="auto"/>
        <w:left w:val="none" w:sz="0" w:space="0" w:color="auto"/>
        <w:bottom w:val="none" w:sz="0" w:space="0" w:color="auto"/>
        <w:right w:val="none" w:sz="0" w:space="0" w:color="auto"/>
      </w:divBdr>
    </w:div>
    <w:div w:id="1198472621">
      <w:bodyDiv w:val="1"/>
      <w:marLeft w:val="0"/>
      <w:marRight w:val="0"/>
      <w:marTop w:val="0"/>
      <w:marBottom w:val="0"/>
      <w:divBdr>
        <w:top w:val="none" w:sz="0" w:space="0" w:color="auto"/>
        <w:left w:val="none" w:sz="0" w:space="0" w:color="auto"/>
        <w:bottom w:val="none" w:sz="0" w:space="0" w:color="auto"/>
        <w:right w:val="none" w:sz="0" w:space="0" w:color="auto"/>
      </w:divBdr>
    </w:div>
    <w:div w:id="1206912568">
      <w:bodyDiv w:val="1"/>
      <w:marLeft w:val="0"/>
      <w:marRight w:val="0"/>
      <w:marTop w:val="0"/>
      <w:marBottom w:val="0"/>
      <w:divBdr>
        <w:top w:val="none" w:sz="0" w:space="0" w:color="auto"/>
        <w:left w:val="none" w:sz="0" w:space="0" w:color="auto"/>
        <w:bottom w:val="none" w:sz="0" w:space="0" w:color="auto"/>
        <w:right w:val="none" w:sz="0" w:space="0" w:color="auto"/>
      </w:divBdr>
    </w:div>
    <w:div w:id="1221407610">
      <w:bodyDiv w:val="1"/>
      <w:marLeft w:val="0"/>
      <w:marRight w:val="0"/>
      <w:marTop w:val="0"/>
      <w:marBottom w:val="0"/>
      <w:divBdr>
        <w:top w:val="none" w:sz="0" w:space="0" w:color="auto"/>
        <w:left w:val="none" w:sz="0" w:space="0" w:color="auto"/>
        <w:bottom w:val="none" w:sz="0" w:space="0" w:color="auto"/>
        <w:right w:val="none" w:sz="0" w:space="0" w:color="auto"/>
      </w:divBdr>
    </w:div>
    <w:div w:id="1226532560">
      <w:bodyDiv w:val="1"/>
      <w:marLeft w:val="0"/>
      <w:marRight w:val="0"/>
      <w:marTop w:val="0"/>
      <w:marBottom w:val="0"/>
      <w:divBdr>
        <w:top w:val="none" w:sz="0" w:space="0" w:color="auto"/>
        <w:left w:val="none" w:sz="0" w:space="0" w:color="auto"/>
        <w:bottom w:val="none" w:sz="0" w:space="0" w:color="auto"/>
        <w:right w:val="none" w:sz="0" w:space="0" w:color="auto"/>
      </w:divBdr>
    </w:div>
    <w:div w:id="1253785388">
      <w:bodyDiv w:val="1"/>
      <w:marLeft w:val="0"/>
      <w:marRight w:val="0"/>
      <w:marTop w:val="0"/>
      <w:marBottom w:val="0"/>
      <w:divBdr>
        <w:top w:val="none" w:sz="0" w:space="0" w:color="auto"/>
        <w:left w:val="none" w:sz="0" w:space="0" w:color="auto"/>
        <w:bottom w:val="none" w:sz="0" w:space="0" w:color="auto"/>
        <w:right w:val="none" w:sz="0" w:space="0" w:color="auto"/>
      </w:divBdr>
    </w:div>
    <w:div w:id="1255166858">
      <w:bodyDiv w:val="1"/>
      <w:marLeft w:val="0"/>
      <w:marRight w:val="0"/>
      <w:marTop w:val="0"/>
      <w:marBottom w:val="0"/>
      <w:divBdr>
        <w:top w:val="none" w:sz="0" w:space="0" w:color="auto"/>
        <w:left w:val="none" w:sz="0" w:space="0" w:color="auto"/>
        <w:bottom w:val="none" w:sz="0" w:space="0" w:color="auto"/>
        <w:right w:val="none" w:sz="0" w:space="0" w:color="auto"/>
      </w:divBdr>
    </w:div>
    <w:div w:id="1268542794">
      <w:bodyDiv w:val="1"/>
      <w:marLeft w:val="0"/>
      <w:marRight w:val="0"/>
      <w:marTop w:val="0"/>
      <w:marBottom w:val="0"/>
      <w:divBdr>
        <w:top w:val="none" w:sz="0" w:space="0" w:color="auto"/>
        <w:left w:val="none" w:sz="0" w:space="0" w:color="auto"/>
        <w:bottom w:val="none" w:sz="0" w:space="0" w:color="auto"/>
        <w:right w:val="none" w:sz="0" w:space="0" w:color="auto"/>
      </w:divBdr>
    </w:div>
    <w:div w:id="1312756027">
      <w:bodyDiv w:val="1"/>
      <w:marLeft w:val="0"/>
      <w:marRight w:val="0"/>
      <w:marTop w:val="0"/>
      <w:marBottom w:val="0"/>
      <w:divBdr>
        <w:top w:val="none" w:sz="0" w:space="0" w:color="auto"/>
        <w:left w:val="none" w:sz="0" w:space="0" w:color="auto"/>
        <w:bottom w:val="none" w:sz="0" w:space="0" w:color="auto"/>
        <w:right w:val="none" w:sz="0" w:space="0" w:color="auto"/>
      </w:divBdr>
    </w:div>
    <w:div w:id="1323970756">
      <w:bodyDiv w:val="1"/>
      <w:marLeft w:val="0"/>
      <w:marRight w:val="0"/>
      <w:marTop w:val="0"/>
      <w:marBottom w:val="0"/>
      <w:divBdr>
        <w:top w:val="none" w:sz="0" w:space="0" w:color="auto"/>
        <w:left w:val="none" w:sz="0" w:space="0" w:color="auto"/>
        <w:bottom w:val="none" w:sz="0" w:space="0" w:color="auto"/>
        <w:right w:val="none" w:sz="0" w:space="0" w:color="auto"/>
      </w:divBdr>
    </w:div>
    <w:div w:id="1324747308">
      <w:bodyDiv w:val="1"/>
      <w:marLeft w:val="0"/>
      <w:marRight w:val="0"/>
      <w:marTop w:val="0"/>
      <w:marBottom w:val="0"/>
      <w:divBdr>
        <w:top w:val="none" w:sz="0" w:space="0" w:color="auto"/>
        <w:left w:val="none" w:sz="0" w:space="0" w:color="auto"/>
        <w:bottom w:val="none" w:sz="0" w:space="0" w:color="auto"/>
        <w:right w:val="none" w:sz="0" w:space="0" w:color="auto"/>
      </w:divBdr>
    </w:div>
    <w:div w:id="1376395131">
      <w:bodyDiv w:val="1"/>
      <w:marLeft w:val="0"/>
      <w:marRight w:val="0"/>
      <w:marTop w:val="0"/>
      <w:marBottom w:val="0"/>
      <w:divBdr>
        <w:top w:val="none" w:sz="0" w:space="0" w:color="auto"/>
        <w:left w:val="none" w:sz="0" w:space="0" w:color="auto"/>
        <w:bottom w:val="none" w:sz="0" w:space="0" w:color="auto"/>
        <w:right w:val="none" w:sz="0" w:space="0" w:color="auto"/>
      </w:divBdr>
    </w:div>
    <w:div w:id="1420171563">
      <w:bodyDiv w:val="1"/>
      <w:marLeft w:val="0"/>
      <w:marRight w:val="0"/>
      <w:marTop w:val="0"/>
      <w:marBottom w:val="0"/>
      <w:divBdr>
        <w:top w:val="none" w:sz="0" w:space="0" w:color="auto"/>
        <w:left w:val="none" w:sz="0" w:space="0" w:color="auto"/>
        <w:bottom w:val="none" w:sz="0" w:space="0" w:color="auto"/>
        <w:right w:val="none" w:sz="0" w:space="0" w:color="auto"/>
      </w:divBdr>
    </w:div>
    <w:div w:id="1420374031">
      <w:bodyDiv w:val="1"/>
      <w:marLeft w:val="0"/>
      <w:marRight w:val="0"/>
      <w:marTop w:val="0"/>
      <w:marBottom w:val="0"/>
      <w:divBdr>
        <w:top w:val="none" w:sz="0" w:space="0" w:color="auto"/>
        <w:left w:val="none" w:sz="0" w:space="0" w:color="auto"/>
        <w:bottom w:val="none" w:sz="0" w:space="0" w:color="auto"/>
        <w:right w:val="none" w:sz="0" w:space="0" w:color="auto"/>
      </w:divBdr>
    </w:div>
    <w:div w:id="1427582444">
      <w:bodyDiv w:val="1"/>
      <w:marLeft w:val="0"/>
      <w:marRight w:val="0"/>
      <w:marTop w:val="0"/>
      <w:marBottom w:val="0"/>
      <w:divBdr>
        <w:top w:val="none" w:sz="0" w:space="0" w:color="auto"/>
        <w:left w:val="none" w:sz="0" w:space="0" w:color="auto"/>
        <w:bottom w:val="none" w:sz="0" w:space="0" w:color="auto"/>
        <w:right w:val="none" w:sz="0" w:space="0" w:color="auto"/>
      </w:divBdr>
    </w:div>
    <w:div w:id="1473400887">
      <w:bodyDiv w:val="1"/>
      <w:marLeft w:val="0"/>
      <w:marRight w:val="0"/>
      <w:marTop w:val="0"/>
      <w:marBottom w:val="0"/>
      <w:divBdr>
        <w:top w:val="none" w:sz="0" w:space="0" w:color="auto"/>
        <w:left w:val="none" w:sz="0" w:space="0" w:color="auto"/>
        <w:bottom w:val="none" w:sz="0" w:space="0" w:color="auto"/>
        <w:right w:val="none" w:sz="0" w:space="0" w:color="auto"/>
      </w:divBdr>
    </w:div>
    <w:div w:id="1497843412">
      <w:bodyDiv w:val="1"/>
      <w:marLeft w:val="0"/>
      <w:marRight w:val="0"/>
      <w:marTop w:val="0"/>
      <w:marBottom w:val="0"/>
      <w:divBdr>
        <w:top w:val="none" w:sz="0" w:space="0" w:color="auto"/>
        <w:left w:val="none" w:sz="0" w:space="0" w:color="auto"/>
        <w:bottom w:val="none" w:sz="0" w:space="0" w:color="auto"/>
        <w:right w:val="none" w:sz="0" w:space="0" w:color="auto"/>
      </w:divBdr>
    </w:div>
    <w:div w:id="1513374343">
      <w:bodyDiv w:val="1"/>
      <w:marLeft w:val="0"/>
      <w:marRight w:val="0"/>
      <w:marTop w:val="0"/>
      <w:marBottom w:val="0"/>
      <w:divBdr>
        <w:top w:val="none" w:sz="0" w:space="0" w:color="auto"/>
        <w:left w:val="none" w:sz="0" w:space="0" w:color="auto"/>
        <w:bottom w:val="none" w:sz="0" w:space="0" w:color="auto"/>
        <w:right w:val="none" w:sz="0" w:space="0" w:color="auto"/>
      </w:divBdr>
    </w:div>
    <w:div w:id="1534070665">
      <w:bodyDiv w:val="1"/>
      <w:marLeft w:val="0"/>
      <w:marRight w:val="0"/>
      <w:marTop w:val="0"/>
      <w:marBottom w:val="0"/>
      <w:divBdr>
        <w:top w:val="none" w:sz="0" w:space="0" w:color="auto"/>
        <w:left w:val="none" w:sz="0" w:space="0" w:color="auto"/>
        <w:bottom w:val="none" w:sz="0" w:space="0" w:color="auto"/>
        <w:right w:val="none" w:sz="0" w:space="0" w:color="auto"/>
      </w:divBdr>
    </w:div>
    <w:div w:id="1538354248">
      <w:bodyDiv w:val="1"/>
      <w:marLeft w:val="0"/>
      <w:marRight w:val="0"/>
      <w:marTop w:val="0"/>
      <w:marBottom w:val="0"/>
      <w:divBdr>
        <w:top w:val="none" w:sz="0" w:space="0" w:color="auto"/>
        <w:left w:val="none" w:sz="0" w:space="0" w:color="auto"/>
        <w:bottom w:val="none" w:sz="0" w:space="0" w:color="auto"/>
        <w:right w:val="none" w:sz="0" w:space="0" w:color="auto"/>
      </w:divBdr>
    </w:div>
    <w:div w:id="1541893522">
      <w:bodyDiv w:val="1"/>
      <w:marLeft w:val="0"/>
      <w:marRight w:val="0"/>
      <w:marTop w:val="0"/>
      <w:marBottom w:val="0"/>
      <w:divBdr>
        <w:top w:val="none" w:sz="0" w:space="0" w:color="auto"/>
        <w:left w:val="none" w:sz="0" w:space="0" w:color="auto"/>
        <w:bottom w:val="none" w:sz="0" w:space="0" w:color="auto"/>
        <w:right w:val="none" w:sz="0" w:space="0" w:color="auto"/>
      </w:divBdr>
    </w:div>
    <w:div w:id="1607883955">
      <w:bodyDiv w:val="1"/>
      <w:marLeft w:val="0"/>
      <w:marRight w:val="0"/>
      <w:marTop w:val="0"/>
      <w:marBottom w:val="0"/>
      <w:divBdr>
        <w:top w:val="none" w:sz="0" w:space="0" w:color="auto"/>
        <w:left w:val="none" w:sz="0" w:space="0" w:color="auto"/>
        <w:bottom w:val="none" w:sz="0" w:space="0" w:color="auto"/>
        <w:right w:val="none" w:sz="0" w:space="0" w:color="auto"/>
      </w:divBdr>
    </w:div>
    <w:div w:id="1628779849">
      <w:bodyDiv w:val="1"/>
      <w:marLeft w:val="0"/>
      <w:marRight w:val="0"/>
      <w:marTop w:val="0"/>
      <w:marBottom w:val="0"/>
      <w:divBdr>
        <w:top w:val="none" w:sz="0" w:space="0" w:color="auto"/>
        <w:left w:val="none" w:sz="0" w:space="0" w:color="auto"/>
        <w:bottom w:val="none" w:sz="0" w:space="0" w:color="auto"/>
        <w:right w:val="none" w:sz="0" w:space="0" w:color="auto"/>
      </w:divBdr>
    </w:div>
    <w:div w:id="1631283839">
      <w:bodyDiv w:val="1"/>
      <w:marLeft w:val="0"/>
      <w:marRight w:val="0"/>
      <w:marTop w:val="0"/>
      <w:marBottom w:val="0"/>
      <w:divBdr>
        <w:top w:val="none" w:sz="0" w:space="0" w:color="auto"/>
        <w:left w:val="none" w:sz="0" w:space="0" w:color="auto"/>
        <w:bottom w:val="none" w:sz="0" w:space="0" w:color="auto"/>
        <w:right w:val="none" w:sz="0" w:space="0" w:color="auto"/>
      </w:divBdr>
    </w:div>
    <w:div w:id="1631590635">
      <w:bodyDiv w:val="1"/>
      <w:marLeft w:val="0"/>
      <w:marRight w:val="0"/>
      <w:marTop w:val="0"/>
      <w:marBottom w:val="0"/>
      <w:divBdr>
        <w:top w:val="none" w:sz="0" w:space="0" w:color="auto"/>
        <w:left w:val="none" w:sz="0" w:space="0" w:color="auto"/>
        <w:bottom w:val="none" w:sz="0" w:space="0" w:color="auto"/>
        <w:right w:val="none" w:sz="0" w:space="0" w:color="auto"/>
      </w:divBdr>
    </w:div>
    <w:div w:id="1650596830">
      <w:bodyDiv w:val="1"/>
      <w:marLeft w:val="0"/>
      <w:marRight w:val="0"/>
      <w:marTop w:val="0"/>
      <w:marBottom w:val="0"/>
      <w:divBdr>
        <w:top w:val="none" w:sz="0" w:space="0" w:color="auto"/>
        <w:left w:val="none" w:sz="0" w:space="0" w:color="auto"/>
        <w:bottom w:val="none" w:sz="0" w:space="0" w:color="auto"/>
        <w:right w:val="none" w:sz="0" w:space="0" w:color="auto"/>
      </w:divBdr>
    </w:div>
    <w:div w:id="1654025991">
      <w:bodyDiv w:val="1"/>
      <w:marLeft w:val="0"/>
      <w:marRight w:val="0"/>
      <w:marTop w:val="0"/>
      <w:marBottom w:val="0"/>
      <w:divBdr>
        <w:top w:val="none" w:sz="0" w:space="0" w:color="auto"/>
        <w:left w:val="none" w:sz="0" w:space="0" w:color="auto"/>
        <w:bottom w:val="none" w:sz="0" w:space="0" w:color="auto"/>
        <w:right w:val="none" w:sz="0" w:space="0" w:color="auto"/>
      </w:divBdr>
    </w:div>
    <w:div w:id="1666014678">
      <w:bodyDiv w:val="1"/>
      <w:marLeft w:val="0"/>
      <w:marRight w:val="0"/>
      <w:marTop w:val="0"/>
      <w:marBottom w:val="0"/>
      <w:divBdr>
        <w:top w:val="none" w:sz="0" w:space="0" w:color="auto"/>
        <w:left w:val="none" w:sz="0" w:space="0" w:color="auto"/>
        <w:bottom w:val="none" w:sz="0" w:space="0" w:color="auto"/>
        <w:right w:val="none" w:sz="0" w:space="0" w:color="auto"/>
      </w:divBdr>
    </w:div>
    <w:div w:id="1679581947">
      <w:bodyDiv w:val="1"/>
      <w:marLeft w:val="0"/>
      <w:marRight w:val="0"/>
      <w:marTop w:val="0"/>
      <w:marBottom w:val="0"/>
      <w:divBdr>
        <w:top w:val="none" w:sz="0" w:space="0" w:color="auto"/>
        <w:left w:val="none" w:sz="0" w:space="0" w:color="auto"/>
        <w:bottom w:val="none" w:sz="0" w:space="0" w:color="auto"/>
        <w:right w:val="none" w:sz="0" w:space="0" w:color="auto"/>
      </w:divBdr>
    </w:div>
    <w:div w:id="1701315379">
      <w:bodyDiv w:val="1"/>
      <w:marLeft w:val="0"/>
      <w:marRight w:val="0"/>
      <w:marTop w:val="0"/>
      <w:marBottom w:val="0"/>
      <w:divBdr>
        <w:top w:val="none" w:sz="0" w:space="0" w:color="auto"/>
        <w:left w:val="none" w:sz="0" w:space="0" w:color="auto"/>
        <w:bottom w:val="none" w:sz="0" w:space="0" w:color="auto"/>
        <w:right w:val="none" w:sz="0" w:space="0" w:color="auto"/>
      </w:divBdr>
    </w:div>
    <w:div w:id="1750153786">
      <w:bodyDiv w:val="1"/>
      <w:marLeft w:val="0"/>
      <w:marRight w:val="0"/>
      <w:marTop w:val="0"/>
      <w:marBottom w:val="0"/>
      <w:divBdr>
        <w:top w:val="none" w:sz="0" w:space="0" w:color="auto"/>
        <w:left w:val="none" w:sz="0" w:space="0" w:color="auto"/>
        <w:bottom w:val="none" w:sz="0" w:space="0" w:color="auto"/>
        <w:right w:val="none" w:sz="0" w:space="0" w:color="auto"/>
      </w:divBdr>
    </w:div>
    <w:div w:id="1761947244">
      <w:bodyDiv w:val="1"/>
      <w:marLeft w:val="0"/>
      <w:marRight w:val="0"/>
      <w:marTop w:val="0"/>
      <w:marBottom w:val="0"/>
      <w:divBdr>
        <w:top w:val="none" w:sz="0" w:space="0" w:color="auto"/>
        <w:left w:val="none" w:sz="0" w:space="0" w:color="auto"/>
        <w:bottom w:val="none" w:sz="0" w:space="0" w:color="auto"/>
        <w:right w:val="none" w:sz="0" w:space="0" w:color="auto"/>
      </w:divBdr>
    </w:div>
    <w:div w:id="1783453986">
      <w:bodyDiv w:val="1"/>
      <w:marLeft w:val="0"/>
      <w:marRight w:val="0"/>
      <w:marTop w:val="0"/>
      <w:marBottom w:val="0"/>
      <w:divBdr>
        <w:top w:val="none" w:sz="0" w:space="0" w:color="auto"/>
        <w:left w:val="none" w:sz="0" w:space="0" w:color="auto"/>
        <w:bottom w:val="none" w:sz="0" w:space="0" w:color="auto"/>
        <w:right w:val="none" w:sz="0" w:space="0" w:color="auto"/>
      </w:divBdr>
    </w:div>
    <w:div w:id="1811362430">
      <w:bodyDiv w:val="1"/>
      <w:marLeft w:val="0"/>
      <w:marRight w:val="0"/>
      <w:marTop w:val="0"/>
      <w:marBottom w:val="0"/>
      <w:divBdr>
        <w:top w:val="none" w:sz="0" w:space="0" w:color="auto"/>
        <w:left w:val="none" w:sz="0" w:space="0" w:color="auto"/>
        <w:bottom w:val="none" w:sz="0" w:space="0" w:color="auto"/>
        <w:right w:val="none" w:sz="0" w:space="0" w:color="auto"/>
      </w:divBdr>
    </w:div>
    <w:div w:id="1823422600">
      <w:bodyDiv w:val="1"/>
      <w:marLeft w:val="0"/>
      <w:marRight w:val="0"/>
      <w:marTop w:val="0"/>
      <w:marBottom w:val="0"/>
      <w:divBdr>
        <w:top w:val="none" w:sz="0" w:space="0" w:color="auto"/>
        <w:left w:val="none" w:sz="0" w:space="0" w:color="auto"/>
        <w:bottom w:val="none" w:sz="0" w:space="0" w:color="auto"/>
        <w:right w:val="none" w:sz="0" w:space="0" w:color="auto"/>
      </w:divBdr>
    </w:div>
    <w:div w:id="1862627623">
      <w:bodyDiv w:val="1"/>
      <w:marLeft w:val="0"/>
      <w:marRight w:val="0"/>
      <w:marTop w:val="0"/>
      <w:marBottom w:val="0"/>
      <w:divBdr>
        <w:top w:val="none" w:sz="0" w:space="0" w:color="auto"/>
        <w:left w:val="none" w:sz="0" w:space="0" w:color="auto"/>
        <w:bottom w:val="none" w:sz="0" w:space="0" w:color="auto"/>
        <w:right w:val="none" w:sz="0" w:space="0" w:color="auto"/>
      </w:divBdr>
    </w:div>
    <w:div w:id="1906644405">
      <w:bodyDiv w:val="1"/>
      <w:marLeft w:val="0"/>
      <w:marRight w:val="0"/>
      <w:marTop w:val="0"/>
      <w:marBottom w:val="0"/>
      <w:divBdr>
        <w:top w:val="none" w:sz="0" w:space="0" w:color="auto"/>
        <w:left w:val="none" w:sz="0" w:space="0" w:color="auto"/>
        <w:bottom w:val="none" w:sz="0" w:space="0" w:color="auto"/>
        <w:right w:val="none" w:sz="0" w:space="0" w:color="auto"/>
      </w:divBdr>
    </w:div>
    <w:div w:id="1908419350">
      <w:bodyDiv w:val="1"/>
      <w:marLeft w:val="0"/>
      <w:marRight w:val="0"/>
      <w:marTop w:val="0"/>
      <w:marBottom w:val="0"/>
      <w:divBdr>
        <w:top w:val="none" w:sz="0" w:space="0" w:color="auto"/>
        <w:left w:val="none" w:sz="0" w:space="0" w:color="auto"/>
        <w:bottom w:val="none" w:sz="0" w:space="0" w:color="auto"/>
        <w:right w:val="none" w:sz="0" w:space="0" w:color="auto"/>
      </w:divBdr>
    </w:div>
    <w:div w:id="1928225187">
      <w:bodyDiv w:val="1"/>
      <w:marLeft w:val="0"/>
      <w:marRight w:val="0"/>
      <w:marTop w:val="0"/>
      <w:marBottom w:val="0"/>
      <w:divBdr>
        <w:top w:val="none" w:sz="0" w:space="0" w:color="auto"/>
        <w:left w:val="none" w:sz="0" w:space="0" w:color="auto"/>
        <w:bottom w:val="none" w:sz="0" w:space="0" w:color="auto"/>
        <w:right w:val="none" w:sz="0" w:space="0" w:color="auto"/>
      </w:divBdr>
    </w:div>
    <w:div w:id="1930388943">
      <w:bodyDiv w:val="1"/>
      <w:marLeft w:val="0"/>
      <w:marRight w:val="0"/>
      <w:marTop w:val="0"/>
      <w:marBottom w:val="0"/>
      <w:divBdr>
        <w:top w:val="none" w:sz="0" w:space="0" w:color="auto"/>
        <w:left w:val="none" w:sz="0" w:space="0" w:color="auto"/>
        <w:bottom w:val="none" w:sz="0" w:space="0" w:color="auto"/>
        <w:right w:val="none" w:sz="0" w:space="0" w:color="auto"/>
      </w:divBdr>
    </w:div>
    <w:div w:id="1989244381">
      <w:bodyDiv w:val="1"/>
      <w:marLeft w:val="0"/>
      <w:marRight w:val="0"/>
      <w:marTop w:val="0"/>
      <w:marBottom w:val="0"/>
      <w:divBdr>
        <w:top w:val="none" w:sz="0" w:space="0" w:color="auto"/>
        <w:left w:val="none" w:sz="0" w:space="0" w:color="auto"/>
        <w:bottom w:val="none" w:sz="0" w:space="0" w:color="auto"/>
        <w:right w:val="none" w:sz="0" w:space="0" w:color="auto"/>
      </w:divBdr>
    </w:div>
    <w:div w:id="1996449280">
      <w:bodyDiv w:val="1"/>
      <w:marLeft w:val="0"/>
      <w:marRight w:val="0"/>
      <w:marTop w:val="0"/>
      <w:marBottom w:val="0"/>
      <w:divBdr>
        <w:top w:val="none" w:sz="0" w:space="0" w:color="auto"/>
        <w:left w:val="none" w:sz="0" w:space="0" w:color="auto"/>
        <w:bottom w:val="none" w:sz="0" w:space="0" w:color="auto"/>
        <w:right w:val="none" w:sz="0" w:space="0" w:color="auto"/>
      </w:divBdr>
    </w:div>
    <w:div w:id="2013218651">
      <w:bodyDiv w:val="1"/>
      <w:marLeft w:val="0"/>
      <w:marRight w:val="0"/>
      <w:marTop w:val="0"/>
      <w:marBottom w:val="0"/>
      <w:divBdr>
        <w:top w:val="none" w:sz="0" w:space="0" w:color="auto"/>
        <w:left w:val="none" w:sz="0" w:space="0" w:color="auto"/>
        <w:bottom w:val="none" w:sz="0" w:space="0" w:color="auto"/>
        <w:right w:val="none" w:sz="0" w:space="0" w:color="auto"/>
      </w:divBdr>
    </w:div>
    <w:div w:id="2019193671">
      <w:bodyDiv w:val="1"/>
      <w:marLeft w:val="0"/>
      <w:marRight w:val="0"/>
      <w:marTop w:val="0"/>
      <w:marBottom w:val="0"/>
      <w:divBdr>
        <w:top w:val="none" w:sz="0" w:space="0" w:color="auto"/>
        <w:left w:val="none" w:sz="0" w:space="0" w:color="auto"/>
        <w:bottom w:val="none" w:sz="0" w:space="0" w:color="auto"/>
        <w:right w:val="none" w:sz="0" w:space="0" w:color="auto"/>
      </w:divBdr>
    </w:div>
    <w:div w:id="2027750700">
      <w:bodyDiv w:val="1"/>
      <w:marLeft w:val="0"/>
      <w:marRight w:val="0"/>
      <w:marTop w:val="0"/>
      <w:marBottom w:val="0"/>
      <w:divBdr>
        <w:top w:val="none" w:sz="0" w:space="0" w:color="auto"/>
        <w:left w:val="none" w:sz="0" w:space="0" w:color="auto"/>
        <w:bottom w:val="none" w:sz="0" w:space="0" w:color="auto"/>
        <w:right w:val="none" w:sz="0" w:space="0" w:color="auto"/>
      </w:divBdr>
    </w:div>
    <w:div w:id="2038462371">
      <w:bodyDiv w:val="1"/>
      <w:marLeft w:val="0"/>
      <w:marRight w:val="0"/>
      <w:marTop w:val="0"/>
      <w:marBottom w:val="0"/>
      <w:divBdr>
        <w:top w:val="none" w:sz="0" w:space="0" w:color="auto"/>
        <w:left w:val="none" w:sz="0" w:space="0" w:color="auto"/>
        <w:bottom w:val="none" w:sz="0" w:space="0" w:color="auto"/>
        <w:right w:val="none" w:sz="0" w:space="0" w:color="auto"/>
      </w:divBdr>
    </w:div>
    <w:div w:id="2070957683">
      <w:bodyDiv w:val="1"/>
      <w:marLeft w:val="0"/>
      <w:marRight w:val="0"/>
      <w:marTop w:val="0"/>
      <w:marBottom w:val="0"/>
      <w:divBdr>
        <w:top w:val="none" w:sz="0" w:space="0" w:color="auto"/>
        <w:left w:val="none" w:sz="0" w:space="0" w:color="auto"/>
        <w:bottom w:val="none" w:sz="0" w:space="0" w:color="auto"/>
        <w:right w:val="none" w:sz="0" w:space="0" w:color="auto"/>
      </w:divBdr>
    </w:div>
    <w:div w:id="2111507670">
      <w:bodyDiv w:val="1"/>
      <w:marLeft w:val="0"/>
      <w:marRight w:val="0"/>
      <w:marTop w:val="0"/>
      <w:marBottom w:val="0"/>
      <w:divBdr>
        <w:top w:val="none" w:sz="0" w:space="0" w:color="auto"/>
        <w:left w:val="none" w:sz="0" w:space="0" w:color="auto"/>
        <w:bottom w:val="none" w:sz="0" w:space="0" w:color="auto"/>
        <w:right w:val="none" w:sz="0" w:space="0" w:color="auto"/>
      </w:divBdr>
    </w:div>
    <w:div w:id="213779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es.wikipedia.org/wiki/Parida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s.wikipedia.org/wiki/Mercado_de_bienes_y_servicios" TargetMode="Externa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es.wikipedia.org/w/index.php?title=Precio_relativo&amp;action=edit&amp;redlink=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es.wikipedia.org/wiki/Tasa_de_inter%C3%A9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es.wikipedia.org/wiki/Mercado_monetario"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es.wikipedia.org/wiki/Tasa_de_inflaci%C3%B3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AC37A-44A1-4CBF-92EF-20351BDA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87</Pages>
  <Words>18477</Words>
  <Characters>101628</Characters>
  <Application>Microsoft Office Word</Application>
  <DocSecurity>0</DocSecurity>
  <Lines>846</Lines>
  <Paragraphs>239</Paragraphs>
  <ScaleCrop>false</ScaleCrop>
  <HeadingPairs>
    <vt:vector size="2" baseType="variant">
      <vt:variant>
        <vt:lpstr>Título</vt:lpstr>
      </vt:variant>
      <vt:variant>
        <vt:i4>1</vt:i4>
      </vt:variant>
    </vt:vector>
  </HeadingPairs>
  <TitlesOfParts>
    <vt:vector size="1" baseType="lpstr">
      <vt:lpstr>COORDINADORA DE FOMENTO AL COMERCIO EXTRIOR DEL ESTADO DE GUANAJUATO.</vt:lpstr>
    </vt:vector>
  </TitlesOfParts>
  <Company>Microsoft</Company>
  <LinksUpToDate>false</LinksUpToDate>
  <CharactersWithSpaces>119866</CharactersWithSpaces>
  <SharedDoc>false</SharedDoc>
  <HLinks>
    <vt:vector size="36" baseType="variant">
      <vt:variant>
        <vt:i4>5242886</vt:i4>
      </vt:variant>
      <vt:variant>
        <vt:i4>15</vt:i4>
      </vt:variant>
      <vt:variant>
        <vt:i4>0</vt:i4>
      </vt:variant>
      <vt:variant>
        <vt:i4>5</vt:i4>
      </vt:variant>
      <vt:variant>
        <vt:lpwstr>http://es.wikipedia.org/wiki/Tasa_de_inflaci%C3%B3n</vt:lpwstr>
      </vt:variant>
      <vt:variant>
        <vt:lpwstr/>
      </vt:variant>
      <vt:variant>
        <vt:i4>4849677</vt:i4>
      </vt:variant>
      <vt:variant>
        <vt:i4>12</vt:i4>
      </vt:variant>
      <vt:variant>
        <vt:i4>0</vt:i4>
      </vt:variant>
      <vt:variant>
        <vt:i4>5</vt:i4>
      </vt:variant>
      <vt:variant>
        <vt:lpwstr>http://es.wikipedia.org/wiki/Mercado_de_bienes_y_servicios</vt:lpwstr>
      </vt:variant>
      <vt:variant>
        <vt:lpwstr/>
      </vt:variant>
      <vt:variant>
        <vt:i4>3276911</vt:i4>
      </vt:variant>
      <vt:variant>
        <vt:i4>9</vt:i4>
      </vt:variant>
      <vt:variant>
        <vt:i4>0</vt:i4>
      </vt:variant>
      <vt:variant>
        <vt:i4>5</vt:i4>
      </vt:variant>
      <vt:variant>
        <vt:lpwstr>http://es.wikipedia.org/wiki/Tasa_de_inter%C3%A9s</vt:lpwstr>
      </vt:variant>
      <vt:variant>
        <vt:lpwstr/>
      </vt:variant>
      <vt:variant>
        <vt:i4>6553623</vt:i4>
      </vt:variant>
      <vt:variant>
        <vt:i4>6</vt:i4>
      </vt:variant>
      <vt:variant>
        <vt:i4>0</vt:i4>
      </vt:variant>
      <vt:variant>
        <vt:i4>5</vt:i4>
      </vt:variant>
      <vt:variant>
        <vt:lpwstr>http://es.wikipedia.org/wiki/Mercado_monetario</vt:lpwstr>
      </vt:variant>
      <vt:variant>
        <vt:lpwstr/>
      </vt:variant>
      <vt:variant>
        <vt:i4>1900609</vt:i4>
      </vt:variant>
      <vt:variant>
        <vt:i4>3</vt:i4>
      </vt:variant>
      <vt:variant>
        <vt:i4>0</vt:i4>
      </vt:variant>
      <vt:variant>
        <vt:i4>5</vt:i4>
      </vt:variant>
      <vt:variant>
        <vt:lpwstr>http://es.wikipedia.org/wiki/Paridad</vt:lpwstr>
      </vt:variant>
      <vt:variant>
        <vt:lpwstr/>
      </vt:variant>
      <vt:variant>
        <vt:i4>2752542</vt:i4>
      </vt:variant>
      <vt:variant>
        <vt:i4>0</vt:i4>
      </vt:variant>
      <vt:variant>
        <vt:i4>0</vt:i4>
      </vt:variant>
      <vt:variant>
        <vt:i4>5</vt:i4>
      </vt:variant>
      <vt:variant>
        <vt:lpwstr>http://es.wikipedia.org/w/index.php?title=Precio_relativo&amp;action=edit&amp;redlink=1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COORDINADORA DE FOMENTO AL COMERCIO EXTRIOR DEL ESTADO DE GUANAJUATO.</dc:title>
  <dc:subject/>
  <dc:creator>mrangel</dc:creator>
  <cp:keywords/>
  <cp:lastModifiedBy>Gerardo Magaña</cp:lastModifiedBy>
  <cp:revision>5</cp:revision>
  <cp:lastPrinted>2024-10-12T00:10:00Z</cp:lastPrinted>
  <dcterms:created xsi:type="dcterms:W3CDTF">2026-04-13T22:17:00Z</dcterms:created>
  <dcterms:modified xsi:type="dcterms:W3CDTF">2026-07-13T18:56:00Z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0x010100D82020160536FF48BE390F14F22A285B</vt:lpwstr>
  </property>
  <property fmtid="{D5CDD505-2E9C-101B-9397-08002B2CF9AE}" pid="3" name="Responsable">
    <vt:lpwstr>13</vt:lpwstr>
  </property>
  <property fmtid="{D5CDD505-2E9C-101B-9397-08002B2CF9AE}" pid="4" name="Status">
    <vt:lpwstr>Supervisado</vt:lpwstr>
  </property>
  <property fmtid="{D5CDD505-2E9C-101B-9397-08002B2CF9AE}" pid="5" name="display_urn:schemas-microsoft-com:office:office#Responsable">
    <vt:lpwstr>Jaime Gonzalez Mauricio Josafat</vt:lpwstr>
  </property>
</Properties>
</file>