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3B514" w14:textId="77777777" w:rsidR="00CC01C3" w:rsidRPr="000B7810" w:rsidRDefault="00227350" w:rsidP="00CC01C3">
      <w:pPr>
        <w:jc w:val="center"/>
        <w:rPr>
          <w:b/>
          <w:sz w:val="28"/>
          <w:szCs w:val="28"/>
        </w:rPr>
      </w:pPr>
      <w:hyperlink r:id="rId8" w:history="1">
        <w:r w:rsidR="00CC01C3" w:rsidRPr="000B7810">
          <w:rPr>
            <w:rStyle w:val="Hipervnculo"/>
            <w:b/>
            <w:sz w:val="28"/>
            <w:szCs w:val="28"/>
          </w:rPr>
          <w:t>NOTAS DE GESTIÓN ADMINISTRATIVA</w:t>
        </w:r>
      </w:hyperlink>
    </w:p>
    <w:p w14:paraId="7C768B0A" w14:textId="77777777" w:rsidR="00CC01C3" w:rsidRPr="00E00323" w:rsidRDefault="00CC01C3" w:rsidP="00CC01C3">
      <w:pPr>
        <w:jc w:val="both"/>
        <w:rPr>
          <w:szCs w:val="20"/>
        </w:rPr>
      </w:pPr>
    </w:p>
    <w:p w14:paraId="6AC10979" w14:textId="77777777" w:rsidR="00CC01C3" w:rsidRPr="000B7810" w:rsidRDefault="00CC01C3" w:rsidP="00CC01C3">
      <w:pPr>
        <w:jc w:val="both"/>
      </w:pPr>
      <w:r w:rsidRPr="000B7810">
        <w:t>Los Estados Financieros de los entes públicos, proveen de información financiera a los principales usuarios de la misma, al</w:t>
      </w:r>
      <w:r>
        <w:t xml:space="preserve"> Congreso y a los ciudadanos.</w:t>
      </w:r>
    </w:p>
    <w:p w14:paraId="0A955721" w14:textId="77777777" w:rsidR="00CC01C3" w:rsidRPr="000B7810" w:rsidRDefault="00CC01C3" w:rsidP="00CC01C3">
      <w:pPr>
        <w:jc w:val="both"/>
      </w:pPr>
    </w:p>
    <w:p w14:paraId="1E3C3D3F" w14:textId="77777777" w:rsidR="00CC01C3" w:rsidRPr="000B7810" w:rsidRDefault="00CC01C3" w:rsidP="00CC01C3">
      <w:pPr>
        <w:jc w:val="both"/>
      </w:pPr>
      <w:r w:rsidRPr="000B7810">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t>ismos y sus particularidades.</w:t>
      </w:r>
    </w:p>
    <w:p w14:paraId="08064C78" w14:textId="77777777" w:rsidR="00CC01C3" w:rsidRPr="000B7810" w:rsidRDefault="00CC01C3" w:rsidP="00CC01C3">
      <w:pPr>
        <w:jc w:val="both"/>
      </w:pPr>
    </w:p>
    <w:p w14:paraId="74B03C02" w14:textId="77777777" w:rsidR="00CC01C3" w:rsidRPr="000B7810" w:rsidRDefault="00CC01C3" w:rsidP="00CC01C3">
      <w:pPr>
        <w:jc w:val="both"/>
      </w:pPr>
      <w:r w:rsidRPr="000B7810">
        <w:t>De esta manera, se informa y explica la respuesta del gobierno a las condiciones relacionadas con la información financiera de cada período de gestión; además, de exponer aquellas políticas que podrían afectar la toma de decisi</w:t>
      </w:r>
      <w:r>
        <w:t>ones en períodos posteriores.</w:t>
      </w:r>
    </w:p>
    <w:p w14:paraId="27FAFD35" w14:textId="77777777" w:rsidR="00CC01C3" w:rsidRPr="000B7810" w:rsidRDefault="00CC01C3" w:rsidP="00CC01C3">
      <w:pPr>
        <w:pStyle w:val="Prrafodelista"/>
        <w:jc w:val="both"/>
      </w:pPr>
    </w:p>
    <w:p w14:paraId="62D0A40E" w14:textId="77777777" w:rsidR="00CC01C3" w:rsidRPr="000B7810" w:rsidRDefault="00CC01C3" w:rsidP="00CC01C3">
      <w:pPr>
        <w:pStyle w:val="Prrafodelista"/>
        <w:numPr>
          <w:ilvl w:val="0"/>
          <w:numId w:val="16"/>
        </w:numPr>
        <w:jc w:val="both"/>
      </w:pPr>
      <w:r w:rsidRPr="000B7810">
        <w:t>Las notas de gestión administrativa deben contener los siguientes puntos:</w:t>
      </w:r>
    </w:p>
    <w:p w14:paraId="7932AA10" w14:textId="77777777" w:rsidR="00CC01C3" w:rsidRPr="00E00323" w:rsidRDefault="00CC01C3" w:rsidP="00CC01C3">
      <w:pPr>
        <w:jc w:val="both"/>
      </w:pPr>
    </w:p>
    <w:p w14:paraId="27B3271E" w14:textId="77777777" w:rsidR="00CC01C3" w:rsidRPr="000B7810" w:rsidRDefault="00CC01C3" w:rsidP="00CC01C3">
      <w:pPr>
        <w:jc w:val="both"/>
      </w:pPr>
      <w:r w:rsidRPr="000B7810">
        <w:rPr>
          <w:b/>
        </w:rPr>
        <w:t>1. Introducción:</w:t>
      </w:r>
      <w:r w:rsidRPr="000B7810">
        <w:tab/>
      </w:r>
    </w:p>
    <w:p w14:paraId="1EF074C1" w14:textId="77777777" w:rsidR="00CC01C3" w:rsidRDefault="00CC01C3" w:rsidP="00CC01C3">
      <w:pPr>
        <w:jc w:val="both"/>
      </w:pPr>
      <w:r w:rsidRPr="000B7810">
        <w:t>Breve descripción de las actividades principales de la entidad.</w:t>
      </w:r>
    </w:p>
    <w:p w14:paraId="09BBD533" w14:textId="77777777" w:rsidR="00CC01C3" w:rsidRPr="000B7810" w:rsidRDefault="00CC01C3" w:rsidP="00CC01C3">
      <w:pPr>
        <w:jc w:val="both"/>
      </w:pPr>
    </w:p>
    <w:p w14:paraId="05EECB24" w14:textId="77777777" w:rsidR="00CC01C3" w:rsidRPr="003B36B8" w:rsidRDefault="00CC01C3" w:rsidP="00CC01C3">
      <w:pPr>
        <w:jc w:val="both"/>
        <w:rPr>
          <w:rFonts w:cs="Arial"/>
          <w:sz w:val="26"/>
          <w:szCs w:val="26"/>
        </w:rPr>
      </w:pPr>
      <w:smartTag w:uri="urn:schemas-microsoft-com:office:smarttags" w:element="PersonName">
        <w:smartTagPr>
          <w:attr w:name="ProductID" w:val="La Comisi￳n Estatal"/>
        </w:smartTagPr>
        <w:r w:rsidRPr="003B36B8">
          <w:rPr>
            <w:rFonts w:cs="Arial"/>
            <w:sz w:val="26"/>
            <w:szCs w:val="26"/>
          </w:rPr>
          <w:t>La Comisión Estatal</w:t>
        </w:r>
      </w:smartTag>
      <w:r w:rsidRPr="003B36B8">
        <w:rPr>
          <w:rFonts w:cs="Arial"/>
          <w:sz w:val="26"/>
          <w:szCs w:val="26"/>
        </w:rPr>
        <w:t xml:space="preserve"> de Conciliación y Arbitraje Médico, (CECAMED) se creó como un organismo público descentralizado del Gobierno Estatal, de acuerdo al decreto gubernativo 97 de fecha 30 de junio de 1998, con el objeto de contribuir a resolver los conflictos suscitados entre los usuarios de los servicios médicos y los prestadores de dichos servicios, como una Instancia alternativa, que contribuya también a promover el derecho a la protección de la salud, así como a una buena práctica de la medicina, mediante  el Decreto Gubernativo no. 30 de fecha 24 de Mayo de 2013 se reestructura a la Comisión Estatal de Arbitraje Médico, y cambia su denominación a Comisión Estatal de Conciliación y Arbitraje Médico.</w:t>
      </w:r>
    </w:p>
    <w:p w14:paraId="34F3CDBD" w14:textId="77777777" w:rsidR="00CC01C3" w:rsidRPr="000B7810" w:rsidRDefault="00CC01C3" w:rsidP="00CC01C3">
      <w:pPr>
        <w:jc w:val="both"/>
      </w:pPr>
    </w:p>
    <w:p w14:paraId="0828A534" w14:textId="77777777" w:rsidR="00CC01C3" w:rsidRPr="000B7810" w:rsidRDefault="00CC01C3" w:rsidP="00CC01C3">
      <w:pPr>
        <w:jc w:val="both"/>
        <w:rPr>
          <w:b/>
        </w:rPr>
      </w:pPr>
      <w:r w:rsidRPr="000B7810">
        <w:rPr>
          <w:b/>
        </w:rPr>
        <w:t>2. Describir el pan</w:t>
      </w:r>
      <w:r>
        <w:rPr>
          <w:b/>
        </w:rPr>
        <w:t>orama Económico y Financiero:</w:t>
      </w:r>
    </w:p>
    <w:p w14:paraId="1A5671B1" w14:textId="77777777" w:rsidR="00CC01C3" w:rsidRPr="000B7810" w:rsidRDefault="00CC01C3" w:rsidP="00CC01C3">
      <w:pPr>
        <w:jc w:val="both"/>
      </w:pPr>
    </w:p>
    <w:p w14:paraId="015456D1" w14:textId="77777777" w:rsidR="00CC01C3" w:rsidRPr="003B36B8" w:rsidRDefault="00CC01C3" w:rsidP="00CC01C3">
      <w:pPr>
        <w:jc w:val="both"/>
        <w:rPr>
          <w:rFonts w:cs="Arial"/>
          <w:sz w:val="26"/>
          <w:szCs w:val="26"/>
        </w:rPr>
      </w:pPr>
      <w:r w:rsidRPr="003B36B8">
        <w:rPr>
          <w:rFonts w:cs="Arial"/>
          <w:sz w:val="26"/>
          <w:szCs w:val="26"/>
        </w:rPr>
        <w:t>Se informará sobre las principales condiciones económico-financieras bajo las cuales el ente público estuvo operando; y las cuales influyeron en la toma de decisiones de la administración; tanto a nivel local como federal.</w:t>
      </w:r>
    </w:p>
    <w:p w14:paraId="1B93364B" w14:textId="77777777" w:rsidR="00CC01C3" w:rsidRPr="003B36B8" w:rsidRDefault="00CC01C3" w:rsidP="00CC01C3">
      <w:pPr>
        <w:jc w:val="both"/>
        <w:rPr>
          <w:rFonts w:cs="Arial"/>
          <w:sz w:val="26"/>
          <w:szCs w:val="26"/>
        </w:rPr>
      </w:pPr>
      <w:r w:rsidRPr="003B36B8">
        <w:rPr>
          <w:rFonts w:cs="Arial"/>
          <w:sz w:val="26"/>
          <w:szCs w:val="26"/>
        </w:rPr>
        <w:t xml:space="preserve">La Comisión Estatal de Conciliación y Arbitraje Médico, recibe sus recursos a través de subsidios, misma que sus condiciones económicas financieras son sanas y está operando bajo el esquema de asistencia social. </w:t>
      </w:r>
    </w:p>
    <w:p w14:paraId="79968EB8" w14:textId="77777777" w:rsidR="00DB5C58" w:rsidRPr="00E00323" w:rsidRDefault="00DB5C58" w:rsidP="00CC01C3">
      <w:pPr>
        <w:jc w:val="both"/>
      </w:pPr>
    </w:p>
    <w:p w14:paraId="1FEE2C62" w14:textId="77777777" w:rsidR="00CC01C3" w:rsidRPr="000B7810" w:rsidRDefault="00CC01C3" w:rsidP="00CC01C3">
      <w:pPr>
        <w:jc w:val="both"/>
        <w:rPr>
          <w:b/>
        </w:rPr>
      </w:pPr>
      <w:r w:rsidRPr="000B7810">
        <w:rPr>
          <w:b/>
        </w:rPr>
        <w:t>3. Autoriza</w:t>
      </w:r>
      <w:r>
        <w:rPr>
          <w:b/>
        </w:rPr>
        <w:t>ción e Historia:</w:t>
      </w:r>
    </w:p>
    <w:p w14:paraId="0F296D51" w14:textId="77777777" w:rsidR="00CC01C3" w:rsidRPr="000B7810" w:rsidRDefault="00CC01C3" w:rsidP="00CC01C3">
      <w:pPr>
        <w:jc w:val="both"/>
      </w:pPr>
    </w:p>
    <w:p w14:paraId="43537B5E" w14:textId="77777777" w:rsidR="00CC01C3" w:rsidRPr="000B7810" w:rsidRDefault="00CC01C3" w:rsidP="00CC01C3">
      <w:pPr>
        <w:jc w:val="both"/>
      </w:pPr>
      <w:r w:rsidRPr="000B7810">
        <w:t>Se informará sobre:</w:t>
      </w:r>
    </w:p>
    <w:p w14:paraId="74B08ECD" w14:textId="77777777" w:rsidR="009F743B" w:rsidRDefault="009F743B" w:rsidP="00CC01C3">
      <w:pPr>
        <w:jc w:val="both"/>
      </w:pPr>
    </w:p>
    <w:p w14:paraId="34633D84" w14:textId="77777777" w:rsidR="009F743B" w:rsidRDefault="009F743B" w:rsidP="00CC01C3">
      <w:pPr>
        <w:jc w:val="both"/>
      </w:pPr>
    </w:p>
    <w:p w14:paraId="5E3BD249" w14:textId="77777777" w:rsidR="009F743B" w:rsidRDefault="009F743B" w:rsidP="009F743B">
      <w:pPr>
        <w:jc w:val="right"/>
      </w:pPr>
    </w:p>
    <w:p w14:paraId="37FF127C" w14:textId="77777777" w:rsidR="00CC01C3" w:rsidRPr="000B7810" w:rsidRDefault="00CC01C3" w:rsidP="00CC01C3">
      <w:pPr>
        <w:jc w:val="both"/>
      </w:pPr>
      <w:r w:rsidRPr="000B7810">
        <w:rPr>
          <w:b/>
        </w:rPr>
        <w:lastRenderedPageBreak/>
        <w:t>a)</w:t>
      </w:r>
      <w:r w:rsidRPr="000B7810">
        <w:t xml:space="preserve"> Fecha de creación del ente.</w:t>
      </w:r>
    </w:p>
    <w:p w14:paraId="4F750254" w14:textId="77777777" w:rsidR="00CC01C3" w:rsidRDefault="00CC01C3" w:rsidP="00CC01C3">
      <w:pPr>
        <w:jc w:val="both"/>
      </w:pPr>
    </w:p>
    <w:p w14:paraId="56E71DD7" w14:textId="77777777" w:rsidR="00CC01C3" w:rsidRPr="003B36B8" w:rsidRDefault="00CC01C3" w:rsidP="00CC01C3">
      <w:pPr>
        <w:jc w:val="both"/>
        <w:rPr>
          <w:rFonts w:cs="Arial"/>
          <w:sz w:val="26"/>
          <w:szCs w:val="26"/>
        </w:rPr>
      </w:pPr>
      <w:r w:rsidRPr="003B36B8">
        <w:rPr>
          <w:rFonts w:cs="Arial"/>
          <w:sz w:val="26"/>
          <w:szCs w:val="26"/>
        </w:rPr>
        <w:t xml:space="preserve">30 de junio de 1998 </w:t>
      </w:r>
    </w:p>
    <w:p w14:paraId="7B70AC53" w14:textId="77777777" w:rsidR="00CC01C3" w:rsidRPr="000B7810" w:rsidRDefault="00CC01C3" w:rsidP="00CC01C3">
      <w:pPr>
        <w:jc w:val="both"/>
      </w:pPr>
    </w:p>
    <w:p w14:paraId="2C8FE995" w14:textId="77777777" w:rsidR="00CC01C3" w:rsidRPr="000B7810" w:rsidRDefault="00CC01C3" w:rsidP="00CC01C3">
      <w:pPr>
        <w:jc w:val="both"/>
      </w:pPr>
      <w:r w:rsidRPr="000B7810">
        <w:rPr>
          <w:b/>
        </w:rPr>
        <w:t>b)</w:t>
      </w:r>
      <w:r w:rsidRPr="000B7810">
        <w:t xml:space="preserve"> Principales cambios en su estructura (interna históricamente).</w:t>
      </w:r>
    </w:p>
    <w:p w14:paraId="2800D5AB" w14:textId="77777777" w:rsidR="00CC01C3" w:rsidRDefault="00CC01C3" w:rsidP="00CC01C3">
      <w:pPr>
        <w:jc w:val="both"/>
        <w:rPr>
          <w:sz w:val="26"/>
          <w:szCs w:val="26"/>
        </w:rPr>
      </w:pPr>
    </w:p>
    <w:p w14:paraId="4311C11C" w14:textId="77777777" w:rsidR="00CC01C3" w:rsidRPr="003B36B8" w:rsidRDefault="00CC01C3" w:rsidP="00CC01C3">
      <w:pPr>
        <w:jc w:val="both"/>
        <w:rPr>
          <w:rFonts w:cs="Arial"/>
          <w:sz w:val="26"/>
          <w:szCs w:val="26"/>
        </w:rPr>
      </w:pPr>
      <w:r w:rsidRPr="003B36B8">
        <w:rPr>
          <w:rFonts w:cs="Arial"/>
          <w:sz w:val="26"/>
          <w:szCs w:val="26"/>
        </w:rPr>
        <w:t xml:space="preserve">En el 2001, mediante decreto gubernativo </w:t>
      </w:r>
      <w:r w:rsidR="00DE4F31" w:rsidRPr="003B36B8">
        <w:rPr>
          <w:rFonts w:cs="Arial"/>
          <w:sz w:val="26"/>
          <w:szCs w:val="26"/>
        </w:rPr>
        <w:t>número</w:t>
      </w:r>
      <w:r w:rsidRPr="003B36B8">
        <w:rPr>
          <w:rFonts w:cs="Arial"/>
          <w:sz w:val="26"/>
          <w:szCs w:val="26"/>
        </w:rPr>
        <w:t xml:space="preserve"> 50, de fecha 25 de junio, se reestructuró la organización interna de la Coesamed, que señala que esta Comisión estará adscrita directamente al Gobernador del Estado y mediante el Decreto Gubernativo no. 30 de fecha 24 de Mayo de 2013 se reestructura nuevamente a la Comisión Estatal de Arbitraje Médico, y cambia su denominación a Comisión Estatal de Conciliación y Arbitraje Médico.</w:t>
      </w:r>
    </w:p>
    <w:p w14:paraId="1B2A2DA9" w14:textId="77777777" w:rsidR="00CC01C3" w:rsidRPr="000B7810" w:rsidRDefault="00CC01C3" w:rsidP="00CC01C3">
      <w:pPr>
        <w:jc w:val="both"/>
        <w:rPr>
          <w:b/>
        </w:rPr>
      </w:pPr>
      <w:r w:rsidRPr="000B7810">
        <w:rPr>
          <w:b/>
        </w:rPr>
        <w:t xml:space="preserve">4. </w:t>
      </w:r>
      <w:r>
        <w:rPr>
          <w:b/>
        </w:rPr>
        <w:t>Organización y Objeto Social:</w:t>
      </w:r>
    </w:p>
    <w:p w14:paraId="3C2661BE" w14:textId="77777777" w:rsidR="00CC01C3" w:rsidRPr="000B7810" w:rsidRDefault="00CC01C3" w:rsidP="00CC01C3">
      <w:pPr>
        <w:jc w:val="both"/>
      </w:pPr>
    </w:p>
    <w:p w14:paraId="27809C74" w14:textId="77777777" w:rsidR="00CC01C3" w:rsidRPr="000B7810" w:rsidRDefault="00CC01C3" w:rsidP="00CC01C3">
      <w:pPr>
        <w:jc w:val="both"/>
      </w:pPr>
      <w:r w:rsidRPr="000B7810">
        <w:t>Se informará sobre:</w:t>
      </w:r>
    </w:p>
    <w:p w14:paraId="0BFECD3C" w14:textId="77777777" w:rsidR="00CC01C3" w:rsidRPr="000B7810" w:rsidRDefault="00CC01C3" w:rsidP="00CC01C3">
      <w:pPr>
        <w:jc w:val="both"/>
      </w:pPr>
    </w:p>
    <w:p w14:paraId="49142806" w14:textId="77777777" w:rsidR="00CC01C3" w:rsidRDefault="00CC01C3" w:rsidP="00CC01C3">
      <w:pPr>
        <w:numPr>
          <w:ilvl w:val="0"/>
          <w:numId w:val="17"/>
        </w:numPr>
        <w:jc w:val="both"/>
      </w:pPr>
      <w:r w:rsidRPr="000B7810">
        <w:t>Objeto social.</w:t>
      </w:r>
    </w:p>
    <w:p w14:paraId="255054FC" w14:textId="77777777" w:rsidR="00CC01C3" w:rsidRPr="000B7810" w:rsidRDefault="00CC01C3" w:rsidP="00CC01C3">
      <w:pPr>
        <w:ind w:left="720"/>
        <w:jc w:val="both"/>
      </w:pPr>
    </w:p>
    <w:p w14:paraId="15D9031E" w14:textId="77777777" w:rsidR="00CC01C3" w:rsidRPr="003B36B8" w:rsidRDefault="00CC01C3" w:rsidP="00CC01C3">
      <w:pPr>
        <w:jc w:val="both"/>
        <w:rPr>
          <w:rFonts w:cs="Arial"/>
          <w:sz w:val="26"/>
          <w:szCs w:val="26"/>
        </w:rPr>
      </w:pPr>
      <w:r w:rsidRPr="003B36B8">
        <w:rPr>
          <w:rFonts w:cs="Arial"/>
          <w:sz w:val="26"/>
          <w:szCs w:val="26"/>
        </w:rPr>
        <w:t>1.- Contribuir a resolver los conflictos suscitados entre los usuarios de los servicios médicos y los prestadores de dichos servicios.</w:t>
      </w:r>
    </w:p>
    <w:p w14:paraId="415958E2" w14:textId="77777777" w:rsidR="00CC01C3" w:rsidRPr="003B36B8" w:rsidRDefault="00CC01C3" w:rsidP="00CC01C3">
      <w:pPr>
        <w:jc w:val="both"/>
        <w:rPr>
          <w:rFonts w:cs="Arial"/>
          <w:sz w:val="26"/>
          <w:szCs w:val="26"/>
        </w:rPr>
      </w:pPr>
      <w:r w:rsidRPr="003B36B8">
        <w:rPr>
          <w:rFonts w:cs="Arial"/>
          <w:sz w:val="26"/>
          <w:szCs w:val="26"/>
        </w:rPr>
        <w:t>2.- Promover una buena práctica de la medicina, coadyuvando a mejorar los servicios médicos que recibe la población; y</w:t>
      </w:r>
    </w:p>
    <w:p w14:paraId="1BB3BEC7" w14:textId="77777777" w:rsidR="00CC01C3" w:rsidRPr="003B36B8" w:rsidRDefault="00CC01C3" w:rsidP="00CC01C3">
      <w:pPr>
        <w:jc w:val="both"/>
        <w:rPr>
          <w:rFonts w:cs="Arial"/>
          <w:sz w:val="26"/>
          <w:szCs w:val="26"/>
        </w:rPr>
      </w:pPr>
      <w:r w:rsidRPr="003B36B8">
        <w:rPr>
          <w:rFonts w:cs="Arial"/>
          <w:sz w:val="26"/>
          <w:szCs w:val="26"/>
        </w:rPr>
        <w:t>3.- Contribuir a la observancia del derecho a la protección de la salud, por lo que respecta a la prestación de servicios médicos.</w:t>
      </w:r>
    </w:p>
    <w:p w14:paraId="59AAA89D" w14:textId="77777777" w:rsidR="00CC01C3" w:rsidRPr="000B7810" w:rsidRDefault="00CC01C3" w:rsidP="00CC01C3">
      <w:pPr>
        <w:jc w:val="both"/>
      </w:pPr>
    </w:p>
    <w:p w14:paraId="03138474" w14:textId="77777777" w:rsidR="00CC01C3" w:rsidRDefault="00CC01C3" w:rsidP="00CC01C3">
      <w:pPr>
        <w:numPr>
          <w:ilvl w:val="0"/>
          <w:numId w:val="17"/>
        </w:numPr>
        <w:jc w:val="both"/>
      </w:pPr>
      <w:r w:rsidRPr="000B7810">
        <w:t>Principal actividad.</w:t>
      </w:r>
    </w:p>
    <w:p w14:paraId="1ECCFB75" w14:textId="77777777" w:rsidR="00CC01C3" w:rsidRPr="003B36B8" w:rsidRDefault="00CC01C3" w:rsidP="00CC01C3">
      <w:pPr>
        <w:jc w:val="both"/>
        <w:rPr>
          <w:rFonts w:cs="Arial"/>
          <w:sz w:val="26"/>
          <w:szCs w:val="26"/>
        </w:rPr>
      </w:pPr>
      <w:r w:rsidRPr="003B36B8">
        <w:rPr>
          <w:rFonts w:cs="Arial"/>
          <w:sz w:val="26"/>
          <w:szCs w:val="26"/>
        </w:rPr>
        <w:t>1.- ASESORIAS.-Proceso fundamental de la Cecamed, cuyo objetivo es informar a los usuarios sobre los elementos medico-jurídicos de su inconformidad, y con base en ellos, sugerir la mejor vía de resolución conforme a sus pretensiones.</w:t>
      </w:r>
    </w:p>
    <w:p w14:paraId="38D77C84" w14:textId="77777777" w:rsidR="00CC01C3" w:rsidRPr="003B36B8" w:rsidRDefault="00CC01C3" w:rsidP="00CC01C3">
      <w:pPr>
        <w:jc w:val="both"/>
        <w:rPr>
          <w:rFonts w:cs="Arial"/>
          <w:sz w:val="26"/>
          <w:szCs w:val="26"/>
        </w:rPr>
      </w:pPr>
      <w:r w:rsidRPr="003B36B8">
        <w:rPr>
          <w:rFonts w:cs="Arial"/>
          <w:sz w:val="26"/>
          <w:szCs w:val="26"/>
        </w:rPr>
        <w:t>Impacto interno.-  Al ser el procedimiento inicial, el no llevarse a cabo, no tendríamos elementos para  realizar los demás procesos sustantivos de la Cecamed, y no tendría razón de existir esta dependencia.</w:t>
      </w:r>
    </w:p>
    <w:p w14:paraId="3DD0A999" w14:textId="77777777" w:rsidR="00CC01C3" w:rsidRPr="003B36B8" w:rsidRDefault="00CC01C3" w:rsidP="007C4BCA">
      <w:pPr>
        <w:jc w:val="both"/>
        <w:rPr>
          <w:rFonts w:cs="Arial"/>
          <w:sz w:val="26"/>
          <w:szCs w:val="26"/>
        </w:rPr>
      </w:pPr>
      <w:r w:rsidRPr="003B36B8">
        <w:rPr>
          <w:rFonts w:cs="Arial"/>
          <w:sz w:val="26"/>
          <w:szCs w:val="26"/>
        </w:rPr>
        <w:t>Impacto externo.- Crear falsas expectativas en los usuarios, desconfianza e insatisfacción.</w:t>
      </w:r>
    </w:p>
    <w:p w14:paraId="09071DAA" w14:textId="77777777" w:rsidR="00CC01C3" w:rsidRPr="003B36B8" w:rsidRDefault="00CC01C3" w:rsidP="007C4BCA">
      <w:pPr>
        <w:jc w:val="both"/>
        <w:rPr>
          <w:rFonts w:cs="Arial"/>
          <w:sz w:val="26"/>
          <w:szCs w:val="26"/>
        </w:rPr>
      </w:pPr>
      <w:r w:rsidRPr="003B36B8">
        <w:rPr>
          <w:rFonts w:cs="Arial"/>
          <w:sz w:val="26"/>
          <w:szCs w:val="26"/>
        </w:rPr>
        <w:t>Tiempo de vencimiento.-  Se darán treinta días posteriores a la asesoría, para que el usuario pueda reunir la información solicitada y definir sus pretensiones, al no tener comunicación se dará por concluida la asesoría por desistimiento del usuario.</w:t>
      </w:r>
    </w:p>
    <w:p w14:paraId="7109B661" w14:textId="77777777" w:rsidR="00CC01C3" w:rsidRPr="003B36B8" w:rsidRDefault="00CC01C3" w:rsidP="007C4BCA">
      <w:pPr>
        <w:jc w:val="both"/>
        <w:rPr>
          <w:rFonts w:cs="Arial"/>
          <w:sz w:val="26"/>
          <w:szCs w:val="26"/>
        </w:rPr>
      </w:pPr>
    </w:p>
    <w:p w14:paraId="1CA6AD36" w14:textId="77777777" w:rsidR="00CC01C3" w:rsidRPr="003B36B8" w:rsidRDefault="00CC01C3" w:rsidP="007C4BCA">
      <w:pPr>
        <w:jc w:val="both"/>
        <w:rPr>
          <w:rFonts w:cs="Arial"/>
          <w:sz w:val="26"/>
          <w:szCs w:val="26"/>
        </w:rPr>
      </w:pPr>
      <w:r w:rsidRPr="003B36B8">
        <w:rPr>
          <w:rFonts w:cs="Arial"/>
          <w:sz w:val="26"/>
          <w:szCs w:val="26"/>
        </w:rPr>
        <w:t xml:space="preserve"> 2.  GESTIONES INMEDIATAS.-   Proceso mediante el cual los consultores médicos de la Cecamed, realizan actos necesarios para que las inconformidades de los usuarios que por su naturaleza y pretensiones deban ser resueltos en forma expedita.</w:t>
      </w:r>
    </w:p>
    <w:p w14:paraId="414FC1C4" w14:textId="77777777" w:rsidR="00CC01C3" w:rsidRPr="003B36B8" w:rsidRDefault="00CC01C3" w:rsidP="007C4BCA">
      <w:pPr>
        <w:jc w:val="both"/>
        <w:rPr>
          <w:rFonts w:cs="Arial"/>
          <w:sz w:val="26"/>
          <w:szCs w:val="26"/>
        </w:rPr>
      </w:pPr>
      <w:r w:rsidRPr="003B36B8">
        <w:rPr>
          <w:rFonts w:cs="Arial"/>
          <w:sz w:val="26"/>
          <w:szCs w:val="26"/>
        </w:rPr>
        <w:t>Impacto interno.-  Tiempo ejercido sin éxito, poniendo en riesgo nuestro trabajo al no cumplir las funciones que nos hemos creado.</w:t>
      </w:r>
    </w:p>
    <w:p w14:paraId="2BC94B2E" w14:textId="77777777" w:rsidR="00CC01C3" w:rsidRDefault="00CC01C3" w:rsidP="007C4BCA">
      <w:pPr>
        <w:jc w:val="both"/>
        <w:rPr>
          <w:rFonts w:cs="Arial"/>
          <w:sz w:val="26"/>
          <w:szCs w:val="26"/>
        </w:rPr>
      </w:pPr>
    </w:p>
    <w:p w14:paraId="6455E86B" w14:textId="77777777" w:rsidR="009F743B" w:rsidRPr="003B36B8" w:rsidRDefault="009F743B" w:rsidP="009F743B">
      <w:pPr>
        <w:jc w:val="right"/>
        <w:rPr>
          <w:rFonts w:cs="Arial"/>
          <w:sz w:val="26"/>
          <w:szCs w:val="26"/>
        </w:rPr>
      </w:pPr>
    </w:p>
    <w:p w14:paraId="4EC2405D" w14:textId="77777777" w:rsidR="00CC01C3" w:rsidRPr="003B36B8" w:rsidRDefault="00CC01C3" w:rsidP="007C4BCA">
      <w:pPr>
        <w:jc w:val="both"/>
        <w:rPr>
          <w:rFonts w:cs="Arial"/>
          <w:sz w:val="26"/>
          <w:szCs w:val="26"/>
        </w:rPr>
      </w:pPr>
      <w:r w:rsidRPr="003B36B8">
        <w:rPr>
          <w:rFonts w:cs="Arial"/>
          <w:sz w:val="26"/>
          <w:szCs w:val="26"/>
        </w:rPr>
        <w:lastRenderedPageBreak/>
        <w:t>No aprovechar el convenio interinstitucional CONAMED-INSTITUCION-CECAMED.</w:t>
      </w:r>
    </w:p>
    <w:p w14:paraId="0D2C146B" w14:textId="77777777" w:rsidR="00CC01C3" w:rsidRPr="003B36B8" w:rsidRDefault="00CC01C3" w:rsidP="007C4BCA">
      <w:pPr>
        <w:jc w:val="both"/>
        <w:rPr>
          <w:rFonts w:cs="Arial"/>
          <w:sz w:val="26"/>
          <w:szCs w:val="26"/>
        </w:rPr>
      </w:pPr>
      <w:r>
        <w:rPr>
          <w:rFonts w:cs="Arial"/>
          <w:sz w:val="26"/>
          <w:szCs w:val="26"/>
        </w:rPr>
        <w:t xml:space="preserve">Impacto externo.- </w:t>
      </w:r>
      <w:r w:rsidRPr="003B36B8">
        <w:rPr>
          <w:rFonts w:cs="Arial"/>
          <w:sz w:val="26"/>
          <w:szCs w:val="26"/>
        </w:rPr>
        <w:t>No realizar acciones que hagan que se mejore la atención medica en el estado y con esto disminuir las quejas.</w:t>
      </w:r>
    </w:p>
    <w:p w14:paraId="6F17FE2C" w14:textId="77777777" w:rsidR="00CC01C3" w:rsidRPr="003B36B8" w:rsidRDefault="00CC01C3" w:rsidP="007C4BCA">
      <w:pPr>
        <w:jc w:val="both"/>
        <w:rPr>
          <w:rFonts w:cs="Arial"/>
          <w:sz w:val="26"/>
          <w:szCs w:val="26"/>
        </w:rPr>
      </w:pPr>
      <w:r w:rsidRPr="003B36B8">
        <w:rPr>
          <w:rFonts w:cs="Arial"/>
          <w:sz w:val="26"/>
          <w:szCs w:val="26"/>
        </w:rPr>
        <w:t>Al no realizar las gestiones inmediatas, se verán aumentadas las quejas vs los prestadores de servicios médicos.</w:t>
      </w:r>
    </w:p>
    <w:p w14:paraId="067ECBC2" w14:textId="77777777" w:rsidR="00CC01C3" w:rsidRPr="003B36B8" w:rsidRDefault="00CC01C3" w:rsidP="007C4BCA">
      <w:pPr>
        <w:jc w:val="both"/>
        <w:rPr>
          <w:rFonts w:cs="Arial"/>
          <w:sz w:val="26"/>
          <w:szCs w:val="26"/>
        </w:rPr>
      </w:pPr>
      <w:r w:rsidRPr="003B36B8">
        <w:rPr>
          <w:rFonts w:cs="Arial"/>
          <w:sz w:val="26"/>
          <w:szCs w:val="26"/>
        </w:rPr>
        <w:t>Perdida de la credibilidad de los usuarios en aquellos casos que por su naturaleza puedan ser resueltos con celeridad.</w:t>
      </w:r>
    </w:p>
    <w:p w14:paraId="495B8900" w14:textId="77777777" w:rsidR="00CC01C3" w:rsidRPr="003B36B8" w:rsidRDefault="00CC01C3" w:rsidP="007C4BCA">
      <w:pPr>
        <w:jc w:val="both"/>
        <w:rPr>
          <w:rFonts w:cs="Arial"/>
          <w:sz w:val="26"/>
          <w:szCs w:val="26"/>
        </w:rPr>
      </w:pPr>
      <w:r w:rsidRPr="003B36B8">
        <w:rPr>
          <w:rFonts w:cs="Arial"/>
          <w:sz w:val="26"/>
          <w:szCs w:val="26"/>
        </w:rPr>
        <w:t>Tiempo de vencimiento.- Acciones médicas que por su naturaleza puedan ser resueltas en un tiempo no mayor de 48 hrs.</w:t>
      </w:r>
    </w:p>
    <w:p w14:paraId="57A38F54" w14:textId="77777777" w:rsidR="00CC01C3" w:rsidRPr="003B36B8" w:rsidRDefault="00CC01C3" w:rsidP="007C4BCA">
      <w:pPr>
        <w:jc w:val="both"/>
        <w:rPr>
          <w:rFonts w:cs="Arial"/>
          <w:sz w:val="26"/>
          <w:szCs w:val="26"/>
        </w:rPr>
      </w:pPr>
      <w:r w:rsidRPr="003B36B8">
        <w:rPr>
          <w:rFonts w:cs="Arial"/>
          <w:sz w:val="26"/>
          <w:szCs w:val="26"/>
        </w:rPr>
        <w:t>3. QUEJAS.- Acto mediante el cual una persona física por su propio derecho o representación presenta una inconformidad, por una posible irregularidad en la prestación o negativa de servicios médicos.</w:t>
      </w:r>
    </w:p>
    <w:p w14:paraId="38BE6A8C" w14:textId="77777777" w:rsidR="00CC01C3" w:rsidRPr="003B36B8" w:rsidRDefault="00CC01C3" w:rsidP="007C4BCA">
      <w:pPr>
        <w:jc w:val="both"/>
        <w:rPr>
          <w:rFonts w:cs="Arial"/>
          <w:sz w:val="26"/>
          <w:szCs w:val="26"/>
        </w:rPr>
      </w:pPr>
      <w:r w:rsidRPr="003B36B8">
        <w:rPr>
          <w:rFonts w:cs="Arial"/>
          <w:sz w:val="26"/>
          <w:szCs w:val="26"/>
        </w:rPr>
        <w:t>Impacto interno.-     No se cumpliría con el motivo fundamental de existir de la cecamed.</w:t>
      </w:r>
    </w:p>
    <w:p w14:paraId="7C0A5F50" w14:textId="77777777" w:rsidR="00CC01C3" w:rsidRPr="003B36B8" w:rsidRDefault="00CC01C3" w:rsidP="007C4BCA">
      <w:pPr>
        <w:jc w:val="both"/>
        <w:rPr>
          <w:rFonts w:cs="Arial"/>
          <w:sz w:val="26"/>
          <w:szCs w:val="26"/>
        </w:rPr>
      </w:pPr>
      <w:r w:rsidRPr="003B36B8">
        <w:rPr>
          <w:rFonts w:cs="Arial"/>
          <w:sz w:val="26"/>
          <w:szCs w:val="26"/>
        </w:rPr>
        <w:t>No se cumpliría con la misión, que es contribuir a elevar la calidad de los servicios médicos.</w:t>
      </w:r>
    </w:p>
    <w:p w14:paraId="34F773D4" w14:textId="77777777" w:rsidR="00CC01C3" w:rsidRPr="003B36B8" w:rsidRDefault="00CC01C3" w:rsidP="007C4BCA">
      <w:pPr>
        <w:jc w:val="both"/>
        <w:rPr>
          <w:rFonts w:cs="Arial"/>
          <w:sz w:val="26"/>
          <w:szCs w:val="26"/>
        </w:rPr>
      </w:pPr>
      <w:r w:rsidRPr="003B36B8">
        <w:rPr>
          <w:rFonts w:cs="Arial"/>
          <w:sz w:val="26"/>
          <w:szCs w:val="26"/>
        </w:rPr>
        <w:t>Impacto externo.-    De no cumplirse, no se estaría coadyuvando a la protección de la salud de los guanajuatenses.</w:t>
      </w:r>
    </w:p>
    <w:p w14:paraId="142357EC" w14:textId="77777777" w:rsidR="00CC01C3" w:rsidRPr="003B36B8" w:rsidRDefault="00CC01C3" w:rsidP="007C4BCA">
      <w:pPr>
        <w:jc w:val="both"/>
        <w:rPr>
          <w:rFonts w:cs="Arial"/>
          <w:sz w:val="26"/>
          <w:szCs w:val="26"/>
        </w:rPr>
      </w:pPr>
      <w:r w:rsidRPr="003B36B8">
        <w:rPr>
          <w:rFonts w:cs="Arial"/>
          <w:sz w:val="26"/>
          <w:szCs w:val="26"/>
        </w:rPr>
        <w:t>No se propiciaría a elevar la buena relación médico-paciente.</w:t>
      </w:r>
    </w:p>
    <w:p w14:paraId="2AF0AC49" w14:textId="77777777" w:rsidR="00CC01C3" w:rsidRPr="003B36B8" w:rsidRDefault="00CC01C3" w:rsidP="007C4BCA">
      <w:pPr>
        <w:jc w:val="both"/>
        <w:rPr>
          <w:rFonts w:cs="Arial"/>
          <w:sz w:val="26"/>
          <w:szCs w:val="26"/>
        </w:rPr>
      </w:pPr>
      <w:r w:rsidRPr="003B36B8">
        <w:rPr>
          <w:rFonts w:cs="Arial"/>
          <w:sz w:val="26"/>
          <w:szCs w:val="26"/>
        </w:rPr>
        <w:t xml:space="preserve">Tiempo de vencimiento.- Acciones médicas que desde su inicio hasta su culminación deberán no exceder 65 días. </w:t>
      </w:r>
    </w:p>
    <w:p w14:paraId="6E0E4528" w14:textId="77777777" w:rsidR="00CC01C3" w:rsidRDefault="00CC01C3" w:rsidP="007C4BCA">
      <w:pPr>
        <w:jc w:val="both"/>
        <w:rPr>
          <w:rFonts w:cs="Arial"/>
          <w:sz w:val="26"/>
          <w:szCs w:val="26"/>
        </w:rPr>
      </w:pPr>
    </w:p>
    <w:p w14:paraId="34800B2A" w14:textId="77777777" w:rsidR="00CC01C3" w:rsidRPr="000B7810" w:rsidRDefault="00CC01C3" w:rsidP="007C4BCA">
      <w:pPr>
        <w:jc w:val="both"/>
      </w:pPr>
      <w:r w:rsidRPr="000B7810">
        <w:rPr>
          <w:b/>
        </w:rPr>
        <w:t>c)</w:t>
      </w:r>
      <w:r w:rsidR="004B0341">
        <w:t xml:space="preserve"> Ejercicio fiscal</w:t>
      </w:r>
      <w:r w:rsidRPr="000B7810">
        <w:t>.</w:t>
      </w:r>
    </w:p>
    <w:p w14:paraId="2F391902" w14:textId="77777777" w:rsidR="00CC01C3" w:rsidRDefault="00CC01C3" w:rsidP="007C4BCA">
      <w:pPr>
        <w:jc w:val="both"/>
      </w:pPr>
    </w:p>
    <w:p w14:paraId="3C8137E5" w14:textId="2D4F9606" w:rsidR="00DE4F31" w:rsidRDefault="00CC01C3" w:rsidP="007C4BCA">
      <w:pPr>
        <w:jc w:val="both"/>
        <w:rPr>
          <w:rFonts w:cs="Arial"/>
          <w:sz w:val="26"/>
          <w:szCs w:val="26"/>
        </w:rPr>
      </w:pPr>
      <w:r w:rsidRPr="003B36B8">
        <w:rPr>
          <w:rFonts w:cs="Arial"/>
          <w:sz w:val="26"/>
          <w:szCs w:val="26"/>
        </w:rPr>
        <w:t>1 de enero de 20</w:t>
      </w:r>
      <w:r w:rsidR="00BF6713">
        <w:rPr>
          <w:rFonts w:cs="Arial"/>
          <w:sz w:val="26"/>
          <w:szCs w:val="26"/>
        </w:rPr>
        <w:t>2</w:t>
      </w:r>
      <w:r w:rsidR="00A27E14">
        <w:rPr>
          <w:rFonts w:cs="Arial"/>
          <w:sz w:val="26"/>
          <w:szCs w:val="26"/>
        </w:rPr>
        <w:t>5</w:t>
      </w:r>
      <w:r>
        <w:rPr>
          <w:rFonts w:cs="Arial"/>
          <w:sz w:val="26"/>
          <w:szCs w:val="26"/>
        </w:rPr>
        <w:t xml:space="preserve"> </w:t>
      </w:r>
      <w:r w:rsidRPr="003B36B8">
        <w:rPr>
          <w:rFonts w:cs="Arial"/>
          <w:sz w:val="26"/>
          <w:szCs w:val="26"/>
        </w:rPr>
        <w:t xml:space="preserve">al </w:t>
      </w:r>
      <w:r w:rsidR="00403AEB">
        <w:rPr>
          <w:rFonts w:cs="Arial"/>
          <w:sz w:val="26"/>
          <w:szCs w:val="26"/>
        </w:rPr>
        <w:t>3</w:t>
      </w:r>
      <w:r w:rsidR="0019109B">
        <w:rPr>
          <w:rFonts w:cs="Arial"/>
          <w:sz w:val="26"/>
          <w:szCs w:val="26"/>
        </w:rPr>
        <w:t>1</w:t>
      </w:r>
      <w:r w:rsidRPr="003B36B8">
        <w:rPr>
          <w:rFonts w:cs="Arial"/>
          <w:sz w:val="26"/>
          <w:szCs w:val="26"/>
        </w:rPr>
        <w:t xml:space="preserve"> de </w:t>
      </w:r>
      <w:r w:rsidR="0019109B">
        <w:rPr>
          <w:rFonts w:cs="Arial"/>
          <w:sz w:val="26"/>
          <w:szCs w:val="26"/>
        </w:rPr>
        <w:t>diciembre</w:t>
      </w:r>
      <w:r w:rsidR="00604787">
        <w:rPr>
          <w:rFonts w:cs="Arial"/>
          <w:sz w:val="26"/>
          <w:szCs w:val="26"/>
        </w:rPr>
        <w:t xml:space="preserve"> del 20</w:t>
      </w:r>
      <w:r w:rsidR="00BF6713">
        <w:rPr>
          <w:rFonts w:cs="Arial"/>
          <w:sz w:val="26"/>
          <w:szCs w:val="26"/>
        </w:rPr>
        <w:t>2</w:t>
      </w:r>
      <w:r w:rsidR="00A27E14">
        <w:rPr>
          <w:rFonts w:cs="Arial"/>
          <w:sz w:val="26"/>
          <w:szCs w:val="26"/>
        </w:rPr>
        <w:t>5</w:t>
      </w:r>
    </w:p>
    <w:p w14:paraId="444A21AF" w14:textId="77777777" w:rsidR="00CC01C3" w:rsidRPr="007F5B05" w:rsidRDefault="00CC01C3" w:rsidP="00CC01C3">
      <w:pPr>
        <w:jc w:val="both"/>
        <w:rPr>
          <w:rFonts w:cs="Arial"/>
          <w:sz w:val="26"/>
          <w:szCs w:val="26"/>
        </w:rPr>
      </w:pP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r>
        <w:rPr>
          <w:rFonts w:cs="Arial"/>
          <w:sz w:val="26"/>
          <w:szCs w:val="26"/>
        </w:rPr>
        <w:tab/>
      </w:r>
    </w:p>
    <w:p w14:paraId="6AFB1A14" w14:textId="77777777" w:rsidR="00CC01C3" w:rsidRPr="000B7810" w:rsidRDefault="00CC01C3" w:rsidP="007C4BCA">
      <w:pPr>
        <w:jc w:val="both"/>
      </w:pPr>
      <w:r w:rsidRPr="000B7810">
        <w:rPr>
          <w:b/>
        </w:rPr>
        <w:t>d)</w:t>
      </w:r>
      <w:r w:rsidRPr="000B7810">
        <w:t xml:space="preserve"> Régimen jurídico (Forma como está dada de alta la entidad ante la S.H.C.P., ejemplos: S.C., S.A., Personas morales sin fines de lucro, etc.).</w:t>
      </w:r>
    </w:p>
    <w:p w14:paraId="3E24537F" w14:textId="77777777" w:rsidR="00CC01C3" w:rsidRDefault="00CC01C3" w:rsidP="007C4BCA">
      <w:pPr>
        <w:jc w:val="both"/>
        <w:rPr>
          <w:rFonts w:cs="Arial"/>
          <w:sz w:val="26"/>
          <w:szCs w:val="26"/>
        </w:rPr>
      </w:pPr>
    </w:p>
    <w:p w14:paraId="12A40E13" w14:textId="77777777" w:rsidR="00CC01C3" w:rsidRPr="003B36B8" w:rsidRDefault="00CC01C3" w:rsidP="007C4BCA">
      <w:pPr>
        <w:jc w:val="both"/>
        <w:rPr>
          <w:rFonts w:cs="Arial"/>
          <w:sz w:val="26"/>
          <w:szCs w:val="26"/>
        </w:rPr>
      </w:pPr>
      <w:r w:rsidRPr="003B36B8">
        <w:rPr>
          <w:rFonts w:cs="Arial"/>
          <w:sz w:val="26"/>
          <w:szCs w:val="26"/>
        </w:rPr>
        <w:t>Persona moral con fines no lucrativos. Organismo Público Descentralizado de Gobierno del Estado.</w:t>
      </w:r>
    </w:p>
    <w:p w14:paraId="3ABCA7B3" w14:textId="77777777" w:rsidR="00CC01C3" w:rsidRPr="000B7810" w:rsidRDefault="00CC01C3" w:rsidP="007C4BCA">
      <w:pPr>
        <w:jc w:val="both"/>
      </w:pPr>
    </w:p>
    <w:p w14:paraId="727A4BBA" w14:textId="77777777" w:rsidR="00CC01C3" w:rsidRDefault="00CC01C3" w:rsidP="007C4BCA">
      <w:pPr>
        <w:jc w:val="both"/>
      </w:pPr>
      <w:r w:rsidRPr="000B7810">
        <w:rPr>
          <w:b/>
        </w:rPr>
        <w:t>e)</w:t>
      </w:r>
      <w:r w:rsidRPr="000B7810">
        <w:t xml:space="preserve"> Consideraciones fiscales del ente: revelar el tipo de contribuciones que esté obligado a pagar o retener.</w:t>
      </w:r>
    </w:p>
    <w:p w14:paraId="58B80645" w14:textId="77777777" w:rsidR="00CC01C3" w:rsidRPr="000B7810" w:rsidRDefault="00CC01C3" w:rsidP="007C4BCA">
      <w:pPr>
        <w:jc w:val="both"/>
      </w:pPr>
    </w:p>
    <w:p w14:paraId="26D56DE5" w14:textId="77777777" w:rsidR="00CC01C3" w:rsidRDefault="00CC01C3" w:rsidP="00CC01C3">
      <w:pPr>
        <w:jc w:val="both"/>
        <w:rPr>
          <w:rFonts w:cs="Arial"/>
          <w:sz w:val="26"/>
          <w:szCs w:val="26"/>
        </w:rPr>
      </w:pPr>
      <w:r>
        <w:rPr>
          <w:rFonts w:cs="Arial"/>
          <w:sz w:val="26"/>
          <w:szCs w:val="26"/>
        </w:rPr>
        <w:t>Retenciones y declaración mensual de ISR por sueldos y salarios</w:t>
      </w:r>
      <w:bookmarkStart w:id="0" w:name="_GoBack"/>
      <w:bookmarkEnd w:id="0"/>
    </w:p>
    <w:p w14:paraId="64E5A216" w14:textId="77777777" w:rsidR="00CC01C3" w:rsidRPr="00D119EA" w:rsidRDefault="00CC01C3" w:rsidP="00CC01C3">
      <w:pPr>
        <w:jc w:val="both"/>
        <w:rPr>
          <w:rFonts w:cs="Arial"/>
          <w:sz w:val="26"/>
          <w:szCs w:val="26"/>
        </w:rPr>
      </w:pPr>
      <w:r w:rsidRPr="00D119EA">
        <w:rPr>
          <w:rFonts w:cs="Arial"/>
          <w:sz w:val="26"/>
          <w:szCs w:val="26"/>
        </w:rPr>
        <w:t>Declaración informativa anual de sueldos y salarios</w:t>
      </w:r>
    </w:p>
    <w:p w14:paraId="58881329" w14:textId="77777777" w:rsidR="00CC01C3" w:rsidRPr="00D119EA" w:rsidRDefault="00CC01C3" w:rsidP="00CC01C3">
      <w:pPr>
        <w:jc w:val="both"/>
        <w:rPr>
          <w:rFonts w:cs="Arial"/>
          <w:sz w:val="26"/>
          <w:szCs w:val="26"/>
        </w:rPr>
      </w:pPr>
      <w:r w:rsidRPr="00D119EA">
        <w:rPr>
          <w:rFonts w:cs="Arial"/>
          <w:sz w:val="26"/>
          <w:szCs w:val="26"/>
        </w:rPr>
        <w:t>Declaración informativa anual de pagos y retenciones de servicios profesionales, personas morales, ISR.</w:t>
      </w:r>
    </w:p>
    <w:p w14:paraId="7753FEAE" w14:textId="77777777" w:rsidR="00CC01C3" w:rsidRDefault="00CC01C3" w:rsidP="00CC01C3">
      <w:pPr>
        <w:jc w:val="both"/>
        <w:rPr>
          <w:rFonts w:cs="Arial"/>
          <w:sz w:val="26"/>
          <w:szCs w:val="26"/>
        </w:rPr>
      </w:pPr>
      <w:r w:rsidRPr="00D119EA">
        <w:rPr>
          <w:rFonts w:cs="Arial"/>
          <w:sz w:val="26"/>
          <w:szCs w:val="26"/>
        </w:rPr>
        <w:t>Declaración informativa anual de retenciones de ISR por arrendamiento de inmueble</w:t>
      </w:r>
      <w:r>
        <w:rPr>
          <w:rFonts w:cs="Arial"/>
          <w:sz w:val="26"/>
          <w:szCs w:val="26"/>
        </w:rPr>
        <w:t>.</w:t>
      </w:r>
    </w:p>
    <w:p w14:paraId="6C5E63E7" w14:textId="77777777" w:rsidR="00CC01C3" w:rsidRDefault="00CC01C3" w:rsidP="00CC01C3">
      <w:pPr>
        <w:jc w:val="both"/>
        <w:rPr>
          <w:rFonts w:cs="Arial"/>
          <w:sz w:val="26"/>
          <w:szCs w:val="26"/>
        </w:rPr>
      </w:pPr>
      <w:r>
        <w:rPr>
          <w:rFonts w:cs="Arial"/>
          <w:sz w:val="26"/>
          <w:szCs w:val="26"/>
        </w:rPr>
        <w:t>Declaración mensual de impuesto cedular del 2% sobre sueldos</w:t>
      </w:r>
    </w:p>
    <w:p w14:paraId="7C2B7725" w14:textId="77777777" w:rsidR="00CC01C3" w:rsidRDefault="00CC01C3" w:rsidP="00CC01C3">
      <w:pPr>
        <w:jc w:val="both"/>
        <w:rPr>
          <w:rFonts w:cs="Arial"/>
          <w:sz w:val="26"/>
          <w:szCs w:val="26"/>
        </w:rPr>
      </w:pPr>
      <w:r>
        <w:rPr>
          <w:rFonts w:cs="Arial"/>
          <w:sz w:val="26"/>
          <w:szCs w:val="26"/>
        </w:rPr>
        <w:t>Declaración Informativa anual  de impuesto cedular.</w:t>
      </w:r>
    </w:p>
    <w:p w14:paraId="2A86CBBE" w14:textId="77777777" w:rsidR="0030361A" w:rsidRDefault="0030361A" w:rsidP="00CC01C3">
      <w:pPr>
        <w:jc w:val="both"/>
        <w:rPr>
          <w:rFonts w:cs="Arial"/>
          <w:sz w:val="26"/>
          <w:szCs w:val="26"/>
        </w:rPr>
      </w:pPr>
    </w:p>
    <w:p w14:paraId="1042F0E6" w14:textId="77777777" w:rsidR="0030361A" w:rsidRDefault="0030361A" w:rsidP="00CC01C3">
      <w:pPr>
        <w:jc w:val="both"/>
        <w:rPr>
          <w:rFonts w:cs="Arial"/>
          <w:sz w:val="26"/>
          <w:szCs w:val="26"/>
        </w:rPr>
      </w:pPr>
    </w:p>
    <w:p w14:paraId="732055DC" w14:textId="77777777" w:rsidR="0030361A" w:rsidRDefault="0030361A" w:rsidP="00CC01C3">
      <w:pPr>
        <w:jc w:val="both"/>
        <w:rPr>
          <w:rFonts w:cs="Arial"/>
          <w:sz w:val="26"/>
          <w:szCs w:val="26"/>
        </w:rPr>
      </w:pPr>
    </w:p>
    <w:p w14:paraId="3A8ABC81" w14:textId="77777777" w:rsidR="009F743B" w:rsidRDefault="009F743B" w:rsidP="00CC01C3">
      <w:pPr>
        <w:jc w:val="both"/>
        <w:rPr>
          <w:rFonts w:cs="Arial"/>
          <w:sz w:val="26"/>
          <w:szCs w:val="26"/>
        </w:rPr>
      </w:pPr>
    </w:p>
    <w:p w14:paraId="776E63C5" w14:textId="77777777" w:rsidR="009F743B" w:rsidRDefault="009F743B" w:rsidP="009F743B">
      <w:pPr>
        <w:jc w:val="right"/>
        <w:rPr>
          <w:rFonts w:cs="Arial"/>
          <w:sz w:val="26"/>
          <w:szCs w:val="26"/>
        </w:rPr>
      </w:pPr>
    </w:p>
    <w:p w14:paraId="60F684A2" w14:textId="77777777" w:rsidR="00616328" w:rsidRDefault="00616328" w:rsidP="009F743B">
      <w:pPr>
        <w:jc w:val="right"/>
        <w:rPr>
          <w:rFonts w:cs="Arial"/>
          <w:sz w:val="26"/>
          <w:szCs w:val="26"/>
        </w:rPr>
      </w:pPr>
    </w:p>
    <w:p w14:paraId="6C4B35A8" w14:textId="77777777" w:rsidR="0030361A" w:rsidRPr="0030361A" w:rsidRDefault="0030361A" w:rsidP="00CC01C3">
      <w:pPr>
        <w:jc w:val="both"/>
        <w:rPr>
          <w:rFonts w:cs="Arial"/>
          <w:sz w:val="26"/>
          <w:szCs w:val="26"/>
        </w:rPr>
      </w:pPr>
    </w:p>
    <w:p w14:paraId="1C566312" w14:textId="77777777" w:rsidR="00CC01C3" w:rsidRDefault="00CC01C3" w:rsidP="00CC01C3">
      <w:pPr>
        <w:jc w:val="both"/>
      </w:pPr>
      <w:r w:rsidRPr="000B7810">
        <w:rPr>
          <w:b/>
        </w:rPr>
        <w:lastRenderedPageBreak/>
        <w:t>f)</w:t>
      </w:r>
      <w:r w:rsidRPr="000B7810">
        <w:t xml:space="preserve"> Estructura organizacional básica.</w:t>
      </w:r>
    </w:p>
    <w:p w14:paraId="392378E4" w14:textId="77777777" w:rsidR="0030361A" w:rsidRPr="000B7810" w:rsidRDefault="0030361A" w:rsidP="00CC01C3">
      <w:pPr>
        <w:jc w:val="both"/>
      </w:pPr>
    </w:p>
    <w:p w14:paraId="20E18405" w14:textId="77777777" w:rsidR="00CC01C3" w:rsidRDefault="00C97623" w:rsidP="00CC01C3">
      <w:pPr>
        <w:jc w:val="both"/>
      </w:pPr>
      <w:r>
        <w:rPr>
          <w:noProof/>
          <w:lang w:val="es-MX" w:eastAsia="es-MX"/>
        </w:rPr>
        <w:drawing>
          <wp:inline distT="0" distB="0" distL="0" distR="0" wp14:anchorId="532C0975" wp14:editId="5B73A70B">
            <wp:extent cx="8686800" cy="481965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8686800" cy="4819650"/>
                    </a:xfrm>
                    <a:prstGeom prst="rect">
                      <a:avLst/>
                    </a:prstGeom>
                    <a:noFill/>
                    <a:ln w="9525">
                      <a:noFill/>
                      <a:miter lim="800000"/>
                      <a:headEnd/>
                      <a:tailEnd/>
                    </a:ln>
                  </pic:spPr>
                </pic:pic>
              </a:graphicData>
            </a:graphic>
          </wp:inline>
        </w:drawing>
      </w:r>
    </w:p>
    <w:p w14:paraId="06926858" w14:textId="77777777" w:rsidR="0030361A" w:rsidRDefault="0030361A" w:rsidP="00CC01C3">
      <w:pPr>
        <w:jc w:val="both"/>
        <w:rPr>
          <w:b/>
        </w:rPr>
      </w:pPr>
    </w:p>
    <w:p w14:paraId="39B9B81C" w14:textId="77777777" w:rsidR="0030361A" w:rsidRDefault="0030361A" w:rsidP="00CC01C3">
      <w:pPr>
        <w:jc w:val="both"/>
        <w:rPr>
          <w:b/>
        </w:rPr>
      </w:pPr>
    </w:p>
    <w:p w14:paraId="24D8D03B" w14:textId="77777777" w:rsidR="0030361A" w:rsidRDefault="0030361A" w:rsidP="00CC01C3">
      <w:pPr>
        <w:jc w:val="both"/>
        <w:rPr>
          <w:b/>
        </w:rPr>
      </w:pPr>
    </w:p>
    <w:p w14:paraId="2CB93AE8" w14:textId="77777777" w:rsidR="0030361A" w:rsidRDefault="0030361A" w:rsidP="00CC01C3">
      <w:pPr>
        <w:jc w:val="both"/>
        <w:rPr>
          <w:b/>
        </w:rPr>
      </w:pPr>
    </w:p>
    <w:p w14:paraId="59159718" w14:textId="77777777" w:rsidR="0030361A" w:rsidRDefault="0030361A" w:rsidP="00CC01C3">
      <w:pPr>
        <w:jc w:val="both"/>
        <w:rPr>
          <w:b/>
        </w:rPr>
      </w:pPr>
    </w:p>
    <w:p w14:paraId="2C525221" w14:textId="77777777" w:rsidR="0030361A" w:rsidRDefault="0030361A" w:rsidP="009F743B">
      <w:pPr>
        <w:jc w:val="right"/>
        <w:rPr>
          <w:b/>
        </w:rPr>
      </w:pPr>
    </w:p>
    <w:p w14:paraId="6D2590BB" w14:textId="77777777" w:rsidR="00CC01C3" w:rsidRPr="000B7810" w:rsidRDefault="00CC01C3" w:rsidP="00CC01C3">
      <w:pPr>
        <w:jc w:val="both"/>
      </w:pPr>
      <w:r w:rsidRPr="000B7810">
        <w:rPr>
          <w:b/>
        </w:rPr>
        <w:lastRenderedPageBreak/>
        <w:t>g)</w:t>
      </w:r>
      <w:r w:rsidRPr="000B7810">
        <w:t xml:space="preserve"> Fideicomisos, mandatos y análogos de los cuales es fideicomitente o fiduciario.</w:t>
      </w:r>
    </w:p>
    <w:p w14:paraId="552E407B" w14:textId="77777777" w:rsidR="00CC01C3" w:rsidRDefault="00CC01C3" w:rsidP="00CC01C3">
      <w:pPr>
        <w:jc w:val="both"/>
      </w:pPr>
    </w:p>
    <w:p w14:paraId="6A6C93E9" w14:textId="77777777" w:rsidR="00CC01C3" w:rsidRPr="00E00323" w:rsidRDefault="00CC01C3" w:rsidP="00CC01C3">
      <w:pPr>
        <w:jc w:val="both"/>
      </w:pPr>
      <w:r>
        <w:t>NO APLICA</w:t>
      </w:r>
    </w:p>
    <w:p w14:paraId="62733AB1" w14:textId="77777777" w:rsidR="00CC01C3" w:rsidRPr="00E00323" w:rsidRDefault="00CC01C3" w:rsidP="00CC01C3">
      <w:pPr>
        <w:jc w:val="both"/>
      </w:pPr>
    </w:p>
    <w:p w14:paraId="799F8B76" w14:textId="77777777" w:rsidR="00CC01C3" w:rsidRPr="000B7810" w:rsidRDefault="00CC01C3" w:rsidP="00CC01C3">
      <w:pPr>
        <w:jc w:val="both"/>
        <w:rPr>
          <w:b/>
        </w:rPr>
      </w:pPr>
      <w:r w:rsidRPr="000B7810">
        <w:rPr>
          <w:b/>
        </w:rPr>
        <w:t>5. Bases de Preparació</w:t>
      </w:r>
      <w:r>
        <w:rPr>
          <w:b/>
        </w:rPr>
        <w:t>n de los Estados Financieros:</w:t>
      </w:r>
    </w:p>
    <w:p w14:paraId="78B63509" w14:textId="77777777" w:rsidR="00CC01C3" w:rsidRPr="000B7810" w:rsidRDefault="00CC01C3" w:rsidP="0030361A">
      <w:pPr>
        <w:jc w:val="both"/>
      </w:pPr>
      <w:r w:rsidRPr="000B7810">
        <w:t>Se informará sobre:</w:t>
      </w:r>
    </w:p>
    <w:p w14:paraId="011D8E30" w14:textId="77777777" w:rsidR="00CC01C3" w:rsidRPr="000B7810" w:rsidRDefault="00CC01C3" w:rsidP="007C4BCA">
      <w:pPr>
        <w:jc w:val="both"/>
      </w:pPr>
      <w:r w:rsidRPr="000B7810">
        <w:rPr>
          <w:b/>
        </w:rPr>
        <w:t>a)</w:t>
      </w:r>
      <w:r w:rsidRPr="000B7810">
        <w:t xml:space="preserve"> Si se ha observado la normatividad emitida por el CONAC y las disposiciones legales aplicables.</w:t>
      </w:r>
    </w:p>
    <w:p w14:paraId="65E47AE9" w14:textId="77777777" w:rsidR="00CC01C3" w:rsidRDefault="00CC01C3" w:rsidP="007C4BCA">
      <w:pPr>
        <w:jc w:val="both"/>
        <w:rPr>
          <w:rFonts w:cs="Arial"/>
          <w:sz w:val="26"/>
          <w:szCs w:val="26"/>
        </w:rPr>
      </w:pPr>
    </w:p>
    <w:p w14:paraId="094C34AF" w14:textId="77777777" w:rsidR="00CC01C3" w:rsidRPr="001F7CAD" w:rsidRDefault="00CC01C3" w:rsidP="007C4BCA">
      <w:pPr>
        <w:jc w:val="both"/>
        <w:rPr>
          <w:rFonts w:cs="Arial"/>
          <w:sz w:val="26"/>
          <w:szCs w:val="26"/>
        </w:rPr>
      </w:pPr>
      <w:r>
        <w:rPr>
          <w:rFonts w:cs="Arial"/>
          <w:sz w:val="26"/>
          <w:szCs w:val="26"/>
        </w:rPr>
        <w:t xml:space="preserve">Las </w:t>
      </w:r>
      <w:r w:rsidRPr="001F7CAD">
        <w:rPr>
          <w:rFonts w:cs="Arial"/>
          <w:sz w:val="26"/>
          <w:szCs w:val="26"/>
        </w:rPr>
        <w:t>bases de preparación de los Estados Financieros, observan en cierta medida la normatividad emitida por el CONAC</w:t>
      </w:r>
      <w:r>
        <w:rPr>
          <w:rFonts w:cs="Arial"/>
          <w:sz w:val="26"/>
          <w:szCs w:val="26"/>
        </w:rPr>
        <w:t xml:space="preserve"> y las disposiciones legales aplicables.</w:t>
      </w:r>
    </w:p>
    <w:p w14:paraId="4B8DDC10" w14:textId="77777777" w:rsidR="00CC01C3" w:rsidRPr="000B7810" w:rsidRDefault="00CC01C3" w:rsidP="007C4BCA">
      <w:pPr>
        <w:jc w:val="both"/>
      </w:pPr>
    </w:p>
    <w:p w14:paraId="1C403E63" w14:textId="77777777" w:rsidR="00CC01C3" w:rsidRPr="00C720EA" w:rsidRDefault="00CC01C3" w:rsidP="007C4BCA">
      <w:pPr>
        <w:jc w:val="both"/>
      </w:pPr>
      <w:r>
        <w:rPr>
          <w:b/>
        </w:rPr>
        <w:t xml:space="preserve">b) </w:t>
      </w:r>
      <w:r w:rsidRPr="00C720EA">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7A61702" w14:textId="77777777" w:rsidR="00CC01C3" w:rsidRPr="000B7810" w:rsidRDefault="00CC01C3" w:rsidP="007C4BCA">
      <w:pPr>
        <w:ind w:left="360"/>
        <w:jc w:val="both"/>
      </w:pPr>
    </w:p>
    <w:p w14:paraId="69CD86A9" w14:textId="77777777" w:rsidR="00CC01C3" w:rsidRPr="004B2D28" w:rsidRDefault="00CC01C3" w:rsidP="007C4BCA">
      <w:pPr>
        <w:jc w:val="both"/>
        <w:rPr>
          <w:rFonts w:cs="Arial"/>
          <w:sz w:val="26"/>
          <w:szCs w:val="26"/>
        </w:rPr>
      </w:pPr>
      <w:r w:rsidRPr="004B2D28">
        <w:rPr>
          <w:sz w:val="26"/>
          <w:szCs w:val="26"/>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r>
        <w:rPr>
          <w:sz w:val="26"/>
          <w:szCs w:val="26"/>
        </w:rPr>
        <w:t>.</w:t>
      </w:r>
    </w:p>
    <w:p w14:paraId="0CB3E08F" w14:textId="77777777" w:rsidR="00CC01C3" w:rsidRDefault="00CC01C3" w:rsidP="007C4BCA">
      <w:pPr>
        <w:numPr>
          <w:ilvl w:val="0"/>
          <w:numId w:val="17"/>
        </w:numPr>
        <w:ind w:left="284" w:hanging="284"/>
        <w:jc w:val="both"/>
      </w:pPr>
      <w:r w:rsidRPr="000B7810">
        <w:t>Postulados básicos.</w:t>
      </w:r>
    </w:p>
    <w:p w14:paraId="6BBA7549" w14:textId="77777777" w:rsidR="00CC01C3" w:rsidRPr="000B7810" w:rsidRDefault="00CC01C3" w:rsidP="007C4BCA">
      <w:pPr>
        <w:ind w:left="720"/>
        <w:jc w:val="both"/>
      </w:pPr>
    </w:p>
    <w:p w14:paraId="6B325938" w14:textId="77777777" w:rsidR="00CC01C3" w:rsidRPr="004B2D28" w:rsidRDefault="00CC01C3" w:rsidP="007C4BCA">
      <w:pPr>
        <w:jc w:val="both"/>
        <w:rPr>
          <w:rFonts w:cs="Arial"/>
          <w:color w:val="C00000"/>
          <w:sz w:val="26"/>
          <w:szCs w:val="26"/>
        </w:rPr>
      </w:pPr>
      <w:r w:rsidRPr="004B2D28">
        <w:rPr>
          <w:sz w:val="26"/>
          <w:szCs w:val="26"/>
        </w:rPr>
        <w:t xml:space="preserve">Las Bases de Preparación de los Estados Financieros aplican los Postulados Básicos de Registro Contable, el devengo del ingreso, entre otros, aún se encuentra en fase de desarrollo de los diferentes rubros de la información </w:t>
      </w:r>
    </w:p>
    <w:p w14:paraId="0595A22C" w14:textId="77777777" w:rsidR="00CC01C3" w:rsidRPr="000B7810" w:rsidRDefault="00CC01C3" w:rsidP="007C4BCA">
      <w:pPr>
        <w:jc w:val="both"/>
      </w:pPr>
      <w:r w:rsidRPr="000B7810">
        <w:rPr>
          <w:b/>
        </w:rPr>
        <w:t>d)</w:t>
      </w:r>
      <w:r w:rsidRPr="000B7810">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87B29F4" w14:textId="77777777" w:rsidR="00CC01C3" w:rsidRDefault="00CC01C3" w:rsidP="007C4BCA">
      <w:pPr>
        <w:jc w:val="both"/>
        <w:rPr>
          <w:rFonts w:cs="Arial"/>
          <w:sz w:val="26"/>
          <w:szCs w:val="26"/>
        </w:rPr>
      </w:pPr>
    </w:p>
    <w:p w14:paraId="080569C9" w14:textId="77777777" w:rsidR="00CC01C3" w:rsidRDefault="00CC01C3" w:rsidP="007C4BCA">
      <w:pPr>
        <w:jc w:val="both"/>
        <w:rPr>
          <w:rFonts w:cs="Arial"/>
          <w:sz w:val="26"/>
          <w:szCs w:val="26"/>
        </w:rPr>
      </w:pPr>
      <w:r w:rsidRPr="004B2D28">
        <w:rPr>
          <w:rFonts w:cs="Arial"/>
          <w:sz w:val="26"/>
          <w:szCs w:val="26"/>
        </w:rPr>
        <w:t>No se aplica ninguna normatividad supletoria.</w:t>
      </w:r>
    </w:p>
    <w:p w14:paraId="52B7E5F6" w14:textId="77777777" w:rsidR="00CC01C3" w:rsidRPr="004B2D28" w:rsidRDefault="00CC01C3" w:rsidP="007C4BCA">
      <w:pPr>
        <w:jc w:val="both"/>
        <w:rPr>
          <w:rFonts w:cs="Arial"/>
          <w:sz w:val="26"/>
          <w:szCs w:val="26"/>
        </w:rPr>
      </w:pPr>
      <w:r>
        <w:rPr>
          <w:rFonts w:cs="Arial"/>
          <w:sz w:val="26"/>
          <w:szCs w:val="26"/>
        </w:rPr>
        <w:t>20</w:t>
      </w:r>
    </w:p>
    <w:p w14:paraId="73FDF311" w14:textId="77777777" w:rsidR="00CC01C3" w:rsidRPr="000B7810" w:rsidRDefault="00CC01C3" w:rsidP="007C4BCA">
      <w:pPr>
        <w:jc w:val="both"/>
      </w:pPr>
      <w:r w:rsidRPr="000B7810">
        <w:rPr>
          <w:b/>
        </w:rPr>
        <w:t>e)</w:t>
      </w:r>
      <w:r w:rsidRPr="000B7810">
        <w:t xml:space="preserve"> Para las entidades que por primera vez estén implementando la base devengado de acuerdo a la Ley de Contabilidad, deberán:</w:t>
      </w:r>
    </w:p>
    <w:p w14:paraId="7062D82C" w14:textId="77777777" w:rsidR="00CC01C3" w:rsidRPr="000B7810" w:rsidRDefault="00CC01C3" w:rsidP="007C4BCA">
      <w:pPr>
        <w:jc w:val="both"/>
      </w:pPr>
    </w:p>
    <w:p w14:paraId="1B0BF9B6" w14:textId="77777777" w:rsidR="00CC01C3" w:rsidRPr="000B7810" w:rsidRDefault="00CC01C3" w:rsidP="007C4BCA">
      <w:pPr>
        <w:jc w:val="both"/>
      </w:pPr>
      <w:r w:rsidRPr="000B7810">
        <w:t>*Revelar las nuevas políticas de reconocimiento:</w:t>
      </w:r>
    </w:p>
    <w:p w14:paraId="357779FC" w14:textId="77777777" w:rsidR="00CC01C3" w:rsidRDefault="00CC01C3" w:rsidP="007C4BCA">
      <w:pPr>
        <w:jc w:val="both"/>
      </w:pPr>
    </w:p>
    <w:p w14:paraId="438F7B3C" w14:textId="77777777" w:rsidR="00CC01C3" w:rsidRDefault="00CC01C3" w:rsidP="007C4BCA">
      <w:pPr>
        <w:jc w:val="both"/>
      </w:pPr>
      <w:r>
        <w:t xml:space="preserve">NO APLICA </w:t>
      </w:r>
    </w:p>
    <w:p w14:paraId="72777998" w14:textId="77777777" w:rsidR="009F743B" w:rsidRDefault="009F743B" w:rsidP="007C4BCA">
      <w:pPr>
        <w:jc w:val="both"/>
      </w:pPr>
    </w:p>
    <w:p w14:paraId="6C80C363" w14:textId="77777777" w:rsidR="009F743B" w:rsidRDefault="009F743B" w:rsidP="007C4BCA">
      <w:pPr>
        <w:jc w:val="both"/>
      </w:pPr>
    </w:p>
    <w:p w14:paraId="22D4A0E2" w14:textId="77777777" w:rsidR="009F743B" w:rsidRPr="000B7810" w:rsidRDefault="009F743B" w:rsidP="009F743B">
      <w:pPr>
        <w:jc w:val="right"/>
      </w:pPr>
    </w:p>
    <w:p w14:paraId="522CB194" w14:textId="77777777" w:rsidR="00CC01C3" w:rsidRPr="000B7810" w:rsidRDefault="00CC01C3" w:rsidP="007C4BCA">
      <w:pPr>
        <w:jc w:val="both"/>
      </w:pPr>
      <w:r w:rsidRPr="000B7810">
        <w:lastRenderedPageBreak/>
        <w:t>*Plan de implementación:</w:t>
      </w:r>
    </w:p>
    <w:p w14:paraId="17A54C71" w14:textId="77777777" w:rsidR="00CC01C3" w:rsidRDefault="00CC01C3" w:rsidP="00CC01C3">
      <w:pPr>
        <w:jc w:val="both"/>
      </w:pPr>
    </w:p>
    <w:p w14:paraId="3B723E14" w14:textId="77777777" w:rsidR="00CC01C3" w:rsidRPr="000B7810" w:rsidRDefault="00CC01C3" w:rsidP="00CC01C3">
      <w:pPr>
        <w:jc w:val="both"/>
      </w:pPr>
      <w:r>
        <w:t xml:space="preserve">NO APLICA </w:t>
      </w:r>
    </w:p>
    <w:p w14:paraId="28C4537E" w14:textId="77777777" w:rsidR="00CC01C3" w:rsidRPr="000B7810" w:rsidRDefault="00CC01C3" w:rsidP="00CC01C3">
      <w:pPr>
        <w:jc w:val="both"/>
      </w:pPr>
    </w:p>
    <w:p w14:paraId="0EC3D487" w14:textId="77777777" w:rsidR="00CC01C3" w:rsidRPr="000B7810" w:rsidRDefault="00CC01C3" w:rsidP="007C4BCA">
      <w:pPr>
        <w:jc w:val="both"/>
      </w:pPr>
      <w:r w:rsidRPr="000B7810">
        <w:t>*Revelar los cambios en las políticas, la clasificación y medición de las mismas, así como su impacto en la información financiera:</w:t>
      </w:r>
    </w:p>
    <w:p w14:paraId="09BD0B06" w14:textId="77777777" w:rsidR="00CC01C3" w:rsidRDefault="00CC01C3" w:rsidP="007C4BCA">
      <w:pPr>
        <w:jc w:val="both"/>
      </w:pPr>
    </w:p>
    <w:p w14:paraId="345C9FB3" w14:textId="77777777" w:rsidR="00CC01C3" w:rsidRDefault="00CC01C3" w:rsidP="007C4BCA">
      <w:pPr>
        <w:jc w:val="both"/>
      </w:pPr>
      <w:r>
        <w:t xml:space="preserve">NO APLICA </w:t>
      </w:r>
      <w:r>
        <w:tab/>
      </w:r>
    </w:p>
    <w:p w14:paraId="60676A8B" w14:textId="77777777" w:rsidR="00CC01C3" w:rsidRPr="00E00323" w:rsidRDefault="00CC01C3" w:rsidP="007C4BCA">
      <w:pPr>
        <w:jc w:val="both"/>
      </w:pPr>
    </w:p>
    <w:p w14:paraId="7A6F5280" w14:textId="77777777" w:rsidR="00CC01C3" w:rsidRPr="000B7810" w:rsidRDefault="00CC01C3" w:rsidP="007C4BCA">
      <w:pPr>
        <w:jc w:val="both"/>
        <w:rPr>
          <w:b/>
        </w:rPr>
      </w:pPr>
      <w:r w:rsidRPr="000B7810">
        <w:rPr>
          <w:b/>
        </w:rPr>
        <w:t>6. Políticas de</w:t>
      </w:r>
      <w:r>
        <w:rPr>
          <w:b/>
        </w:rPr>
        <w:t xml:space="preserve"> Contabilidad Significativas:</w:t>
      </w:r>
    </w:p>
    <w:p w14:paraId="1BBCE9F2" w14:textId="77777777" w:rsidR="00CC01C3" w:rsidRPr="000B7810" w:rsidRDefault="00CC01C3" w:rsidP="007C4BCA">
      <w:pPr>
        <w:jc w:val="both"/>
      </w:pPr>
      <w:r w:rsidRPr="000B7810">
        <w:t>Se informará sobre:</w:t>
      </w:r>
    </w:p>
    <w:p w14:paraId="39679CB1" w14:textId="77777777" w:rsidR="00CC01C3" w:rsidRPr="00E00323" w:rsidRDefault="00CC01C3" w:rsidP="007C4BCA">
      <w:pPr>
        <w:jc w:val="both"/>
      </w:pPr>
    </w:p>
    <w:p w14:paraId="56F2F97B" w14:textId="77777777" w:rsidR="00CC01C3" w:rsidRPr="000B7810" w:rsidRDefault="00CC01C3" w:rsidP="007C4BCA">
      <w:pPr>
        <w:jc w:val="both"/>
      </w:pPr>
      <w:r w:rsidRPr="000B7810">
        <w:rPr>
          <w:b/>
        </w:rPr>
        <w:t>a)</w:t>
      </w:r>
      <w:r w:rsidRPr="000B7810">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4259D2F4" w14:textId="77777777" w:rsidR="00CC01C3" w:rsidRDefault="00CC01C3" w:rsidP="007C4BCA">
      <w:pPr>
        <w:jc w:val="both"/>
      </w:pPr>
    </w:p>
    <w:p w14:paraId="0AFEAA5E" w14:textId="77777777" w:rsidR="00CC01C3" w:rsidRPr="000B7810" w:rsidRDefault="00CC01C3" w:rsidP="007C4BCA">
      <w:pPr>
        <w:jc w:val="both"/>
      </w:pPr>
      <w:r>
        <w:t xml:space="preserve">NO APLICA </w:t>
      </w:r>
    </w:p>
    <w:p w14:paraId="66DA95D0" w14:textId="77777777" w:rsidR="00CC01C3" w:rsidRPr="00E00323" w:rsidRDefault="00CC01C3" w:rsidP="007C4BCA">
      <w:pPr>
        <w:jc w:val="both"/>
      </w:pPr>
    </w:p>
    <w:p w14:paraId="6AB23935" w14:textId="77777777" w:rsidR="00CC01C3" w:rsidRPr="000B7810" w:rsidRDefault="00CC01C3" w:rsidP="007C4BCA">
      <w:pPr>
        <w:jc w:val="both"/>
      </w:pPr>
      <w:r w:rsidRPr="000B7810">
        <w:rPr>
          <w:b/>
        </w:rPr>
        <w:t>b)</w:t>
      </w:r>
      <w:r w:rsidRPr="000B7810">
        <w:t xml:space="preserve"> Informar sobre la realización de operaciones en el extranjero y de sus efectos en la información financiera gubernamental:</w:t>
      </w:r>
    </w:p>
    <w:p w14:paraId="52498EA1" w14:textId="77777777" w:rsidR="00CC01C3" w:rsidRDefault="00CC01C3" w:rsidP="007C4BCA">
      <w:pPr>
        <w:jc w:val="both"/>
      </w:pPr>
    </w:p>
    <w:p w14:paraId="6AF1914D" w14:textId="77777777" w:rsidR="00CC01C3" w:rsidRPr="000B7810" w:rsidRDefault="00CC01C3" w:rsidP="007C4BCA">
      <w:pPr>
        <w:jc w:val="both"/>
      </w:pPr>
      <w:r>
        <w:t xml:space="preserve">NO APLICA </w:t>
      </w:r>
    </w:p>
    <w:p w14:paraId="50601681" w14:textId="77777777" w:rsidR="00CC01C3" w:rsidRPr="000B7810" w:rsidRDefault="00CC01C3" w:rsidP="007C4BCA">
      <w:pPr>
        <w:jc w:val="both"/>
      </w:pPr>
    </w:p>
    <w:p w14:paraId="114C437C" w14:textId="77777777" w:rsidR="00CC01C3" w:rsidRPr="000B7810" w:rsidRDefault="00CC01C3" w:rsidP="007C4BCA">
      <w:pPr>
        <w:jc w:val="both"/>
      </w:pPr>
      <w:r w:rsidRPr="000B7810">
        <w:rPr>
          <w:b/>
        </w:rPr>
        <w:t>c)</w:t>
      </w:r>
      <w:r w:rsidRPr="000B7810">
        <w:t xml:space="preserve"> Método de valuación de la inversión en acciones de Compañías subsidiarias no consolidadas y asociadas:</w:t>
      </w:r>
    </w:p>
    <w:p w14:paraId="35C59FC0" w14:textId="77777777" w:rsidR="00CC01C3" w:rsidRDefault="00CC01C3" w:rsidP="007C4BCA">
      <w:pPr>
        <w:jc w:val="both"/>
      </w:pPr>
    </w:p>
    <w:p w14:paraId="798E48F6" w14:textId="77777777" w:rsidR="00CC01C3" w:rsidRPr="000B7810" w:rsidRDefault="00CC01C3" w:rsidP="007C4BCA">
      <w:pPr>
        <w:jc w:val="both"/>
      </w:pPr>
      <w:r>
        <w:t xml:space="preserve">NO APLICA </w:t>
      </w:r>
    </w:p>
    <w:p w14:paraId="6291F8C1" w14:textId="77777777" w:rsidR="00CC01C3" w:rsidRPr="00E00323" w:rsidRDefault="00CC01C3" w:rsidP="007C4BCA">
      <w:pPr>
        <w:jc w:val="both"/>
      </w:pPr>
    </w:p>
    <w:p w14:paraId="1500F9D4" w14:textId="77777777" w:rsidR="00CC01C3" w:rsidRPr="000B7810" w:rsidRDefault="00CC01C3" w:rsidP="007C4BCA">
      <w:pPr>
        <w:jc w:val="both"/>
      </w:pPr>
      <w:r w:rsidRPr="000B7810">
        <w:rPr>
          <w:b/>
        </w:rPr>
        <w:t>d)</w:t>
      </w:r>
      <w:r w:rsidRPr="000B7810">
        <w:t xml:space="preserve"> Sistema y método de valuación de inventarios y costo de lo vendido:</w:t>
      </w:r>
    </w:p>
    <w:p w14:paraId="617CFB34" w14:textId="77777777" w:rsidR="00CC01C3" w:rsidRDefault="00CC01C3" w:rsidP="007C4BCA">
      <w:pPr>
        <w:jc w:val="both"/>
      </w:pPr>
    </w:p>
    <w:p w14:paraId="12BDD4C8" w14:textId="77777777" w:rsidR="00CC01C3" w:rsidRDefault="00CC01C3" w:rsidP="007C4BCA">
      <w:pPr>
        <w:jc w:val="both"/>
      </w:pPr>
      <w:r>
        <w:t xml:space="preserve">NO APLICA </w:t>
      </w:r>
    </w:p>
    <w:p w14:paraId="1798BCCC" w14:textId="77777777" w:rsidR="0030361A" w:rsidRPr="000B7810" w:rsidRDefault="0030361A" w:rsidP="007C4BCA">
      <w:pPr>
        <w:jc w:val="both"/>
      </w:pPr>
    </w:p>
    <w:p w14:paraId="598FA42B" w14:textId="77777777" w:rsidR="00CC01C3" w:rsidRPr="000B7810" w:rsidRDefault="00CC01C3" w:rsidP="007C4BCA">
      <w:pPr>
        <w:jc w:val="both"/>
      </w:pPr>
      <w:r>
        <w:t>21</w:t>
      </w:r>
    </w:p>
    <w:p w14:paraId="7699D917" w14:textId="77777777" w:rsidR="00CC01C3" w:rsidRPr="000B7810" w:rsidRDefault="00CC01C3" w:rsidP="007C4BCA">
      <w:pPr>
        <w:jc w:val="both"/>
      </w:pPr>
      <w:r w:rsidRPr="000B7810">
        <w:rPr>
          <w:b/>
        </w:rPr>
        <w:t>e)</w:t>
      </w:r>
      <w:r w:rsidRPr="000B7810">
        <w:t xml:space="preserve"> Beneficios a empleados: revelar el cálculo de la reserva actuarial, valor presente de los ingresos esperados comparado con el valor presente de la estimación de gastos tanto de los beneficiarios actuales como futuros:</w:t>
      </w:r>
    </w:p>
    <w:p w14:paraId="072A2E89" w14:textId="77777777" w:rsidR="00CC01C3" w:rsidRDefault="00CC01C3" w:rsidP="007C4BCA">
      <w:pPr>
        <w:jc w:val="both"/>
      </w:pPr>
    </w:p>
    <w:p w14:paraId="7847F5E3" w14:textId="77777777" w:rsidR="00CC01C3" w:rsidRDefault="00CC01C3" w:rsidP="007C4BCA">
      <w:pPr>
        <w:jc w:val="both"/>
      </w:pPr>
      <w:r>
        <w:t xml:space="preserve">NO APLICA </w:t>
      </w:r>
    </w:p>
    <w:p w14:paraId="7BB10789" w14:textId="77777777" w:rsidR="0030361A" w:rsidRPr="000B7810" w:rsidRDefault="0030361A" w:rsidP="007C4BCA">
      <w:pPr>
        <w:jc w:val="both"/>
      </w:pPr>
    </w:p>
    <w:p w14:paraId="517B1F8F" w14:textId="77777777" w:rsidR="00CC01C3" w:rsidRPr="000B7810" w:rsidRDefault="00CC01C3" w:rsidP="007C4BCA">
      <w:pPr>
        <w:jc w:val="both"/>
      </w:pPr>
      <w:r w:rsidRPr="000B7810">
        <w:rPr>
          <w:b/>
        </w:rPr>
        <w:t>f)</w:t>
      </w:r>
      <w:r w:rsidRPr="000B7810">
        <w:t xml:space="preserve"> Provisiones: objetivo de su creación, monto y plazo:</w:t>
      </w:r>
    </w:p>
    <w:p w14:paraId="7B769679" w14:textId="77777777" w:rsidR="00CC01C3" w:rsidRDefault="00CC01C3" w:rsidP="009F743B">
      <w:pPr>
        <w:jc w:val="right"/>
      </w:pPr>
    </w:p>
    <w:p w14:paraId="0F77A4E2" w14:textId="77777777" w:rsidR="00CC01C3" w:rsidRPr="000B7810" w:rsidRDefault="00CC01C3" w:rsidP="007C4BCA">
      <w:pPr>
        <w:jc w:val="both"/>
      </w:pPr>
      <w:r>
        <w:lastRenderedPageBreak/>
        <w:t xml:space="preserve">NO APLICA </w:t>
      </w:r>
    </w:p>
    <w:p w14:paraId="7BFD2E91" w14:textId="77777777" w:rsidR="00CC01C3" w:rsidRPr="000B7810" w:rsidRDefault="00CC01C3" w:rsidP="007C4BCA">
      <w:pPr>
        <w:jc w:val="both"/>
      </w:pPr>
      <w:r w:rsidRPr="000B7810">
        <w:rPr>
          <w:b/>
        </w:rPr>
        <w:t>g)</w:t>
      </w:r>
      <w:r w:rsidRPr="000B7810">
        <w:t xml:space="preserve"> Reservas: objetivo de su creación, monto y plazo:</w:t>
      </w:r>
    </w:p>
    <w:p w14:paraId="3AF060EB" w14:textId="77777777" w:rsidR="00CC01C3" w:rsidRDefault="00CC01C3" w:rsidP="007C4BCA">
      <w:pPr>
        <w:jc w:val="both"/>
      </w:pPr>
    </w:p>
    <w:p w14:paraId="32C2F51C" w14:textId="77777777" w:rsidR="00CC01C3" w:rsidRPr="000B7810" w:rsidRDefault="00CC01C3" w:rsidP="007C4BCA">
      <w:pPr>
        <w:jc w:val="both"/>
      </w:pPr>
      <w:r>
        <w:t xml:space="preserve">NO APLICA </w:t>
      </w:r>
    </w:p>
    <w:p w14:paraId="7C41EF90" w14:textId="77777777" w:rsidR="00CC01C3" w:rsidRPr="00E00323" w:rsidRDefault="00CC01C3" w:rsidP="007C4BCA">
      <w:pPr>
        <w:jc w:val="both"/>
      </w:pPr>
    </w:p>
    <w:p w14:paraId="08905097" w14:textId="77777777" w:rsidR="00CC01C3" w:rsidRPr="000B7810" w:rsidRDefault="00CC01C3" w:rsidP="007C4BCA">
      <w:pPr>
        <w:jc w:val="both"/>
      </w:pPr>
      <w:r w:rsidRPr="000B7810">
        <w:rPr>
          <w:b/>
        </w:rPr>
        <w:t>h)</w:t>
      </w:r>
      <w:r w:rsidRPr="000B7810">
        <w:t xml:space="preserve"> Cambios en políticas contables y corrección de errores junto con la revelación de los efectos que se tendrá en la información financiera del ente público, ya sea retrospectivos o prospectivos:</w:t>
      </w:r>
    </w:p>
    <w:p w14:paraId="23706C47" w14:textId="77777777" w:rsidR="00CC01C3" w:rsidRDefault="00CC01C3" w:rsidP="007C4BCA">
      <w:pPr>
        <w:jc w:val="both"/>
      </w:pPr>
    </w:p>
    <w:p w14:paraId="2AF694D8" w14:textId="77777777" w:rsidR="00CC01C3" w:rsidRPr="000B7810" w:rsidRDefault="00CC01C3" w:rsidP="007C4BCA">
      <w:pPr>
        <w:jc w:val="both"/>
      </w:pPr>
      <w:r>
        <w:t xml:space="preserve">NO APLICA </w:t>
      </w:r>
    </w:p>
    <w:p w14:paraId="50B8ED06" w14:textId="77777777" w:rsidR="00CC01C3" w:rsidRPr="000B7810" w:rsidRDefault="00CC01C3" w:rsidP="007C4BCA">
      <w:pPr>
        <w:jc w:val="both"/>
      </w:pPr>
    </w:p>
    <w:p w14:paraId="6169CEC0" w14:textId="77777777" w:rsidR="00CC01C3" w:rsidRPr="000B7810" w:rsidRDefault="00CC01C3" w:rsidP="007C4BCA">
      <w:pPr>
        <w:jc w:val="both"/>
      </w:pPr>
      <w:r w:rsidRPr="000B7810">
        <w:rPr>
          <w:b/>
        </w:rPr>
        <w:t>i)</w:t>
      </w:r>
      <w:r w:rsidRPr="000B7810">
        <w:t xml:space="preserve"> Reclasificaciones: Se deben revelar todos aquellos movimientos entre cuentas por efectos de cambios en los tipos de operaciones:</w:t>
      </w:r>
    </w:p>
    <w:p w14:paraId="332D9835" w14:textId="77777777" w:rsidR="00CC01C3" w:rsidRDefault="00CC01C3" w:rsidP="007C4BCA">
      <w:pPr>
        <w:jc w:val="both"/>
      </w:pPr>
    </w:p>
    <w:p w14:paraId="7734F7C7" w14:textId="77777777" w:rsidR="00CC01C3" w:rsidRPr="000B7810" w:rsidRDefault="00CC01C3" w:rsidP="007C4BCA">
      <w:pPr>
        <w:jc w:val="both"/>
      </w:pPr>
      <w:r>
        <w:t xml:space="preserve">NO APLICA </w:t>
      </w:r>
      <w:r>
        <w:tab/>
      </w:r>
    </w:p>
    <w:p w14:paraId="461274EB" w14:textId="77777777" w:rsidR="00CC01C3" w:rsidRPr="00E00323" w:rsidRDefault="00CC01C3" w:rsidP="007C4BCA">
      <w:pPr>
        <w:jc w:val="both"/>
      </w:pPr>
    </w:p>
    <w:p w14:paraId="4D1C3D4D" w14:textId="77777777" w:rsidR="00CC01C3" w:rsidRPr="000B7810" w:rsidRDefault="00CC01C3" w:rsidP="007C4BCA">
      <w:pPr>
        <w:jc w:val="both"/>
      </w:pPr>
      <w:r w:rsidRPr="000B7810">
        <w:rPr>
          <w:b/>
        </w:rPr>
        <w:t>j)</w:t>
      </w:r>
      <w:r w:rsidRPr="000B7810">
        <w:t xml:space="preserve"> Depuración y cancelación de saldos:</w:t>
      </w:r>
    </w:p>
    <w:p w14:paraId="4F689C52" w14:textId="77777777" w:rsidR="00CC01C3" w:rsidRDefault="00CC01C3" w:rsidP="007C4BCA">
      <w:pPr>
        <w:jc w:val="both"/>
      </w:pPr>
    </w:p>
    <w:p w14:paraId="7B41DE76" w14:textId="77777777" w:rsidR="00CC01C3" w:rsidRPr="000B7810" w:rsidRDefault="00CC01C3" w:rsidP="007C4BCA">
      <w:pPr>
        <w:jc w:val="both"/>
      </w:pPr>
      <w:r>
        <w:t xml:space="preserve">NO APLICA </w:t>
      </w:r>
    </w:p>
    <w:p w14:paraId="29004B8E" w14:textId="77777777" w:rsidR="00CC01C3" w:rsidRPr="00E00323" w:rsidRDefault="00CC01C3" w:rsidP="007C4BCA">
      <w:pPr>
        <w:jc w:val="both"/>
      </w:pPr>
    </w:p>
    <w:p w14:paraId="0B5F55A4" w14:textId="77777777" w:rsidR="00CC01C3" w:rsidRPr="000B7810" w:rsidRDefault="00CC01C3" w:rsidP="007C4BCA">
      <w:pPr>
        <w:jc w:val="both"/>
        <w:rPr>
          <w:b/>
        </w:rPr>
      </w:pPr>
      <w:r w:rsidRPr="000B7810">
        <w:rPr>
          <w:b/>
        </w:rPr>
        <w:t>7. Posición en Moneda Extranjera y Pro</w:t>
      </w:r>
      <w:r>
        <w:rPr>
          <w:b/>
        </w:rPr>
        <w:t>tección por Riesgo Cambiario:</w:t>
      </w:r>
    </w:p>
    <w:p w14:paraId="636519E4" w14:textId="77777777" w:rsidR="00CC01C3" w:rsidRPr="000B7810" w:rsidRDefault="00CC01C3" w:rsidP="007C4BCA">
      <w:pPr>
        <w:jc w:val="both"/>
      </w:pPr>
      <w:r w:rsidRPr="000B7810">
        <w:t>Se informará sobre:</w:t>
      </w:r>
    </w:p>
    <w:p w14:paraId="389F2B33" w14:textId="77777777" w:rsidR="00CC01C3" w:rsidRPr="000B7810" w:rsidRDefault="00CC01C3" w:rsidP="007C4BCA">
      <w:pPr>
        <w:jc w:val="both"/>
      </w:pPr>
    </w:p>
    <w:p w14:paraId="4D492888" w14:textId="77777777" w:rsidR="00CC01C3" w:rsidRPr="000B7810" w:rsidRDefault="00CC01C3" w:rsidP="007C4BCA">
      <w:pPr>
        <w:jc w:val="both"/>
      </w:pPr>
      <w:r w:rsidRPr="000B7810">
        <w:rPr>
          <w:b/>
        </w:rPr>
        <w:t>a)</w:t>
      </w:r>
      <w:r w:rsidRPr="000B7810">
        <w:t xml:space="preserve"> Activos en moneda extranjera:</w:t>
      </w:r>
    </w:p>
    <w:p w14:paraId="0AA4BD8E" w14:textId="77777777" w:rsidR="00CC01C3" w:rsidRDefault="00CC01C3" w:rsidP="007C4BCA">
      <w:pPr>
        <w:jc w:val="both"/>
      </w:pPr>
    </w:p>
    <w:p w14:paraId="6D08A363" w14:textId="77777777" w:rsidR="00CC01C3" w:rsidRPr="000B7810" w:rsidRDefault="00CC01C3" w:rsidP="007C4BCA">
      <w:pPr>
        <w:jc w:val="both"/>
      </w:pPr>
      <w:r>
        <w:t xml:space="preserve">NO APLICA </w:t>
      </w:r>
    </w:p>
    <w:p w14:paraId="7F70ECA5" w14:textId="77777777" w:rsidR="00CC01C3" w:rsidRDefault="00CC01C3" w:rsidP="007C4BCA">
      <w:pPr>
        <w:jc w:val="both"/>
      </w:pPr>
    </w:p>
    <w:p w14:paraId="2A33747F" w14:textId="77777777" w:rsidR="00CC01C3" w:rsidRPr="000B7810" w:rsidRDefault="00CC01C3" w:rsidP="007C4BCA">
      <w:pPr>
        <w:jc w:val="both"/>
      </w:pPr>
      <w:r>
        <w:t>22</w:t>
      </w:r>
    </w:p>
    <w:p w14:paraId="1308FE09" w14:textId="77777777" w:rsidR="00CC01C3" w:rsidRPr="000B7810" w:rsidRDefault="00CC01C3" w:rsidP="007C4BCA">
      <w:pPr>
        <w:jc w:val="both"/>
      </w:pPr>
      <w:r w:rsidRPr="000B7810">
        <w:rPr>
          <w:b/>
        </w:rPr>
        <w:t>b)</w:t>
      </w:r>
      <w:r w:rsidRPr="000B7810">
        <w:t xml:space="preserve"> Pasivos en moneda extranjera:</w:t>
      </w:r>
    </w:p>
    <w:p w14:paraId="5B066733" w14:textId="77777777" w:rsidR="00CC01C3" w:rsidRDefault="00CC01C3" w:rsidP="007C4BCA">
      <w:pPr>
        <w:jc w:val="both"/>
      </w:pPr>
    </w:p>
    <w:p w14:paraId="1FB1F7C1" w14:textId="77777777" w:rsidR="00CC01C3" w:rsidRPr="000B7810" w:rsidRDefault="00CC01C3" w:rsidP="007C4BCA">
      <w:pPr>
        <w:jc w:val="both"/>
      </w:pPr>
      <w:r>
        <w:t xml:space="preserve">NO APLICA </w:t>
      </w:r>
    </w:p>
    <w:p w14:paraId="097A73FE" w14:textId="77777777" w:rsidR="00CC01C3" w:rsidRPr="00E00323" w:rsidRDefault="00CC01C3" w:rsidP="007C4BCA">
      <w:pPr>
        <w:jc w:val="both"/>
      </w:pPr>
    </w:p>
    <w:p w14:paraId="39C098B0" w14:textId="77777777" w:rsidR="00CC01C3" w:rsidRPr="000B7810" w:rsidRDefault="00CC01C3" w:rsidP="007C4BCA">
      <w:pPr>
        <w:jc w:val="both"/>
      </w:pPr>
      <w:r w:rsidRPr="000B7810">
        <w:rPr>
          <w:b/>
        </w:rPr>
        <w:t xml:space="preserve">c) </w:t>
      </w:r>
      <w:r w:rsidRPr="000B7810">
        <w:t>Posición en moneda extranjera:</w:t>
      </w:r>
    </w:p>
    <w:p w14:paraId="2CAE615E" w14:textId="77777777" w:rsidR="00CC01C3" w:rsidRPr="000B7810" w:rsidRDefault="00CC01C3" w:rsidP="007C4BCA">
      <w:pPr>
        <w:jc w:val="both"/>
      </w:pPr>
      <w:r>
        <w:t xml:space="preserve">NO APLICA </w:t>
      </w:r>
    </w:p>
    <w:p w14:paraId="38DA2D4A" w14:textId="77777777" w:rsidR="00CC01C3" w:rsidRPr="000B7810" w:rsidRDefault="00CC01C3" w:rsidP="007C4BCA">
      <w:pPr>
        <w:jc w:val="both"/>
      </w:pPr>
      <w:r w:rsidRPr="000B7810">
        <w:rPr>
          <w:b/>
        </w:rPr>
        <w:t>d)</w:t>
      </w:r>
      <w:r w:rsidRPr="000B7810">
        <w:t xml:space="preserve"> Tipo de cambio:</w:t>
      </w:r>
    </w:p>
    <w:p w14:paraId="25083711" w14:textId="77777777" w:rsidR="00CC01C3" w:rsidRPr="000B7810" w:rsidRDefault="00CC01C3" w:rsidP="007C4BCA">
      <w:pPr>
        <w:jc w:val="both"/>
      </w:pPr>
      <w:r>
        <w:t xml:space="preserve">NO APLICA </w:t>
      </w:r>
    </w:p>
    <w:p w14:paraId="47355015" w14:textId="77777777" w:rsidR="00CC01C3" w:rsidRDefault="00CC01C3" w:rsidP="007C4BCA">
      <w:pPr>
        <w:jc w:val="both"/>
      </w:pPr>
    </w:p>
    <w:p w14:paraId="634E055A" w14:textId="77777777" w:rsidR="009F743B" w:rsidRDefault="009F743B" w:rsidP="007C4BCA">
      <w:pPr>
        <w:jc w:val="both"/>
      </w:pPr>
    </w:p>
    <w:p w14:paraId="433031BA" w14:textId="77777777" w:rsidR="009F743B" w:rsidRDefault="009F743B" w:rsidP="009F743B">
      <w:pPr>
        <w:jc w:val="right"/>
      </w:pPr>
    </w:p>
    <w:p w14:paraId="2AF072DB" w14:textId="77777777" w:rsidR="00616328" w:rsidRDefault="00616328" w:rsidP="009F743B">
      <w:pPr>
        <w:jc w:val="right"/>
      </w:pPr>
    </w:p>
    <w:p w14:paraId="6572FD92" w14:textId="77777777" w:rsidR="00CC01C3" w:rsidRPr="000B7810" w:rsidRDefault="00CC01C3" w:rsidP="007C4BCA">
      <w:pPr>
        <w:jc w:val="both"/>
      </w:pPr>
      <w:r w:rsidRPr="000B7810">
        <w:rPr>
          <w:b/>
        </w:rPr>
        <w:lastRenderedPageBreak/>
        <w:t xml:space="preserve">e) </w:t>
      </w:r>
      <w:r w:rsidRPr="000B7810">
        <w:t>Equivalente en moneda nacional:</w:t>
      </w:r>
    </w:p>
    <w:p w14:paraId="0776A4DB" w14:textId="77777777" w:rsidR="00CC01C3" w:rsidRDefault="00CC01C3" w:rsidP="007C4BCA">
      <w:pPr>
        <w:jc w:val="both"/>
      </w:pPr>
      <w:r>
        <w:t xml:space="preserve">NO APLICA </w:t>
      </w:r>
    </w:p>
    <w:p w14:paraId="6D9F1EBA" w14:textId="77777777" w:rsidR="009F743B" w:rsidRPr="000B7810" w:rsidRDefault="009F743B" w:rsidP="007C4BCA">
      <w:pPr>
        <w:jc w:val="both"/>
      </w:pPr>
    </w:p>
    <w:p w14:paraId="0C6AB61E" w14:textId="77777777" w:rsidR="00CC01C3" w:rsidRPr="000B7810" w:rsidRDefault="00CC01C3" w:rsidP="007C4BCA">
      <w:pPr>
        <w:jc w:val="both"/>
      </w:pPr>
      <w:r w:rsidRPr="000B7810">
        <w:t>Lo anterior por cada tipo de moneda extranjera que se encuentre en los rubros de activo y pasivo.</w:t>
      </w:r>
    </w:p>
    <w:p w14:paraId="74D949C7" w14:textId="77777777" w:rsidR="00CC01C3" w:rsidRPr="000B7810" w:rsidRDefault="00CC01C3" w:rsidP="007C4BCA">
      <w:pPr>
        <w:jc w:val="both"/>
      </w:pPr>
      <w:r w:rsidRPr="000B7810">
        <w:t>Adicionalmente se informará sobre los métodos de protección de riesgo por vari</w:t>
      </w:r>
      <w:r>
        <w:t>aciones en el tipo de cambio.</w:t>
      </w:r>
    </w:p>
    <w:p w14:paraId="4EF04FED" w14:textId="77777777" w:rsidR="00DB5C58" w:rsidRPr="00E00323" w:rsidRDefault="00DB5C58" w:rsidP="007C4BCA">
      <w:pPr>
        <w:jc w:val="both"/>
      </w:pPr>
    </w:p>
    <w:p w14:paraId="74372204" w14:textId="77777777" w:rsidR="00CC01C3" w:rsidRPr="000B7810" w:rsidRDefault="00CC01C3" w:rsidP="007C4BCA">
      <w:pPr>
        <w:jc w:val="both"/>
        <w:rPr>
          <w:b/>
        </w:rPr>
      </w:pPr>
      <w:r w:rsidRPr="000B7810">
        <w:rPr>
          <w:b/>
        </w:rPr>
        <w:t xml:space="preserve">8. </w:t>
      </w:r>
      <w:r>
        <w:rPr>
          <w:b/>
        </w:rPr>
        <w:t>Reporte Analítico del Activo:</w:t>
      </w:r>
    </w:p>
    <w:p w14:paraId="0220FB61" w14:textId="77777777" w:rsidR="00CC01C3" w:rsidRPr="000B7810" w:rsidRDefault="00CC01C3" w:rsidP="007C4BCA">
      <w:pPr>
        <w:jc w:val="both"/>
      </w:pPr>
      <w:r w:rsidRPr="000B7810">
        <w:t>Debe mostrar la siguien</w:t>
      </w:r>
      <w:r>
        <w:t>te información:</w:t>
      </w:r>
    </w:p>
    <w:p w14:paraId="46585888" w14:textId="77777777" w:rsidR="00CC01C3" w:rsidRPr="000B7810" w:rsidRDefault="00CC01C3" w:rsidP="007C4BCA">
      <w:pPr>
        <w:jc w:val="both"/>
      </w:pPr>
    </w:p>
    <w:p w14:paraId="46493E43" w14:textId="77777777" w:rsidR="00CC01C3" w:rsidRPr="000B7810" w:rsidRDefault="00CC01C3" w:rsidP="007C4BCA">
      <w:pPr>
        <w:jc w:val="both"/>
      </w:pPr>
      <w:r w:rsidRPr="000B7810">
        <w:rPr>
          <w:b/>
        </w:rPr>
        <w:t>a)</w:t>
      </w:r>
      <w:r w:rsidRPr="000B7810">
        <w:t xml:space="preserve"> Vida útil o porcentajes de depreciación, deterioro o amortización utilizados en los diferentes tipos de activos:</w:t>
      </w:r>
    </w:p>
    <w:p w14:paraId="02E66D8E" w14:textId="77777777" w:rsidR="00CC01C3" w:rsidRDefault="00CC01C3" w:rsidP="007C4BCA">
      <w:pPr>
        <w:jc w:val="both"/>
      </w:pPr>
    </w:p>
    <w:p w14:paraId="5D059290" w14:textId="77777777" w:rsidR="00CC01C3" w:rsidRDefault="00CC01C3" w:rsidP="007C4BCA">
      <w:pPr>
        <w:jc w:val="both"/>
      </w:pPr>
      <w:r w:rsidRPr="008A1196">
        <w:t>De</w:t>
      </w:r>
      <w:r w:rsidRPr="0010704E">
        <w:t xml:space="preserve"> conformidad con la norma de CONAC y </w:t>
      </w:r>
      <w:r>
        <w:t>a las disposiciones fiscales vigentes</w:t>
      </w:r>
    </w:p>
    <w:p w14:paraId="39D47E13" w14:textId="77777777" w:rsidR="00DB5C58" w:rsidRDefault="00DB5C58" w:rsidP="007C4BCA">
      <w:pPr>
        <w:jc w:val="both"/>
      </w:pPr>
    </w:p>
    <w:p w14:paraId="27F56EA1" w14:textId="77777777" w:rsidR="00CC01C3" w:rsidRPr="000B7810" w:rsidRDefault="00CC01C3" w:rsidP="007C4BCA">
      <w:pPr>
        <w:jc w:val="both"/>
      </w:pPr>
      <w:r w:rsidRPr="000B7810">
        <w:rPr>
          <w:b/>
        </w:rPr>
        <w:t>b)</w:t>
      </w:r>
      <w:r w:rsidRPr="000B7810">
        <w:t xml:space="preserve"> Cambios en el porcentaje de depreciación o valor residual de los activos:</w:t>
      </w:r>
    </w:p>
    <w:p w14:paraId="0DA1D428" w14:textId="77777777" w:rsidR="00CC01C3" w:rsidRDefault="00CC01C3" w:rsidP="007C4BCA">
      <w:pPr>
        <w:jc w:val="both"/>
      </w:pPr>
    </w:p>
    <w:p w14:paraId="1454C8D1" w14:textId="77777777" w:rsidR="00CC01C3" w:rsidRDefault="00CC01C3" w:rsidP="007C4BCA">
      <w:pPr>
        <w:jc w:val="both"/>
      </w:pPr>
      <w:r w:rsidRPr="008A1196">
        <w:t>De</w:t>
      </w:r>
      <w:r w:rsidRPr="0010704E">
        <w:t xml:space="preserve"> conformidad con la norma de CONAC y los alcances del SIHP, actualmente sólo pueden considerarse las 40 clases de activos vigentes</w:t>
      </w:r>
      <w:r>
        <w:t>.</w:t>
      </w:r>
    </w:p>
    <w:p w14:paraId="13A8BBF1" w14:textId="77777777" w:rsidR="00CC01C3" w:rsidRPr="00E00323" w:rsidRDefault="00CC01C3" w:rsidP="007C4BCA">
      <w:pPr>
        <w:jc w:val="both"/>
      </w:pPr>
    </w:p>
    <w:p w14:paraId="4B3EC100" w14:textId="77777777" w:rsidR="00CC01C3" w:rsidRPr="000B7810" w:rsidRDefault="00CC01C3" w:rsidP="007C4BCA">
      <w:pPr>
        <w:jc w:val="both"/>
      </w:pPr>
      <w:r w:rsidRPr="000B7810">
        <w:rPr>
          <w:b/>
        </w:rPr>
        <w:t>c)</w:t>
      </w:r>
      <w:r w:rsidRPr="000B7810">
        <w:t xml:space="preserve"> Importe de los gastos capitalizados en el ejercicio, tanto financieros como de investigación y desarrollo:</w:t>
      </w:r>
    </w:p>
    <w:p w14:paraId="417EFC89" w14:textId="77777777" w:rsidR="00CC01C3" w:rsidRDefault="00CC01C3" w:rsidP="007C4BCA">
      <w:pPr>
        <w:jc w:val="both"/>
      </w:pPr>
    </w:p>
    <w:p w14:paraId="3FAADDF3" w14:textId="77777777" w:rsidR="00CC01C3" w:rsidRDefault="00CC01C3" w:rsidP="007C4BCA">
      <w:pPr>
        <w:jc w:val="both"/>
      </w:pPr>
      <w:r>
        <w:t>NO APLICA</w:t>
      </w:r>
    </w:p>
    <w:p w14:paraId="19118660" w14:textId="77777777" w:rsidR="00DB5C58" w:rsidRDefault="00DB5C58" w:rsidP="007C4BCA">
      <w:pPr>
        <w:jc w:val="both"/>
      </w:pPr>
    </w:p>
    <w:p w14:paraId="505CD535" w14:textId="77777777" w:rsidR="00CC01C3" w:rsidRPr="000B7810" w:rsidRDefault="00CC01C3" w:rsidP="007C4BCA">
      <w:pPr>
        <w:jc w:val="both"/>
      </w:pPr>
      <w:r w:rsidRPr="000B7810">
        <w:rPr>
          <w:b/>
        </w:rPr>
        <w:t>d)</w:t>
      </w:r>
      <w:r w:rsidRPr="000B7810">
        <w:t xml:space="preserve"> Riegos por tipo de cambio o tipo de interés de las inversiones financieras:</w:t>
      </w:r>
    </w:p>
    <w:p w14:paraId="146C4546" w14:textId="77777777" w:rsidR="00CC01C3" w:rsidRDefault="00CC01C3" w:rsidP="007C4BCA">
      <w:pPr>
        <w:jc w:val="both"/>
      </w:pPr>
    </w:p>
    <w:p w14:paraId="18AA3AF1" w14:textId="77777777" w:rsidR="00CC01C3" w:rsidRDefault="00CC01C3" w:rsidP="007C4BCA">
      <w:pPr>
        <w:jc w:val="both"/>
      </w:pPr>
      <w:r>
        <w:t>NO APLICA</w:t>
      </w:r>
    </w:p>
    <w:p w14:paraId="55A3DEFB" w14:textId="77777777" w:rsidR="00CC01C3" w:rsidRPr="00E00323" w:rsidRDefault="00CC01C3" w:rsidP="007C4BCA">
      <w:pPr>
        <w:jc w:val="both"/>
      </w:pPr>
    </w:p>
    <w:p w14:paraId="0AAE1C34" w14:textId="77777777" w:rsidR="00CC01C3" w:rsidRPr="000B7810" w:rsidRDefault="00CC01C3" w:rsidP="007C4BCA">
      <w:pPr>
        <w:jc w:val="both"/>
      </w:pPr>
      <w:r w:rsidRPr="000B7810">
        <w:rPr>
          <w:b/>
        </w:rPr>
        <w:t xml:space="preserve">e) </w:t>
      </w:r>
      <w:r w:rsidRPr="000B7810">
        <w:t>Valor activado en el ejercicio de los bienes construidos por la entidad:</w:t>
      </w:r>
    </w:p>
    <w:p w14:paraId="547CA246" w14:textId="77777777" w:rsidR="00CC01C3" w:rsidRDefault="00CC01C3" w:rsidP="007C4BCA">
      <w:pPr>
        <w:jc w:val="both"/>
      </w:pPr>
    </w:p>
    <w:p w14:paraId="4C6A37C9" w14:textId="77777777" w:rsidR="00CC01C3" w:rsidRDefault="00CC01C3" w:rsidP="007C4BCA">
      <w:pPr>
        <w:jc w:val="both"/>
      </w:pPr>
      <w:r>
        <w:t>NO APLICA</w:t>
      </w:r>
    </w:p>
    <w:p w14:paraId="21EB0A7D" w14:textId="77777777" w:rsidR="0030361A" w:rsidRPr="00E00323" w:rsidRDefault="0030361A" w:rsidP="007C4BCA">
      <w:pPr>
        <w:jc w:val="both"/>
        <w:rPr>
          <w:b/>
        </w:rPr>
      </w:pPr>
    </w:p>
    <w:p w14:paraId="50FE2989" w14:textId="77777777" w:rsidR="00CC01C3" w:rsidRPr="000B7810" w:rsidRDefault="00CC01C3" w:rsidP="00CC01C3">
      <w:pPr>
        <w:jc w:val="both"/>
      </w:pPr>
      <w:r w:rsidRPr="000B7810">
        <w:rPr>
          <w:b/>
        </w:rPr>
        <w:t>f)</w:t>
      </w:r>
      <w:r w:rsidRPr="000B7810">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18C5B97" w14:textId="77777777" w:rsidR="00CC01C3" w:rsidRDefault="00CC01C3" w:rsidP="00CC01C3">
      <w:pPr>
        <w:jc w:val="both"/>
      </w:pPr>
    </w:p>
    <w:p w14:paraId="40A27C22" w14:textId="77777777" w:rsidR="00CC01C3" w:rsidRDefault="00CC01C3" w:rsidP="00CC01C3">
      <w:pPr>
        <w:jc w:val="both"/>
      </w:pPr>
      <w:r>
        <w:t>NO APLICA</w:t>
      </w:r>
    </w:p>
    <w:p w14:paraId="3480FABF" w14:textId="77777777" w:rsidR="00CC01C3" w:rsidRPr="00E00323" w:rsidRDefault="00CC01C3" w:rsidP="00CC01C3">
      <w:pPr>
        <w:jc w:val="both"/>
      </w:pPr>
    </w:p>
    <w:p w14:paraId="5320356C" w14:textId="77777777" w:rsidR="00CC01C3" w:rsidRPr="000B7810" w:rsidRDefault="00CC01C3" w:rsidP="00CC01C3">
      <w:pPr>
        <w:jc w:val="both"/>
      </w:pPr>
      <w:r w:rsidRPr="000B7810">
        <w:rPr>
          <w:b/>
        </w:rPr>
        <w:t>g)</w:t>
      </w:r>
      <w:r w:rsidRPr="000B7810">
        <w:t xml:space="preserve"> Desmantelamiento de Activos, procedimientos, implicaciones, efectos contables:</w:t>
      </w:r>
    </w:p>
    <w:p w14:paraId="15AE4761" w14:textId="77777777" w:rsidR="00CC01C3" w:rsidRDefault="00CC01C3" w:rsidP="009F743B">
      <w:r>
        <w:t>NO APLICA</w:t>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r w:rsidR="009F743B">
        <w:tab/>
      </w:r>
    </w:p>
    <w:p w14:paraId="59F5113B" w14:textId="77777777" w:rsidR="00CC01C3" w:rsidRPr="000B7810" w:rsidRDefault="00CC01C3" w:rsidP="00CC01C3">
      <w:pPr>
        <w:jc w:val="both"/>
      </w:pPr>
      <w:r w:rsidRPr="000B7810">
        <w:rPr>
          <w:b/>
        </w:rPr>
        <w:lastRenderedPageBreak/>
        <w:t>h)</w:t>
      </w:r>
      <w:r w:rsidRPr="000B7810">
        <w:t xml:space="preserve"> Administración de activos; planeación con el objetivo de que el ente los utilice de manera más efectiva:</w:t>
      </w:r>
    </w:p>
    <w:p w14:paraId="29A2D8BB" w14:textId="77777777" w:rsidR="00CC01C3" w:rsidRDefault="00CC01C3" w:rsidP="00CC01C3">
      <w:pPr>
        <w:jc w:val="both"/>
      </w:pPr>
      <w:r>
        <w:t>NO APLICA</w:t>
      </w:r>
    </w:p>
    <w:p w14:paraId="67613EAB" w14:textId="77777777" w:rsidR="00CC01C3" w:rsidRPr="000B7810" w:rsidRDefault="00CC01C3" w:rsidP="00CC01C3">
      <w:pPr>
        <w:jc w:val="both"/>
      </w:pPr>
      <w:r w:rsidRPr="000B7810">
        <w:t>Adicionalmente, se deben incluir las explicaciones de las principales variaciones en el activo, en cua</w:t>
      </w:r>
      <w:r>
        <w:t>dros comparativos como sigue:</w:t>
      </w:r>
    </w:p>
    <w:p w14:paraId="18AE23EE" w14:textId="77777777" w:rsidR="00CC01C3" w:rsidRPr="000B7810" w:rsidRDefault="00CC01C3" w:rsidP="00CC01C3">
      <w:pPr>
        <w:jc w:val="both"/>
      </w:pPr>
    </w:p>
    <w:p w14:paraId="6BA513F6" w14:textId="77777777" w:rsidR="00CC01C3" w:rsidRPr="000B7810" w:rsidRDefault="00CC01C3" w:rsidP="00CC01C3">
      <w:pPr>
        <w:jc w:val="both"/>
      </w:pPr>
      <w:r w:rsidRPr="000B7810">
        <w:rPr>
          <w:b/>
        </w:rPr>
        <w:t>a)</w:t>
      </w:r>
      <w:r w:rsidRPr="000B7810">
        <w:t xml:space="preserve"> Inversiones en valores:</w:t>
      </w:r>
    </w:p>
    <w:p w14:paraId="36FBAE8B" w14:textId="77777777" w:rsidR="00CC01C3" w:rsidRDefault="00CC01C3" w:rsidP="00CC01C3">
      <w:pPr>
        <w:jc w:val="both"/>
      </w:pPr>
    </w:p>
    <w:p w14:paraId="7063CCCE" w14:textId="77777777" w:rsidR="00CC01C3" w:rsidRDefault="00CC01C3" w:rsidP="00CC01C3">
      <w:pPr>
        <w:jc w:val="both"/>
      </w:pPr>
      <w:r>
        <w:t>NO APLICA</w:t>
      </w:r>
    </w:p>
    <w:p w14:paraId="3FB4F186" w14:textId="77777777" w:rsidR="00CC01C3" w:rsidRPr="005E231E" w:rsidRDefault="00CC01C3" w:rsidP="00CC01C3">
      <w:pPr>
        <w:jc w:val="both"/>
      </w:pPr>
    </w:p>
    <w:p w14:paraId="1BA270BB" w14:textId="77777777" w:rsidR="00CC01C3" w:rsidRPr="000B7810" w:rsidRDefault="00CC01C3" w:rsidP="00CC01C3">
      <w:pPr>
        <w:jc w:val="both"/>
      </w:pPr>
      <w:r w:rsidRPr="000B7810">
        <w:rPr>
          <w:b/>
        </w:rPr>
        <w:t>b)</w:t>
      </w:r>
      <w:r w:rsidRPr="000B7810">
        <w:t xml:space="preserve"> Patrimonio de Organismos descentralizados de Control Presupuestario Indirecto:</w:t>
      </w:r>
    </w:p>
    <w:p w14:paraId="41CB819D" w14:textId="77777777" w:rsidR="00CC01C3" w:rsidRDefault="00CC01C3" w:rsidP="00CC01C3">
      <w:pPr>
        <w:jc w:val="both"/>
      </w:pPr>
    </w:p>
    <w:p w14:paraId="3738290C" w14:textId="77777777" w:rsidR="00CC01C3" w:rsidRDefault="00CC01C3" w:rsidP="00CC01C3">
      <w:pPr>
        <w:jc w:val="both"/>
      </w:pPr>
      <w:r>
        <w:t>NO APLICA</w:t>
      </w:r>
    </w:p>
    <w:p w14:paraId="008B7001" w14:textId="77777777" w:rsidR="00CC01C3" w:rsidRPr="005E231E" w:rsidRDefault="00CC01C3" w:rsidP="00CC01C3">
      <w:pPr>
        <w:jc w:val="both"/>
      </w:pPr>
    </w:p>
    <w:p w14:paraId="00548426" w14:textId="77777777" w:rsidR="00CC01C3" w:rsidRPr="000B7810" w:rsidRDefault="00CC01C3" w:rsidP="00CC01C3">
      <w:pPr>
        <w:jc w:val="both"/>
      </w:pPr>
      <w:r w:rsidRPr="000B7810">
        <w:rPr>
          <w:b/>
        </w:rPr>
        <w:t>c)</w:t>
      </w:r>
      <w:r w:rsidRPr="000B7810">
        <w:t xml:space="preserve"> Inversiones en empresas de participación mayoritaria:</w:t>
      </w:r>
    </w:p>
    <w:p w14:paraId="455E589B" w14:textId="77777777" w:rsidR="00CC01C3" w:rsidRDefault="00CC01C3" w:rsidP="00CC01C3">
      <w:pPr>
        <w:jc w:val="both"/>
      </w:pPr>
    </w:p>
    <w:p w14:paraId="4F7A1D7E" w14:textId="77777777" w:rsidR="00CC01C3" w:rsidRDefault="00CC01C3" w:rsidP="00CC01C3">
      <w:pPr>
        <w:jc w:val="both"/>
      </w:pPr>
      <w:r>
        <w:t>NO APLICA</w:t>
      </w:r>
    </w:p>
    <w:p w14:paraId="1ACA3D6C" w14:textId="77777777" w:rsidR="00CC01C3" w:rsidRPr="000B7810" w:rsidRDefault="00CC01C3" w:rsidP="00CC01C3">
      <w:pPr>
        <w:jc w:val="both"/>
      </w:pPr>
      <w:r w:rsidRPr="000B7810">
        <w:rPr>
          <w:b/>
        </w:rPr>
        <w:t>d)</w:t>
      </w:r>
      <w:r w:rsidRPr="000B7810">
        <w:t xml:space="preserve"> Inversiones en empresas de participación minoritaria:</w:t>
      </w:r>
    </w:p>
    <w:p w14:paraId="5BA3191F" w14:textId="77777777" w:rsidR="00CC01C3" w:rsidRDefault="00CC01C3" w:rsidP="00CC01C3">
      <w:pPr>
        <w:jc w:val="both"/>
      </w:pPr>
    </w:p>
    <w:p w14:paraId="1B079FA4" w14:textId="77777777" w:rsidR="00CC01C3" w:rsidRDefault="00CC01C3" w:rsidP="00CC01C3">
      <w:pPr>
        <w:jc w:val="both"/>
      </w:pPr>
      <w:r>
        <w:t>NO APLICA</w:t>
      </w:r>
    </w:p>
    <w:p w14:paraId="0E842734" w14:textId="77777777" w:rsidR="00CC01C3" w:rsidRDefault="00CC01C3" w:rsidP="00CC01C3">
      <w:pPr>
        <w:jc w:val="both"/>
      </w:pPr>
    </w:p>
    <w:p w14:paraId="7EE0BA72" w14:textId="77777777" w:rsidR="00CC01C3" w:rsidRPr="000B7810" w:rsidRDefault="00CC01C3" w:rsidP="00CC01C3">
      <w:pPr>
        <w:jc w:val="both"/>
      </w:pPr>
      <w:r w:rsidRPr="000B7810">
        <w:rPr>
          <w:b/>
        </w:rPr>
        <w:t>e)</w:t>
      </w:r>
      <w:r w:rsidRPr="000B7810">
        <w:t xml:space="preserve"> Patrimonio de organismos descentralizados de control presupuestario directo, según corresponda:</w:t>
      </w:r>
    </w:p>
    <w:p w14:paraId="0E5DAF56" w14:textId="77777777" w:rsidR="00CC01C3" w:rsidRDefault="00CC01C3" w:rsidP="00CC01C3">
      <w:pPr>
        <w:jc w:val="both"/>
      </w:pPr>
    </w:p>
    <w:p w14:paraId="3B1C3CE6" w14:textId="77777777" w:rsidR="00CC01C3" w:rsidRDefault="00CC01C3" w:rsidP="00CC01C3">
      <w:pPr>
        <w:jc w:val="both"/>
      </w:pPr>
      <w:r>
        <w:t>NO APLICA</w:t>
      </w:r>
    </w:p>
    <w:p w14:paraId="45592868" w14:textId="77777777" w:rsidR="0030361A" w:rsidRPr="005E231E" w:rsidRDefault="0030361A" w:rsidP="00CC01C3">
      <w:pPr>
        <w:jc w:val="both"/>
      </w:pPr>
    </w:p>
    <w:p w14:paraId="08700A5B" w14:textId="77777777" w:rsidR="00CC01C3" w:rsidRPr="000B7810" w:rsidRDefault="00CC01C3" w:rsidP="00CC01C3">
      <w:pPr>
        <w:jc w:val="both"/>
        <w:rPr>
          <w:b/>
        </w:rPr>
      </w:pPr>
      <w:r w:rsidRPr="000B7810">
        <w:rPr>
          <w:b/>
        </w:rPr>
        <w:t>9. Fidei</w:t>
      </w:r>
      <w:r>
        <w:rPr>
          <w:b/>
        </w:rPr>
        <w:t>comisos, Mandatos y Análogos:</w:t>
      </w:r>
    </w:p>
    <w:p w14:paraId="4D4A001A" w14:textId="77777777" w:rsidR="00CC01C3" w:rsidRPr="000B7810" w:rsidRDefault="00CC01C3" w:rsidP="00CC01C3">
      <w:pPr>
        <w:jc w:val="both"/>
      </w:pPr>
      <w:r w:rsidRPr="000B7810">
        <w:t>Se deberá informar:</w:t>
      </w:r>
    </w:p>
    <w:p w14:paraId="2AF2C462" w14:textId="77777777" w:rsidR="00CC01C3" w:rsidRPr="000B7810" w:rsidRDefault="00CC01C3" w:rsidP="00CC01C3">
      <w:pPr>
        <w:jc w:val="both"/>
      </w:pPr>
    </w:p>
    <w:p w14:paraId="3E649C66" w14:textId="77777777" w:rsidR="00CC01C3" w:rsidRPr="000B7810" w:rsidRDefault="00CC01C3" w:rsidP="00CC01C3">
      <w:pPr>
        <w:jc w:val="both"/>
      </w:pPr>
      <w:r w:rsidRPr="000B7810">
        <w:rPr>
          <w:b/>
        </w:rPr>
        <w:t>a)</w:t>
      </w:r>
      <w:r w:rsidRPr="000B7810">
        <w:t xml:space="preserve"> Por ramo administrativo que los reporta:</w:t>
      </w:r>
    </w:p>
    <w:p w14:paraId="34D0C2C2" w14:textId="77777777" w:rsidR="00CC01C3" w:rsidRDefault="00CC01C3" w:rsidP="00CC01C3">
      <w:pPr>
        <w:jc w:val="both"/>
      </w:pPr>
    </w:p>
    <w:p w14:paraId="47CC4DD0" w14:textId="77777777" w:rsidR="00CC01C3" w:rsidRDefault="00CC01C3" w:rsidP="00CC01C3">
      <w:pPr>
        <w:jc w:val="both"/>
      </w:pPr>
      <w:r>
        <w:t>NO APLICA</w:t>
      </w:r>
    </w:p>
    <w:p w14:paraId="03D20D64" w14:textId="77777777" w:rsidR="00CC01C3" w:rsidRPr="005E231E" w:rsidRDefault="00CC01C3" w:rsidP="00CC01C3">
      <w:pPr>
        <w:jc w:val="both"/>
      </w:pPr>
    </w:p>
    <w:p w14:paraId="2C586D3A" w14:textId="77777777" w:rsidR="00CC01C3" w:rsidRPr="000B7810" w:rsidRDefault="00CC01C3" w:rsidP="00CC01C3">
      <w:pPr>
        <w:jc w:val="both"/>
      </w:pPr>
      <w:r w:rsidRPr="000B7810">
        <w:rPr>
          <w:b/>
        </w:rPr>
        <w:t>b)</w:t>
      </w:r>
      <w:r w:rsidRPr="000B7810">
        <w:t xml:space="preserve"> Enlistar los de mayor monto de disponibilidad, relacionando aquéllos que conforman el 80% de las disponibilidades:</w:t>
      </w:r>
    </w:p>
    <w:p w14:paraId="576310E0" w14:textId="77777777" w:rsidR="00CC01C3" w:rsidRDefault="00CC01C3" w:rsidP="00CC01C3">
      <w:pPr>
        <w:jc w:val="both"/>
      </w:pPr>
    </w:p>
    <w:p w14:paraId="0E8B542B" w14:textId="77777777" w:rsidR="00CC01C3" w:rsidRDefault="00CC01C3" w:rsidP="00CC01C3">
      <w:pPr>
        <w:jc w:val="both"/>
      </w:pPr>
      <w:r>
        <w:t>NO APLICA</w:t>
      </w:r>
    </w:p>
    <w:p w14:paraId="1228B397" w14:textId="77777777" w:rsidR="009F743B" w:rsidRDefault="009F743B" w:rsidP="00CC01C3">
      <w:pPr>
        <w:jc w:val="both"/>
      </w:pPr>
    </w:p>
    <w:p w14:paraId="3E7E63A6" w14:textId="77777777" w:rsidR="009F743B" w:rsidRDefault="009F743B" w:rsidP="009F743B">
      <w:pPr>
        <w:jc w:val="right"/>
      </w:pPr>
    </w:p>
    <w:p w14:paraId="11C1AF33" w14:textId="77777777" w:rsidR="009F743B" w:rsidRDefault="009F743B" w:rsidP="00CC01C3">
      <w:pPr>
        <w:jc w:val="both"/>
      </w:pPr>
    </w:p>
    <w:p w14:paraId="4E6AED7A" w14:textId="77777777" w:rsidR="00616328" w:rsidRDefault="00616328" w:rsidP="00CC01C3">
      <w:pPr>
        <w:jc w:val="both"/>
      </w:pPr>
    </w:p>
    <w:p w14:paraId="772532C4" w14:textId="77777777" w:rsidR="00616328" w:rsidRPr="005E231E" w:rsidRDefault="00616328" w:rsidP="00CC01C3">
      <w:pPr>
        <w:jc w:val="both"/>
      </w:pPr>
    </w:p>
    <w:p w14:paraId="6919740C" w14:textId="77777777" w:rsidR="00CC01C3" w:rsidRDefault="00CC01C3" w:rsidP="00CC01C3">
      <w:pPr>
        <w:jc w:val="both"/>
        <w:rPr>
          <w:b/>
        </w:rPr>
      </w:pPr>
      <w:r w:rsidRPr="000B7810">
        <w:rPr>
          <w:b/>
        </w:rPr>
        <w:lastRenderedPageBreak/>
        <w:t>10. Reporte de la Recaudación:</w:t>
      </w:r>
    </w:p>
    <w:p w14:paraId="1085F177" w14:textId="77777777" w:rsidR="00CC01C3" w:rsidRPr="000B7810" w:rsidRDefault="00CC01C3" w:rsidP="00CC01C3">
      <w:pPr>
        <w:jc w:val="both"/>
      </w:pPr>
      <w:r w:rsidRPr="000B7810">
        <w:rPr>
          <w:b/>
        </w:rPr>
        <w:t>a)</w:t>
      </w:r>
      <w:r w:rsidRPr="000B7810">
        <w:t xml:space="preserve"> Análisis del comportamiento de la recaudación correspondiente al ente público o cualquier tipo de ingreso, de forma separada los ingresos locales de los federales:</w:t>
      </w:r>
    </w:p>
    <w:p w14:paraId="7D8D146E" w14:textId="77777777" w:rsidR="00CC01C3" w:rsidRDefault="00CC01C3" w:rsidP="00CC01C3">
      <w:pPr>
        <w:jc w:val="both"/>
      </w:pPr>
      <w:r>
        <w:t>NO APLICA</w:t>
      </w:r>
    </w:p>
    <w:p w14:paraId="2855B4A0" w14:textId="77777777" w:rsidR="00CC01C3" w:rsidRPr="000B7810" w:rsidRDefault="00CC01C3" w:rsidP="00CC01C3">
      <w:pPr>
        <w:jc w:val="both"/>
      </w:pPr>
      <w:r w:rsidRPr="000B7810">
        <w:rPr>
          <w:b/>
        </w:rPr>
        <w:t>b)</w:t>
      </w:r>
      <w:r w:rsidRPr="000B7810">
        <w:t xml:space="preserve"> Proyección de la recaudación e ingresos en el mediano plazo:</w:t>
      </w:r>
    </w:p>
    <w:p w14:paraId="7AFF30EB" w14:textId="77777777" w:rsidR="00CC01C3" w:rsidRDefault="00CC01C3" w:rsidP="00CC01C3">
      <w:pPr>
        <w:jc w:val="both"/>
      </w:pPr>
    </w:p>
    <w:p w14:paraId="2B049C8F" w14:textId="77777777" w:rsidR="00CC01C3" w:rsidRDefault="00CC01C3" w:rsidP="00CC01C3">
      <w:pPr>
        <w:jc w:val="both"/>
      </w:pPr>
      <w:r>
        <w:t>NO APLICA</w:t>
      </w:r>
    </w:p>
    <w:p w14:paraId="6AF6F715" w14:textId="77777777" w:rsidR="00CC01C3" w:rsidRPr="005E231E" w:rsidRDefault="00CC01C3" w:rsidP="00CC01C3">
      <w:pPr>
        <w:jc w:val="both"/>
      </w:pPr>
    </w:p>
    <w:p w14:paraId="1F71D85E" w14:textId="77777777" w:rsidR="00CC01C3" w:rsidRPr="000B7810" w:rsidRDefault="00CC01C3" w:rsidP="00CC01C3">
      <w:pPr>
        <w:jc w:val="both"/>
        <w:rPr>
          <w:b/>
        </w:rPr>
      </w:pPr>
      <w:r w:rsidRPr="000B7810">
        <w:rPr>
          <w:b/>
        </w:rPr>
        <w:t>11. Información sobre la Deuda y el R</w:t>
      </w:r>
      <w:r>
        <w:rPr>
          <w:b/>
        </w:rPr>
        <w:t>eporte Analítico de la Deuda:</w:t>
      </w:r>
    </w:p>
    <w:p w14:paraId="6D864BD0" w14:textId="77777777" w:rsidR="00CC01C3" w:rsidRDefault="00CC01C3" w:rsidP="00CC01C3">
      <w:pPr>
        <w:jc w:val="both"/>
      </w:pPr>
      <w:r w:rsidRPr="000B7810">
        <w:t>Se informará lo siguiente:</w:t>
      </w:r>
    </w:p>
    <w:p w14:paraId="54175735" w14:textId="77777777" w:rsidR="00DB5C58" w:rsidRPr="000B7810" w:rsidRDefault="00DB5C58" w:rsidP="00CC01C3">
      <w:pPr>
        <w:jc w:val="both"/>
      </w:pPr>
    </w:p>
    <w:p w14:paraId="1E7974C8" w14:textId="77777777" w:rsidR="00CC01C3" w:rsidRPr="000B7810" w:rsidRDefault="00CC01C3" w:rsidP="00CC01C3">
      <w:pPr>
        <w:jc w:val="both"/>
      </w:pPr>
      <w:r w:rsidRPr="000B7810">
        <w:rPr>
          <w:b/>
        </w:rPr>
        <w:t>a)</w:t>
      </w:r>
      <w:r w:rsidRPr="000B7810">
        <w:t xml:space="preserve"> Utilizar al menos los siguientes indicadores: deuda respecto al PIB y deuda respecto a la recaudación tomando, como mínimo, un período igual o menor a 5 años.</w:t>
      </w:r>
    </w:p>
    <w:p w14:paraId="3481DF0B" w14:textId="77777777" w:rsidR="00CC01C3" w:rsidRDefault="00CC01C3" w:rsidP="00CC01C3">
      <w:pPr>
        <w:jc w:val="both"/>
      </w:pPr>
    </w:p>
    <w:p w14:paraId="75568049" w14:textId="77777777" w:rsidR="00CC01C3" w:rsidRDefault="00CC01C3" w:rsidP="00CC01C3">
      <w:pPr>
        <w:jc w:val="both"/>
      </w:pPr>
      <w:r>
        <w:t>NO APLICA</w:t>
      </w:r>
    </w:p>
    <w:p w14:paraId="128461D0" w14:textId="77777777" w:rsidR="00CC01C3" w:rsidRPr="005E231E" w:rsidRDefault="00CC01C3" w:rsidP="00CC01C3">
      <w:pPr>
        <w:jc w:val="both"/>
      </w:pPr>
    </w:p>
    <w:p w14:paraId="7BA9349D" w14:textId="77777777" w:rsidR="00CC01C3" w:rsidRDefault="00CC01C3" w:rsidP="00CC01C3">
      <w:pPr>
        <w:jc w:val="both"/>
      </w:pPr>
      <w:r w:rsidRPr="000B7810">
        <w:rPr>
          <w:b/>
        </w:rPr>
        <w:t>b)</w:t>
      </w:r>
      <w:r w:rsidRPr="000B7810">
        <w:t xml:space="preserve"> Información de manera agrupada por tipo de valor gubernamental o instrumento financiero en la que se considere intereses, comisiones, tasa, perfil de vencimiento y otros gastos de la deuda.</w:t>
      </w:r>
    </w:p>
    <w:p w14:paraId="255452E3" w14:textId="77777777" w:rsidR="00DB5C58" w:rsidRPr="000B7810" w:rsidRDefault="00DB5C58" w:rsidP="00CC01C3">
      <w:pPr>
        <w:jc w:val="both"/>
      </w:pPr>
    </w:p>
    <w:p w14:paraId="2EFC9F04" w14:textId="77777777" w:rsidR="00CC01C3" w:rsidRPr="000B7810" w:rsidRDefault="00CC01C3" w:rsidP="00CC01C3">
      <w:pPr>
        <w:jc w:val="both"/>
      </w:pPr>
      <w:r w:rsidRPr="000B7810">
        <w:t>* Se anexara la informació</w:t>
      </w:r>
      <w:r>
        <w:t>n en las notas de desglose.</w:t>
      </w:r>
    </w:p>
    <w:p w14:paraId="2C6D1A0C" w14:textId="77777777" w:rsidR="00CC01C3" w:rsidRPr="005E231E" w:rsidRDefault="00CC01C3" w:rsidP="00CC01C3">
      <w:pPr>
        <w:jc w:val="both"/>
      </w:pPr>
    </w:p>
    <w:p w14:paraId="708CFDAC" w14:textId="77777777" w:rsidR="00CC01C3" w:rsidRDefault="00CC01C3" w:rsidP="00CC01C3">
      <w:pPr>
        <w:jc w:val="both"/>
      </w:pPr>
      <w:r>
        <w:t>NO APLICA</w:t>
      </w:r>
    </w:p>
    <w:p w14:paraId="6BEC9BFA" w14:textId="77777777" w:rsidR="00CC01C3" w:rsidRPr="005E231E" w:rsidRDefault="00CC01C3" w:rsidP="00CC01C3">
      <w:pPr>
        <w:jc w:val="both"/>
      </w:pPr>
    </w:p>
    <w:p w14:paraId="6F28C69F" w14:textId="77777777" w:rsidR="00CC01C3" w:rsidRPr="000B7810" w:rsidRDefault="00CC01C3" w:rsidP="00CC01C3">
      <w:pPr>
        <w:jc w:val="both"/>
        <w:rPr>
          <w:b/>
        </w:rPr>
      </w:pPr>
      <w:r w:rsidRPr="000B7810">
        <w:rPr>
          <w:b/>
        </w:rPr>
        <w:t>12.</w:t>
      </w:r>
      <w:r>
        <w:rPr>
          <w:b/>
        </w:rPr>
        <w:t xml:space="preserve"> Calificaciones otorgadas:</w:t>
      </w:r>
    </w:p>
    <w:p w14:paraId="0A58A4E5" w14:textId="77777777" w:rsidR="00CC01C3" w:rsidRPr="000B7810" w:rsidRDefault="00CC01C3" w:rsidP="00CC01C3">
      <w:pPr>
        <w:jc w:val="both"/>
      </w:pPr>
      <w:r w:rsidRPr="000B7810">
        <w:t>Informar, tanto del ente público como cualquier transacción realizada, que haya sido sujeta a una calificación crediticia:</w:t>
      </w:r>
    </w:p>
    <w:p w14:paraId="05BAA4A9" w14:textId="77777777" w:rsidR="00CC01C3" w:rsidRDefault="00CC01C3" w:rsidP="00CC01C3">
      <w:pPr>
        <w:jc w:val="both"/>
      </w:pPr>
      <w:r>
        <w:t>NO APLICA</w:t>
      </w:r>
      <w:r>
        <w:tab/>
      </w:r>
      <w:r>
        <w:tab/>
      </w:r>
      <w:r>
        <w:tab/>
      </w:r>
      <w:r>
        <w:tab/>
      </w:r>
      <w:r>
        <w:tab/>
      </w:r>
      <w:r>
        <w:tab/>
      </w:r>
      <w:r>
        <w:tab/>
      </w:r>
      <w:r>
        <w:tab/>
      </w:r>
      <w:r>
        <w:tab/>
      </w:r>
    </w:p>
    <w:p w14:paraId="644B9519" w14:textId="77777777" w:rsidR="00DB5C58" w:rsidRDefault="00DB5C58" w:rsidP="00CC01C3">
      <w:pPr>
        <w:jc w:val="both"/>
      </w:pPr>
    </w:p>
    <w:p w14:paraId="42A3D8A4" w14:textId="77777777" w:rsidR="00CC01C3" w:rsidRPr="000B7810" w:rsidRDefault="00CC01C3" w:rsidP="00CC01C3">
      <w:pPr>
        <w:jc w:val="both"/>
        <w:rPr>
          <w:b/>
        </w:rPr>
      </w:pPr>
      <w:r w:rsidRPr="000B7810">
        <w:rPr>
          <w:b/>
        </w:rPr>
        <w:t>13. Proceso de Mejora:</w:t>
      </w:r>
    </w:p>
    <w:p w14:paraId="22BAEF62" w14:textId="77777777" w:rsidR="00CC01C3" w:rsidRPr="000B7810" w:rsidRDefault="00CC01C3" w:rsidP="00CC01C3">
      <w:pPr>
        <w:jc w:val="both"/>
      </w:pPr>
      <w:r w:rsidRPr="000B7810">
        <w:t>Se informará de:</w:t>
      </w:r>
    </w:p>
    <w:p w14:paraId="787E5A57" w14:textId="77777777" w:rsidR="00CC01C3" w:rsidRPr="005E231E" w:rsidRDefault="00CC01C3" w:rsidP="00CC01C3">
      <w:pPr>
        <w:jc w:val="both"/>
      </w:pPr>
    </w:p>
    <w:p w14:paraId="225CB059" w14:textId="77777777" w:rsidR="00CC01C3" w:rsidRPr="000B7810" w:rsidRDefault="00CC01C3" w:rsidP="00CC01C3">
      <w:pPr>
        <w:jc w:val="both"/>
      </w:pPr>
      <w:r w:rsidRPr="000B7810">
        <w:rPr>
          <w:b/>
        </w:rPr>
        <w:t>a)</w:t>
      </w:r>
      <w:r w:rsidRPr="000B7810">
        <w:t xml:space="preserve"> Principales Políticas de control interno:</w:t>
      </w:r>
    </w:p>
    <w:p w14:paraId="58E5F9CE" w14:textId="77777777" w:rsidR="00CC01C3" w:rsidRPr="000B7810" w:rsidRDefault="00CC01C3" w:rsidP="00CC01C3">
      <w:pPr>
        <w:jc w:val="both"/>
      </w:pPr>
      <w:r w:rsidRPr="000B7810">
        <w:t>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09AD4BE0" w14:textId="77777777" w:rsidR="00CC01C3" w:rsidRDefault="00CC01C3" w:rsidP="00CC01C3">
      <w:pPr>
        <w:jc w:val="both"/>
      </w:pPr>
    </w:p>
    <w:p w14:paraId="58448366" w14:textId="77777777" w:rsidR="009F743B" w:rsidRDefault="009F743B" w:rsidP="00CC01C3">
      <w:pPr>
        <w:jc w:val="both"/>
      </w:pPr>
    </w:p>
    <w:p w14:paraId="5771D4A4" w14:textId="77777777" w:rsidR="00616328" w:rsidRPr="000B7810" w:rsidRDefault="00616328" w:rsidP="00CC01C3">
      <w:pPr>
        <w:jc w:val="both"/>
      </w:pPr>
    </w:p>
    <w:p w14:paraId="44F789B2" w14:textId="77777777" w:rsidR="00CC01C3" w:rsidRPr="000B7810" w:rsidRDefault="00CC01C3" w:rsidP="00CC01C3">
      <w:pPr>
        <w:jc w:val="both"/>
      </w:pPr>
      <w:r w:rsidRPr="000B7810">
        <w:lastRenderedPageBreak/>
        <w:t>Consecuentemente, esta información contribuye al análisis más preciso de la situación financiera, grados y fuentes de riesgo y crec</w:t>
      </w:r>
      <w:r>
        <w:t>imiento potencial de negocio.</w:t>
      </w:r>
    </w:p>
    <w:p w14:paraId="676A3DA4" w14:textId="77777777" w:rsidR="00CC01C3" w:rsidRPr="005E231E" w:rsidRDefault="00CC01C3" w:rsidP="00CC01C3">
      <w:pPr>
        <w:jc w:val="both"/>
      </w:pPr>
    </w:p>
    <w:p w14:paraId="71CB9D75" w14:textId="77777777" w:rsidR="00CC01C3" w:rsidRDefault="00CC01C3" w:rsidP="00CC01C3">
      <w:pPr>
        <w:jc w:val="both"/>
        <w:rPr>
          <w:rFonts w:ascii="Arial" w:hAnsi="Arial" w:cs="Arial"/>
          <w:sz w:val="20"/>
          <w:szCs w:val="20"/>
        </w:rPr>
      </w:pPr>
      <w:r>
        <w:rPr>
          <w:rFonts w:ascii="Arial" w:hAnsi="Arial" w:cs="Arial"/>
          <w:sz w:val="20"/>
          <w:szCs w:val="20"/>
        </w:rPr>
        <w:t>NO APLICA</w:t>
      </w:r>
    </w:p>
    <w:p w14:paraId="2B648C63" w14:textId="77777777" w:rsidR="0030361A" w:rsidRDefault="0030361A" w:rsidP="00CC01C3">
      <w:pPr>
        <w:jc w:val="both"/>
        <w:rPr>
          <w:rFonts w:ascii="Arial" w:hAnsi="Arial" w:cs="Arial"/>
          <w:sz w:val="20"/>
          <w:szCs w:val="20"/>
        </w:rPr>
      </w:pPr>
    </w:p>
    <w:p w14:paraId="4B6A879C" w14:textId="77777777" w:rsidR="0030361A" w:rsidRDefault="0030361A" w:rsidP="00CC01C3">
      <w:pPr>
        <w:jc w:val="both"/>
        <w:rPr>
          <w:rFonts w:ascii="Arial" w:hAnsi="Arial" w:cs="Arial"/>
          <w:sz w:val="20"/>
          <w:szCs w:val="20"/>
        </w:rPr>
      </w:pPr>
    </w:p>
    <w:p w14:paraId="50E136C0" w14:textId="77777777" w:rsidR="00CC01C3" w:rsidRPr="000B7810" w:rsidRDefault="0030361A" w:rsidP="00CC01C3">
      <w:pPr>
        <w:jc w:val="both"/>
        <w:rPr>
          <w:b/>
        </w:rPr>
      </w:pPr>
      <w:r>
        <w:rPr>
          <w:b/>
        </w:rPr>
        <w:t>1</w:t>
      </w:r>
      <w:r w:rsidR="00CC01C3" w:rsidRPr="000B7810">
        <w:rPr>
          <w:b/>
        </w:rPr>
        <w:t>5. E</w:t>
      </w:r>
      <w:r w:rsidR="00CC01C3">
        <w:rPr>
          <w:b/>
        </w:rPr>
        <w:t>ventos Posteriores al Cierre:</w:t>
      </w:r>
    </w:p>
    <w:p w14:paraId="6AFE3DBD" w14:textId="77777777" w:rsidR="00CC01C3" w:rsidRPr="000B7810" w:rsidRDefault="00CC01C3" w:rsidP="00CC01C3">
      <w:pPr>
        <w:jc w:val="both"/>
      </w:pPr>
    </w:p>
    <w:p w14:paraId="36935B45" w14:textId="77777777" w:rsidR="00CC01C3" w:rsidRDefault="00CC01C3" w:rsidP="00CC01C3">
      <w:pPr>
        <w:jc w:val="both"/>
      </w:pPr>
      <w:r w:rsidRPr="000B7810">
        <w:t>El ente público informará el efecto en sus estados financieros de aquellos hechos ocurridos en el período posterior al que informa, que proporcionan mayor evidencia sobre eventos que le afectan  económicamente y que no se cono</w:t>
      </w:r>
      <w:r>
        <w:t>cían a la fecha de cierre.</w:t>
      </w:r>
      <w:r>
        <w:cr/>
      </w:r>
    </w:p>
    <w:p w14:paraId="4E213737" w14:textId="77777777" w:rsidR="00CC01C3" w:rsidRPr="00A65C9A" w:rsidRDefault="00B12C59" w:rsidP="00CC01C3">
      <w:pPr>
        <w:jc w:val="both"/>
        <w:rPr>
          <w:rFonts w:ascii="Arial" w:hAnsi="Arial" w:cs="Arial"/>
          <w:sz w:val="20"/>
          <w:szCs w:val="20"/>
        </w:rPr>
      </w:pPr>
      <w:r>
        <w:rPr>
          <w:rFonts w:ascii="Arial" w:hAnsi="Arial" w:cs="Arial"/>
          <w:sz w:val="20"/>
          <w:szCs w:val="20"/>
        </w:rPr>
        <w:t>Existe una diferencia entre el ingreso y el gasto en cuentas de orden por $103,546.66 que es refrendo del ejercicio 2023 que se pagó a principios de este ejercicio 2024 por el arrendamiento vehicular.</w:t>
      </w:r>
    </w:p>
    <w:p w14:paraId="6B5007F4" w14:textId="77777777" w:rsidR="00CC01C3" w:rsidRPr="005E231E" w:rsidRDefault="00CC01C3" w:rsidP="00CC01C3">
      <w:pPr>
        <w:jc w:val="both"/>
      </w:pPr>
    </w:p>
    <w:p w14:paraId="784E06B6" w14:textId="77777777" w:rsidR="00CC01C3" w:rsidRPr="000B7810" w:rsidRDefault="00CC01C3" w:rsidP="00CC01C3">
      <w:pPr>
        <w:jc w:val="both"/>
        <w:rPr>
          <w:b/>
        </w:rPr>
      </w:pPr>
      <w:r>
        <w:rPr>
          <w:b/>
        </w:rPr>
        <w:t>16. Partes Relacionadas:</w:t>
      </w:r>
    </w:p>
    <w:p w14:paraId="646463AF" w14:textId="77777777" w:rsidR="00CC01C3" w:rsidRPr="000B7810" w:rsidRDefault="00CC01C3" w:rsidP="00CC01C3">
      <w:pPr>
        <w:jc w:val="both"/>
      </w:pPr>
    </w:p>
    <w:p w14:paraId="7A511C3E" w14:textId="77777777" w:rsidR="00CC01C3" w:rsidRPr="000B7810" w:rsidRDefault="00CC01C3" w:rsidP="00CC01C3">
      <w:pPr>
        <w:jc w:val="both"/>
      </w:pPr>
      <w:r w:rsidRPr="000B7810">
        <w:t>Se debe establecer por escrito que no existen partes relacionadas que pudieran ejercer influencia significativa sobre la toma de decisiones financieras y operativas:</w:t>
      </w:r>
    </w:p>
    <w:p w14:paraId="14B57767" w14:textId="77777777" w:rsidR="00CC01C3" w:rsidRDefault="00CC01C3" w:rsidP="00CC01C3">
      <w:pPr>
        <w:jc w:val="both"/>
        <w:rPr>
          <w:rFonts w:cs="Arial"/>
        </w:rPr>
      </w:pPr>
    </w:p>
    <w:p w14:paraId="10B26E15" w14:textId="77777777" w:rsidR="00CC01C3" w:rsidRDefault="00CC01C3" w:rsidP="00CC01C3">
      <w:pPr>
        <w:jc w:val="both"/>
        <w:rPr>
          <w:rFonts w:cs="Arial"/>
        </w:rPr>
      </w:pPr>
      <w:r w:rsidRPr="004712C5">
        <w:rPr>
          <w:rFonts w:cs="Arial"/>
        </w:rPr>
        <w:t>No existen partes relacionadas que pudieran ejercer influencia significativa sobre la toma de decisiones financieras y operativas</w:t>
      </w:r>
    </w:p>
    <w:p w14:paraId="2835CFEE" w14:textId="77777777" w:rsidR="00DB5C58" w:rsidRPr="004712C5" w:rsidRDefault="00DB5C58" w:rsidP="00CC01C3">
      <w:pPr>
        <w:jc w:val="both"/>
        <w:rPr>
          <w:rFonts w:cs="Arial"/>
        </w:rPr>
      </w:pPr>
    </w:p>
    <w:p w14:paraId="3376AF0F" w14:textId="77777777" w:rsidR="00CC01C3" w:rsidRPr="000B7810" w:rsidRDefault="00CC01C3" w:rsidP="00CC01C3">
      <w:pPr>
        <w:jc w:val="both"/>
        <w:rPr>
          <w:b/>
        </w:rPr>
      </w:pPr>
      <w:r w:rsidRPr="000B7810">
        <w:rPr>
          <w:b/>
        </w:rPr>
        <w:t>17. Responsabilidad sobre la presentación razonab</w:t>
      </w:r>
      <w:r>
        <w:rPr>
          <w:b/>
        </w:rPr>
        <w:t>le de los Estados Financieros:</w:t>
      </w:r>
    </w:p>
    <w:p w14:paraId="6B26A4DE" w14:textId="77777777" w:rsidR="00CC01C3" w:rsidRPr="000B7810" w:rsidRDefault="00CC01C3" w:rsidP="00CC01C3">
      <w:pPr>
        <w:jc w:val="both"/>
      </w:pPr>
    </w:p>
    <w:p w14:paraId="448FD15C" w14:textId="77777777" w:rsidR="00CC01C3" w:rsidRDefault="00CC01C3" w:rsidP="00CC01C3">
      <w:pPr>
        <w:jc w:val="both"/>
      </w:pPr>
      <w:r w:rsidRPr="000B7810">
        <w:t>Los Estados Financieros deberán estar rubricados en cada página de los mismos e incluir al final la siguiente leyenda: “Bajo protesta de decir verdad declaramos que los Estados Financieros y sus notas, son razonablemente correctos y so</w:t>
      </w:r>
      <w:r>
        <w:t>n responsabilidad del emisor.</w:t>
      </w:r>
    </w:p>
    <w:p w14:paraId="5C5F81E0" w14:textId="77777777" w:rsidR="007C4BCA" w:rsidRDefault="007C4BCA" w:rsidP="00CC01C3">
      <w:pPr>
        <w:jc w:val="both"/>
      </w:pPr>
    </w:p>
    <w:p w14:paraId="570644D7" w14:textId="77777777" w:rsidR="007C4BCA" w:rsidRDefault="007C4BCA" w:rsidP="00CC01C3">
      <w:pPr>
        <w:jc w:val="both"/>
      </w:pPr>
    </w:p>
    <w:tbl>
      <w:tblPr>
        <w:tblW w:w="15309" w:type="dxa"/>
        <w:tblInd w:w="70" w:type="dxa"/>
        <w:tblCellMar>
          <w:left w:w="70" w:type="dxa"/>
          <w:right w:w="70" w:type="dxa"/>
        </w:tblCellMar>
        <w:tblLook w:val="04A0" w:firstRow="1" w:lastRow="0" w:firstColumn="1" w:lastColumn="0" w:noHBand="0" w:noVBand="1"/>
      </w:tblPr>
      <w:tblGrid>
        <w:gridCol w:w="1140"/>
        <w:gridCol w:w="4956"/>
        <w:gridCol w:w="1984"/>
        <w:gridCol w:w="1529"/>
        <w:gridCol w:w="2020"/>
        <w:gridCol w:w="2020"/>
        <w:gridCol w:w="1660"/>
      </w:tblGrid>
      <w:tr w:rsidR="00CC01C3" w:rsidRPr="007C5234" w14:paraId="784FD297" w14:textId="77777777" w:rsidTr="00A4657B">
        <w:trPr>
          <w:trHeight w:val="225"/>
        </w:trPr>
        <w:tc>
          <w:tcPr>
            <w:tcW w:w="1140" w:type="dxa"/>
            <w:tcBorders>
              <w:top w:val="nil"/>
              <w:left w:val="nil"/>
              <w:bottom w:val="nil"/>
              <w:right w:val="nil"/>
            </w:tcBorders>
            <w:shd w:val="clear" w:color="auto" w:fill="auto"/>
            <w:noWrap/>
            <w:hideMark/>
          </w:tcPr>
          <w:p w14:paraId="268BDD79"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EBC3DFA"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6A283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539D88F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D9D714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C0FBE67"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308812A" w14:textId="77777777" w:rsidR="00CC01C3" w:rsidRPr="007C5234" w:rsidRDefault="00CC01C3" w:rsidP="00A4657B">
            <w:pPr>
              <w:rPr>
                <w:rFonts w:ascii="Arial" w:hAnsi="Arial" w:cs="Arial"/>
                <w:sz w:val="16"/>
                <w:szCs w:val="16"/>
                <w:lang w:eastAsia="es-MX"/>
              </w:rPr>
            </w:pPr>
          </w:p>
        </w:tc>
      </w:tr>
      <w:tr w:rsidR="00CC01C3" w:rsidRPr="007C5234" w14:paraId="304765AC" w14:textId="77777777" w:rsidTr="00A4657B">
        <w:trPr>
          <w:trHeight w:val="225"/>
        </w:trPr>
        <w:tc>
          <w:tcPr>
            <w:tcW w:w="1140" w:type="dxa"/>
            <w:tcBorders>
              <w:top w:val="nil"/>
              <w:left w:val="nil"/>
              <w:bottom w:val="nil"/>
              <w:right w:val="nil"/>
            </w:tcBorders>
            <w:shd w:val="clear" w:color="auto" w:fill="auto"/>
            <w:noWrap/>
            <w:hideMark/>
          </w:tcPr>
          <w:p w14:paraId="294EDCC0" w14:textId="77777777" w:rsidR="00CC01C3" w:rsidRPr="007C5234" w:rsidRDefault="00CC01C3" w:rsidP="00A4657B">
            <w:pPr>
              <w:rPr>
                <w:rFonts w:ascii="Arial" w:hAnsi="Arial" w:cs="Arial"/>
                <w:sz w:val="16"/>
                <w:szCs w:val="16"/>
                <w:lang w:eastAsia="es-MX"/>
              </w:rPr>
            </w:pPr>
          </w:p>
        </w:tc>
        <w:tc>
          <w:tcPr>
            <w:tcW w:w="4956" w:type="dxa"/>
            <w:vMerge w:val="restart"/>
            <w:tcBorders>
              <w:top w:val="nil"/>
              <w:left w:val="nil"/>
              <w:bottom w:val="nil"/>
              <w:right w:val="nil"/>
            </w:tcBorders>
            <w:shd w:val="clear" w:color="auto" w:fill="auto"/>
            <w:hideMark/>
          </w:tcPr>
          <w:p w14:paraId="51777FE6" w14:textId="77777777" w:rsidR="00CC01C3" w:rsidRPr="007C5234" w:rsidRDefault="00CC01C3" w:rsidP="00A4657B">
            <w:pPr>
              <w:rPr>
                <w:rFonts w:ascii="Arial" w:hAnsi="Arial" w:cs="Arial"/>
                <w:sz w:val="16"/>
                <w:szCs w:val="16"/>
                <w:lang w:eastAsia="es-MX"/>
              </w:rPr>
            </w:pPr>
            <w:r>
              <w:rPr>
                <w:rFonts w:ascii="Arial" w:hAnsi="Arial" w:cs="Arial"/>
                <w:noProof/>
                <w:sz w:val="16"/>
                <w:szCs w:val="16"/>
                <w:lang w:val="es-MX" w:eastAsia="es-MX"/>
              </w:rPr>
              <mc:AlternateContent>
                <mc:Choice Requires="wps">
                  <w:drawing>
                    <wp:anchor distT="0" distB="0" distL="114300" distR="114300" simplePos="0" relativeHeight="251662336" behindDoc="0" locked="0" layoutInCell="1" allowOverlap="1" wp14:anchorId="7EDC2D28" wp14:editId="5FBD4167">
                      <wp:simplePos x="0" y="0"/>
                      <wp:positionH relativeFrom="column">
                        <wp:posOffset>571500</wp:posOffset>
                      </wp:positionH>
                      <wp:positionV relativeFrom="paragraph">
                        <wp:posOffset>28575</wp:posOffset>
                      </wp:positionV>
                      <wp:extent cx="571500" cy="266700"/>
                      <wp:effectExtent l="0" t="0" r="0" b="0"/>
                      <wp:wrapNone/>
                      <wp:docPr id="16" name="15 CuadroTexto"/>
                      <wp:cNvGraphicFramePr/>
                      <a:graphic xmlns:a="http://schemas.openxmlformats.org/drawingml/2006/main">
                        <a:graphicData uri="http://schemas.microsoft.com/office/word/2010/wordprocessingShape">
                          <wps:wsp>
                            <wps:cNvSpPr txBox="1"/>
                            <wps:spPr>
                              <a:xfrm>
                                <a:off x="0" y="0"/>
                                <a:ext cx="571500" cy="26670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DDDAE9"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15 CuadroTexto" o:spid="_x0000_s1026" type="#_x0000_t202" style="position:absolute;margin-left:45pt;margin-top:2.25pt;width:4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c>
        <w:tc>
          <w:tcPr>
            <w:tcW w:w="1984" w:type="dxa"/>
            <w:tcBorders>
              <w:top w:val="nil"/>
              <w:left w:val="nil"/>
              <w:bottom w:val="nil"/>
              <w:right w:val="nil"/>
            </w:tcBorders>
            <w:shd w:val="clear" w:color="auto" w:fill="auto"/>
            <w:noWrap/>
            <w:vAlign w:val="bottom"/>
            <w:hideMark/>
          </w:tcPr>
          <w:p w14:paraId="707285B3"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3360" behindDoc="0" locked="0" layoutInCell="1" allowOverlap="1" wp14:anchorId="7A82FF94" wp14:editId="0E93D7F1">
                      <wp:simplePos x="0" y="0"/>
                      <wp:positionH relativeFrom="column">
                        <wp:posOffset>819150</wp:posOffset>
                      </wp:positionH>
                      <wp:positionV relativeFrom="paragraph">
                        <wp:posOffset>19050</wp:posOffset>
                      </wp:positionV>
                      <wp:extent cx="552450" cy="247650"/>
                      <wp:effectExtent l="0" t="0" r="0" b="0"/>
                      <wp:wrapNone/>
                      <wp:docPr id="17" name="16 CuadroTexto"/>
                      <wp:cNvGraphicFramePr/>
                      <a:graphic xmlns:a="http://schemas.openxmlformats.org/drawingml/2006/main">
                        <a:graphicData uri="http://schemas.microsoft.com/office/word/2010/wordprocessingShape">
                          <wps:wsp>
                            <wps:cNvSpPr txBox="1"/>
                            <wps:spPr>
                              <a:xfrm>
                                <a:off x="0" y="0"/>
                                <a:ext cx="552450" cy="2476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4D530E2D" w14:textId="77777777"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6 CuadroTexto" o:spid="_x0000_s1027" type="#_x0000_t202" style="position:absolute;margin-left:64.5pt;margin-top:1.5pt;width:43.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" fillcolor="white [3201]" stroked="f">
                      <v:textbox>
                        <w:txbxContent>
                          <w:p w:rsidR="00416C4B" w:rsidRDefault="00416C4B" w:rsidP="00416C4B">
                            <w:pPr>
                              <w:pStyle w:val="NormalWeb"/>
                              <w:spacing w:before="0" w:beforeAutospacing="0" w:after="0" w:afterAutospacing="0"/>
                            </w:pPr>
                            <w:r>
                              <w:rPr>
                                <w:rFonts w:ascii="Arial" w:hAnsi="Arial" w:cs="Arial"/>
                                <w:color w:val="000000" w:themeColor="dark1"/>
                                <w:sz w:val="16"/>
                                <w:szCs w:val="16"/>
                              </w:rPr>
                              <w:t>Firma</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844"/>
            </w:tblGrid>
            <w:tr w:rsidR="00CC01C3" w:rsidRPr="007C5234" w14:paraId="71850DFD" w14:textId="77777777" w:rsidTr="00A4657B">
              <w:trPr>
                <w:trHeight w:val="225"/>
                <w:tblCellSpacing w:w="0" w:type="dxa"/>
              </w:trPr>
              <w:tc>
                <w:tcPr>
                  <w:tcW w:w="2140" w:type="dxa"/>
                  <w:tcBorders>
                    <w:top w:val="nil"/>
                    <w:left w:val="nil"/>
                    <w:bottom w:val="nil"/>
                    <w:right w:val="nil"/>
                  </w:tcBorders>
                  <w:shd w:val="clear" w:color="auto" w:fill="auto"/>
                  <w:hideMark/>
                </w:tcPr>
                <w:p w14:paraId="74801A7C" w14:textId="77777777" w:rsidR="00CC01C3" w:rsidRPr="007C5234" w:rsidRDefault="00CC01C3" w:rsidP="00A4657B">
                  <w:pPr>
                    <w:rPr>
                      <w:rFonts w:ascii="Arial" w:hAnsi="Arial" w:cs="Arial"/>
                      <w:sz w:val="16"/>
                      <w:szCs w:val="16"/>
                      <w:lang w:eastAsia="es-MX"/>
                    </w:rPr>
                  </w:pPr>
                </w:p>
              </w:tc>
            </w:tr>
          </w:tbl>
          <w:p w14:paraId="1876A85C" w14:textId="77777777" w:rsidR="00CC01C3" w:rsidRPr="007C5234" w:rsidRDefault="00CC01C3" w:rsidP="00A4657B">
            <w:pPr>
              <w:rPr>
                <w:rFonts w:ascii="Arial" w:hAnsi="Arial" w:cs="Arial"/>
                <w:color w:val="000000"/>
                <w:sz w:val="16"/>
                <w:szCs w:val="16"/>
                <w:lang w:eastAsia="es-MX"/>
              </w:rPr>
            </w:pPr>
          </w:p>
        </w:tc>
        <w:tc>
          <w:tcPr>
            <w:tcW w:w="1529" w:type="dxa"/>
            <w:tcBorders>
              <w:top w:val="nil"/>
              <w:left w:val="nil"/>
              <w:bottom w:val="nil"/>
              <w:right w:val="nil"/>
            </w:tcBorders>
            <w:shd w:val="clear" w:color="auto" w:fill="auto"/>
            <w:noWrap/>
            <w:hideMark/>
          </w:tcPr>
          <w:p w14:paraId="1B25983B"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C4DDBD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1F86B4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2375868" w14:textId="77777777" w:rsidR="00CC01C3" w:rsidRPr="007C5234" w:rsidRDefault="00CC01C3" w:rsidP="00A4657B">
            <w:pPr>
              <w:rPr>
                <w:rFonts w:ascii="Arial" w:hAnsi="Arial" w:cs="Arial"/>
                <w:sz w:val="16"/>
                <w:szCs w:val="16"/>
                <w:lang w:eastAsia="es-MX"/>
              </w:rPr>
            </w:pPr>
          </w:p>
        </w:tc>
      </w:tr>
      <w:tr w:rsidR="00CC01C3" w:rsidRPr="007C5234" w14:paraId="583BA09F" w14:textId="77777777" w:rsidTr="00A4657B">
        <w:trPr>
          <w:trHeight w:val="225"/>
        </w:trPr>
        <w:tc>
          <w:tcPr>
            <w:tcW w:w="1140" w:type="dxa"/>
            <w:tcBorders>
              <w:top w:val="nil"/>
              <w:left w:val="nil"/>
              <w:bottom w:val="nil"/>
              <w:right w:val="nil"/>
            </w:tcBorders>
            <w:shd w:val="clear" w:color="auto" w:fill="auto"/>
            <w:noWrap/>
            <w:hideMark/>
          </w:tcPr>
          <w:p w14:paraId="3E1453CC"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2CDF8A8F"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6D35470"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445B00E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23EDBA2"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707CD2C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FAE2E85" w14:textId="77777777" w:rsidR="00CC01C3" w:rsidRPr="007C5234" w:rsidRDefault="00CC01C3" w:rsidP="00A4657B">
            <w:pPr>
              <w:rPr>
                <w:rFonts w:ascii="Arial" w:hAnsi="Arial" w:cs="Arial"/>
                <w:sz w:val="16"/>
                <w:szCs w:val="16"/>
                <w:lang w:eastAsia="es-MX"/>
              </w:rPr>
            </w:pPr>
          </w:p>
        </w:tc>
      </w:tr>
      <w:tr w:rsidR="00CC01C3" w:rsidRPr="007C5234" w14:paraId="56ADB9C9" w14:textId="77777777" w:rsidTr="00A4657B">
        <w:trPr>
          <w:trHeight w:val="225"/>
        </w:trPr>
        <w:tc>
          <w:tcPr>
            <w:tcW w:w="1140" w:type="dxa"/>
            <w:tcBorders>
              <w:top w:val="nil"/>
              <w:left w:val="nil"/>
              <w:bottom w:val="nil"/>
              <w:right w:val="nil"/>
            </w:tcBorders>
            <w:shd w:val="clear" w:color="auto" w:fill="auto"/>
            <w:noWrap/>
            <w:hideMark/>
          </w:tcPr>
          <w:p w14:paraId="028DDACB" w14:textId="77777777" w:rsidR="00CC01C3" w:rsidRPr="007C5234" w:rsidRDefault="00CC01C3" w:rsidP="00A4657B">
            <w:pPr>
              <w:rPr>
                <w:rFonts w:ascii="Arial" w:hAnsi="Arial" w:cs="Arial"/>
                <w:sz w:val="16"/>
                <w:szCs w:val="16"/>
                <w:lang w:eastAsia="es-MX"/>
              </w:rPr>
            </w:pPr>
          </w:p>
        </w:tc>
        <w:tc>
          <w:tcPr>
            <w:tcW w:w="4956" w:type="dxa"/>
            <w:vMerge/>
            <w:tcBorders>
              <w:top w:val="nil"/>
              <w:left w:val="nil"/>
              <w:bottom w:val="nil"/>
              <w:right w:val="nil"/>
            </w:tcBorders>
            <w:vAlign w:val="center"/>
            <w:hideMark/>
          </w:tcPr>
          <w:p w14:paraId="170F47DC"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044798C"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DF7CA4D"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18A8AA"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B0B608B"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E8385B8" w14:textId="77777777" w:rsidR="00CC01C3" w:rsidRPr="007C5234" w:rsidRDefault="00CC01C3" w:rsidP="00A4657B">
            <w:pPr>
              <w:rPr>
                <w:rFonts w:ascii="Arial" w:hAnsi="Arial" w:cs="Arial"/>
                <w:sz w:val="16"/>
                <w:szCs w:val="16"/>
                <w:lang w:eastAsia="es-MX"/>
              </w:rPr>
            </w:pPr>
          </w:p>
        </w:tc>
      </w:tr>
      <w:tr w:rsidR="00CC01C3" w:rsidRPr="007C5234" w14:paraId="395309FF" w14:textId="77777777" w:rsidTr="00A4657B">
        <w:trPr>
          <w:trHeight w:val="225"/>
        </w:trPr>
        <w:tc>
          <w:tcPr>
            <w:tcW w:w="1140" w:type="dxa"/>
            <w:tcBorders>
              <w:top w:val="nil"/>
              <w:left w:val="nil"/>
              <w:bottom w:val="nil"/>
              <w:right w:val="nil"/>
            </w:tcBorders>
            <w:shd w:val="clear" w:color="auto" w:fill="auto"/>
            <w:noWrap/>
            <w:hideMark/>
          </w:tcPr>
          <w:p w14:paraId="61BD3AF8"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338C2BF6"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237F5D7A"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6831D46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AAD7CE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CB64E"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30A9DC3" w14:textId="77777777" w:rsidR="00CC01C3" w:rsidRPr="007C5234" w:rsidRDefault="00CC01C3" w:rsidP="00A4657B">
            <w:pPr>
              <w:rPr>
                <w:rFonts w:ascii="Arial" w:hAnsi="Arial" w:cs="Arial"/>
                <w:sz w:val="16"/>
                <w:szCs w:val="16"/>
                <w:lang w:eastAsia="es-MX"/>
              </w:rPr>
            </w:pPr>
          </w:p>
        </w:tc>
      </w:tr>
      <w:tr w:rsidR="00CC01C3" w:rsidRPr="007C5234" w14:paraId="388AE6A0" w14:textId="77777777" w:rsidTr="00A4657B">
        <w:trPr>
          <w:trHeight w:val="225"/>
        </w:trPr>
        <w:tc>
          <w:tcPr>
            <w:tcW w:w="1140" w:type="dxa"/>
            <w:tcBorders>
              <w:top w:val="nil"/>
              <w:left w:val="nil"/>
              <w:bottom w:val="nil"/>
              <w:right w:val="nil"/>
            </w:tcBorders>
            <w:shd w:val="clear" w:color="auto" w:fill="auto"/>
            <w:noWrap/>
            <w:vAlign w:val="bottom"/>
            <w:hideMark/>
          </w:tcPr>
          <w:p w14:paraId="41B35267" w14:textId="77777777" w:rsidR="00CC01C3" w:rsidRPr="007C5234" w:rsidRDefault="00CC01C3" w:rsidP="00A4657B">
            <w:pPr>
              <w:rPr>
                <w:rFonts w:ascii="Arial" w:hAnsi="Arial" w:cs="Arial"/>
                <w:color w:val="000000"/>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1312" behindDoc="0" locked="0" layoutInCell="1" allowOverlap="1" wp14:anchorId="58CFDFBD" wp14:editId="39C72F6D">
                      <wp:simplePos x="0" y="0"/>
                      <wp:positionH relativeFrom="column">
                        <wp:posOffset>209550</wp:posOffset>
                      </wp:positionH>
                      <wp:positionV relativeFrom="paragraph">
                        <wp:posOffset>0</wp:posOffset>
                      </wp:positionV>
                      <wp:extent cx="2657475" cy="19050"/>
                      <wp:effectExtent l="0" t="0" r="28575" b="19050"/>
                      <wp:wrapNone/>
                      <wp:docPr id="1" name="11 Conector recto"/>
                      <wp:cNvGraphicFramePr/>
                      <a:graphic xmlns:a="http://schemas.openxmlformats.org/drawingml/2006/main">
                        <a:graphicData uri="http://schemas.microsoft.com/office/word/2010/wordprocessingShape">
                          <wps:wsp>
                            <wps:cNvCnPr/>
                            <wps:spPr>
                              <a:xfrm>
                                <a:off x="0" y="0"/>
                                <a:ext cx="26574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E95D3E" id="11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5pt,0" to="22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4384" behindDoc="0" locked="0" layoutInCell="1" allowOverlap="1" wp14:anchorId="2973334E" wp14:editId="4383EE7C">
                      <wp:simplePos x="0" y="0"/>
                      <wp:positionH relativeFrom="column">
                        <wp:posOffset>381000</wp:posOffset>
                      </wp:positionH>
                      <wp:positionV relativeFrom="paragraph">
                        <wp:posOffset>57150</wp:posOffset>
                      </wp:positionV>
                      <wp:extent cx="2238375" cy="742950"/>
                      <wp:effectExtent l="0" t="0" r="9525" b="0"/>
                      <wp:wrapNone/>
                      <wp:docPr id="18" name="17 CuadroTexto"/>
                      <wp:cNvGraphicFramePr/>
                      <a:graphic xmlns:a="http://schemas.openxmlformats.org/drawingml/2006/main">
                        <a:graphicData uri="http://schemas.microsoft.com/office/word/2010/wordprocessingShape">
                          <wps:wsp>
                            <wps:cNvSpPr txBox="1"/>
                            <wps:spPr>
                              <a:xfrm>
                                <a:off x="0" y="0"/>
                                <a:ext cx="2238375" cy="742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73334E" id="_x0000_t202" coordsize="21600,21600" o:spt="202" path="m,l,21600r21600,l21600,xe">
                      <v:stroke joinstyle="miter"/>
                      <v:path gradientshapeok="t" o:connecttype="rect"/>
                    </v:shapetype>
                    <v:shape id="17 CuadroTexto" o:spid="_x0000_s1028" type="#_x0000_t202" style="position:absolute;margin-left:30pt;margin-top:4.5pt;width:176.2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" fillcolor="white [3201]" stroked="f">
                      <v:textbox>
                        <w:txbxContent>
                          <w:p w14:paraId="5353F8DA" w14:textId="2A28A017" w:rsidR="00416C4B" w:rsidRPr="001D501E" w:rsidRDefault="001D501E" w:rsidP="00416C4B">
                            <w:pPr>
                              <w:pStyle w:val="NormalWeb"/>
                              <w:spacing w:before="0" w:beforeAutospacing="0" w:after="0" w:afterAutospacing="0"/>
                              <w:jc w:val="center"/>
                              <w:rPr>
                                <w:rFonts w:ascii="Arial" w:hAnsi="Arial" w:cs="Arial"/>
                                <w:sz w:val="16"/>
                                <w:szCs w:val="16"/>
                              </w:rPr>
                            </w:pPr>
                            <w:r w:rsidRPr="001D501E">
                              <w:rPr>
                                <w:rFonts w:ascii="Arial" w:hAnsi="Arial" w:cs="Arial"/>
                                <w:sz w:val="16"/>
                                <w:szCs w:val="16"/>
                              </w:rPr>
                              <w:t>MAESTRA ADRIANA TINOCO AVIÑA</w:t>
                            </w:r>
                          </w:p>
                          <w:p w14:paraId="577E9457" w14:textId="4F87B74A"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COMISIONAD</w:t>
                            </w:r>
                            <w:r w:rsidR="001D501E">
                              <w:rPr>
                                <w:rFonts w:ascii="Arial" w:hAnsi="Arial" w:cs="Arial"/>
                                <w:color w:val="000000" w:themeColor="dark1"/>
                                <w:sz w:val="16"/>
                                <w:szCs w:val="16"/>
                              </w:rPr>
                              <w:t>A</w:t>
                            </w:r>
                            <w:r>
                              <w:rPr>
                                <w:rFonts w:ascii="Arial" w:hAnsi="Arial" w:cs="Arial"/>
                                <w:color w:val="000000" w:themeColor="dark1"/>
                                <w:sz w:val="16"/>
                                <w:szCs w:val="16"/>
                              </w:rPr>
                              <w:t xml:space="preserve"> ESTATAL DE CONCILIACIÓN Y ARBITRAJE MÉDICO</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C01C3" w:rsidRPr="007C5234" w14:paraId="507CC625" w14:textId="77777777" w:rsidTr="00A4657B">
              <w:trPr>
                <w:trHeight w:val="225"/>
                <w:tblCellSpacing w:w="0" w:type="dxa"/>
              </w:trPr>
              <w:tc>
                <w:tcPr>
                  <w:tcW w:w="1000" w:type="dxa"/>
                  <w:tcBorders>
                    <w:top w:val="nil"/>
                    <w:left w:val="nil"/>
                    <w:bottom w:val="nil"/>
                    <w:right w:val="nil"/>
                  </w:tcBorders>
                  <w:shd w:val="clear" w:color="auto" w:fill="auto"/>
                  <w:noWrap/>
                  <w:hideMark/>
                </w:tcPr>
                <w:p w14:paraId="176D204C" w14:textId="77777777" w:rsidR="00CC01C3" w:rsidRPr="007C5234" w:rsidRDefault="00CC01C3" w:rsidP="00A4657B">
                  <w:pPr>
                    <w:rPr>
                      <w:rFonts w:ascii="Arial" w:hAnsi="Arial" w:cs="Arial"/>
                      <w:sz w:val="16"/>
                      <w:szCs w:val="16"/>
                      <w:lang w:eastAsia="es-MX"/>
                    </w:rPr>
                  </w:pPr>
                </w:p>
              </w:tc>
            </w:tr>
          </w:tbl>
          <w:p w14:paraId="5DCA5EAB" w14:textId="77777777" w:rsidR="00CC01C3" w:rsidRPr="007C5234" w:rsidRDefault="00CC01C3" w:rsidP="00A4657B">
            <w:pPr>
              <w:rPr>
                <w:rFonts w:ascii="Arial" w:hAnsi="Arial" w:cs="Arial"/>
                <w:color w:val="000000"/>
                <w:sz w:val="16"/>
                <w:szCs w:val="16"/>
                <w:lang w:eastAsia="es-MX"/>
              </w:rPr>
            </w:pPr>
          </w:p>
        </w:tc>
        <w:tc>
          <w:tcPr>
            <w:tcW w:w="4956" w:type="dxa"/>
            <w:tcBorders>
              <w:top w:val="nil"/>
              <w:left w:val="nil"/>
              <w:bottom w:val="nil"/>
              <w:right w:val="nil"/>
            </w:tcBorders>
            <w:shd w:val="clear" w:color="auto" w:fill="auto"/>
            <w:hideMark/>
          </w:tcPr>
          <w:p w14:paraId="379EAF2C" w14:textId="77777777" w:rsidR="00CC01C3" w:rsidRPr="007C5234" w:rsidRDefault="00CC01C3" w:rsidP="00A4657B">
            <w:pPr>
              <w:rPr>
                <w:rFonts w:ascii="Arial" w:hAnsi="Arial" w:cs="Arial"/>
                <w:sz w:val="16"/>
                <w:szCs w:val="16"/>
                <w:lang w:eastAsia="es-MX"/>
              </w:rPr>
            </w:pPr>
            <w:r>
              <w:rPr>
                <w:rFonts w:ascii="Arial" w:hAnsi="Arial" w:cs="Arial"/>
                <w:noProof/>
                <w:color w:val="000000"/>
                <w:sz w:val="16"/>
                <w:szCs w:val="16"/>
                <w:lang w:val="es-MX" w:eastAsia="es-MX"/>
              </w:rPr>
              <mc:AlternateContent>
                <mc:Choice Requires="wps">
                  <w:drawing>
                    <wp:anchor distT="0" distB="0" distL="114300" distR="114300" simplePos="0" relativeHeight="251660288" behindDoc="0" locked="0" layoutInCell="1" allowOverlap="1" wp14:anchorId="3760D8E6" wp14:editId="196DBED5">
                      <wp:simplePos x="0" y="0"/>
                      <wp:positionH relativeFrom="column">
                        <wp:posOffset>3095625</wp:posOffset>
                      </wp:positionH>
                      <wp:positionV relativeFrom="paragraph">
                        <wp:posOffset>0</wp:posOffset>
                      </wp:positionV>
                      <wp:extent cx="2286000" cy="19050"/>
                      <wp:effectExtent l="0" t="0" r="19050" b="19050"/>
                      <wp:wrapNone/>
                      <wp:docPr id="10" name="9 Conector recto"/>
                      <wp:cNvGraphicFramePr/>
                      <a:graphic xmlns:a="http://schemas.openxmlformats.org/drawingml/2006/main">
                        <a:graphicData uri="http://schemas.microsoft.com/office/word/2010/wordprocessingShape">
                          <wps:wsp>
                            <wps:cNvCnPr/>
                            <wps:spPr>
                              <a:xfrm>
                                <a:off x="0" y="0"/>
                                <a:ext cx="2286000"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2BF878" id="9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75pt,0" to="42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" strokecolor="black [3040]"/>
                  </w:pict>
                </mc:Fallback>
              </mc:AlternateContent>
            </w:r>
            <w:r>
              <w:rPr>
                <w:rFonts w:ascii="Arial" w:hAnsi="Arial" w:cs="Arial"/>
                <w:noProof/>
                <w:color w:val="000000"/>
                <w:sz w:val="16"/>
                <w:szCs w:val="16"/>
                <w:lang w:val="es-MX" w:eastAsia="es-MX"/>
              </w:rPr>
              <mc:AlternateContent>
                <mc:Choice Requires="wps">
                  <w:drawing>
                    <wp:anchor distT="0" distB="0" distL="114300" distR="114300" simplePos="0" relativeHeight="251665408" behindDoc="0" locked="0" layoutInCell="1" allowOverlap="1" wp14:anchorId="223EAB9A" wp14:editId="5949EB97">
                      <wp:simplePos x="0" y="0"/>
                      <wp:positionH relativeFrom="column">
                        <wp:posOffset>3009900</wp:posOffset>
                      </wp:positionH>
                      <wp:positionV relativeFrom="paragraph">
                        <wp:posOffset>57150</wp:posOffset>
                      </wp:positionV>
                      <wp:extent cx="2533650" cy="666750"/>
                      <wp:effectExtent l="0" t="0" r="0" b="0"/>
                      <wp:wrapNone/>
                      <wp:docPr id="19" name="18 CuadroTexto"/>
                      <wp:cNvGraphicFramePr/>
                      <a:graphic xmlns:a="http://schemas.openxmlformats.org/drawingml/2006/main">
                        <a:graphicData uri="http://schemas.microsoft.com/office/word/2010/wordprocessingShape">
                          <wps:wsp>
                            <wps:cNvSpPr txBox="1"/>
                            <wps:spPr>
                              <a:xfrm>
                                <a:off x="0" y="0"/>
                                <a:ext cx="2533650" cy="6667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60FC829F"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14:paraId="522BFD41" w14:textId="77777777"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wps:txbx>
                            <wps:bodyPr vertOverflow="clip" horzOverflow="clip" wrap="square" rtlCol="0" anchor="t"/>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18 CuadroTexto" o:spid="_x0000_s1029" type="#_x0000_t202" style="position:absolute;margin-left:237pt;margin-top:4.5pt;width:199.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" fillcolor="white [3201]" stroked="f">
                      <v:textbox>
                        <w:txbxContent>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C.P. ARMANDO ARTURO VÁZQUEZ CASTRO</w:t>
                            </w:r>
                          </w:p>
                          <w:p w:rsidR="00416C4B" w:rsidRDefault="00416C4B" w:rsidP="00416C4B">
                            <w:pPr>
                              <w:pStyle w:val="NormalWeb"/>
                              <w:spacing w:before="0" w:beforeAutospacing="0" w:after="0" w:afterAutospacing="0"/>
                              <w:jc w:val="center"/>
                            </w:pPr>
                            <w:r>
                              <w:rPr>
                                <w:rFonts w:ascii="Arial" w:hAnsi="Arial" w:cs="Arial"/>
                                <w:color w:val="000000" w:themeColor="dark1"/>
                                <w:sz w:val="16"/>
                                <w:szCs w:val="16"/>
                              </w:rPr>
                              <w:t>DIRECTOR ADMINISTRATIVO</w:t>
                            </w:r>
                          </w:p>
                        </w:txbxContent>
                      </v:textbox>
                    </v:shape>
                  </w:pict>
                </mc:Fallback>
              </mc:AlternateContent>
            </w:r>
          </w:p>
        </w:tc>
        <w:tc>
          <w:tcPr>
            <w:tcW w:w="1984" w:type="dxa"/>
            <w:tcBorders>
              <w:top w:val="nil"/>
              <w:left w:val="nil"/>
              <w:bottom w:val="nil"/>
              <w:right w:val="nil"/>
            </w:tcBorders>
            <w:shd w:val="clear" w:color="auto" w:fill="auto"/>
            <w:hideMark/>
          </w:tcPr>
          <w:p w14:paraId="5DB2F7C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35D8BAD4"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6842491"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67BA871"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70F9C1C0" w14:textId="77777777" w:rsidR="00CC01C3" w:rsidRPr="007C5234" w:rsidRDefault="00CC01C3" w:rsidP="00A4657B">
            <w:pPr>
              <w:rPr>
                <w:rFonts w:ascii="Arial" w:hAnsi="Arial" w:cs="Arial"/>
                <w:sz w:val="16"/>
                <w:szCs w:val="16"/>
                <w:lang w:eastAsia="es-MX"/>
              </w:rPr>
            </w:pPr>
          </w:p>
        </w:tc>
      </w:tr>
      <w:tr w:rsidR="00CC01C3" w:rsidRPr="007C5234" w14:paraId="501E3357" w14:textId="77777777" w:rsidTr="00A4657B">
        <w:trPr>
          <w:trHeight w:val="225"/>
        </w:trPr>
        <w:tc>
          <w:tcPr>
            <w:tcW w:w="1140" w:type="dxa"/>
            <w:tcBorders>
              <w:top w:val="nil"/>
              <w:left w:val="nil"/>
              <w:bottom w:val="nil"/>
              <w:right w:val="nil"/>
            </w:tcBorders>
            <w:shd w:val="clear" w:color="auto" w:fill="auto"/>
            <w:noWrap/>
            <w:hideMark/>
          </w:tcPr>
          <w:p w14:paraId="43BE55F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77F52717"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12E9A44E"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850FD0F"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608EF2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5FCCA388"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48AA80DB" w14:textId="77777777" w:rsidR="00CC01C3" w:rsidRPr="007C5234" w:rsidRDefault="00CC01C3" w:rsidP="00A4657B">
            <w:pPr>
              <w:rPr>
                <w:rFonts w:ascii="Arial" w:hAnsi="Arial" w:cs="Arial"/>
                <w:sz w:val="16"/>
                <w:szCs w:val="16"/>
                <w:lang w:eastAsia="es-MX"/>
              </w:rPr>
            </w:pPr>
          </w:p>
        </w:tc>
      </w:tr>
      <w:tr w:rsidR="00CC01C3" w:rsidRPr="007C5234" w14:paraId="4C8F4624" w14:textId="77777777" w:rsidTr="00A4657B">
        <w:trPr>
          <w:trHeight w:val="225"/>
        </w:trPr>
        <w:tc>
          <w:tcPr>
            <w:tcW w:w="1140" w:type="dxa"/>
            <w:tcBorders>
              <w:top w:val="nil"/>
              <w:left w:val="nil"/>
              <w:bottom w:val="nil"/>
              <w:right w:val="nil"/>
            </w:tcBorders>
            <w:shd w:val="clear" w:color="auto" w:fill="auto"/>
            <w:noWrap/>
            <w:hideMark/>
          </w:tcPr>
          <w:p w14:paraId="31A46C05"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BD0C660"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6356FA1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1AC4F416"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D4BE85"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4C9DB594"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594BD09F" w14:textId="77777777" w:rsidR="00CC01C3" w:rsidRPr="007C5234" w:rsidRDefault="00CC01C3" w:rsidP="00A4657B">
            <w:pPr>
              <w:rPr>
                <w:rFonts w:ascii="Arial" w:hAnsi="Arial" w:cs="Arial"/>
                <w:sz w:val="16"/>
                <w:szCs w:val="16"/>
                <w:lang w:eastAsia="es-MX"/>
              </w:rPr>
            </w:pPr>
          </w:p>
        </w:tc>
      </w:tr>
      <w:tr w:rsidR="00CC01C3" w:rsidRPr="007C5234" w14:paraId="5A02C73A" w14:textId="77777777" w:rsidTr="00A4657B">
        <w:trPr>
          <w:trHeight w:val="225"/>
        </w:trPr>
        <w:tc>
          <w:tcPr>
            <w:tcW w:w="1140" w:type="dxa"/>
            <w:tcBorders>
              <w:top w:val="nil"/>
              <w:left w:val="nil"/>
              <w:bottom w:val="nil"/>
              <w:right w:val="nil"/>
            </w:tcBorders>
            <w:shd w:val="clear" w:color="auto" w:fill="auto"/>
            <w:noWrap/>
            <w:hideMark/>
          </w:tcPr>
          <w:p w14:paraId="2F82BFE0"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4607C45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330376B9"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26EE777E"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56ADFE9"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101CBDE5"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39ADC246" w14:textId="77777777" w:rsidR="00CC01C3" w:rsidRPr="007C5234" w:rsidRDefault="00CC01C3" w:rsidP="00A4657B">
            <w:pPr>
              <w:rPr>
                <w:rFonts w:ascii="Arial" w:hAnsi="Arial" w:cs="Arial"/>
                <w:sz w:val="16"/>
                <w:szCs w:val="16"/>
                <w:lang w:eastAsia="es-MX"/>
              </w:rPr>
            </w:pPr>
          </w:p>
        </w:tc>
      </w:tr>
      <w:tr w:rsidR="00CC01C3" w:rsidRPr="007C5234" w14:paraId="45BF4FE9" w14:textId="77777777" w:rsidTr="00A4657B">
        <w:trPr>
          <w:trHeight w:val="225"/>
        </w:trPr>
        <w:tc>
          <w:tcPr>
            <w:tcW w:w="1140" w:type="dxa"/>
            <w:tcBorders>
              <w:top w:val="nil"/>
              <w:left w:val="nil"/>
              <w:bottom w:val="nil"/>
              <w:right w:val="nil"/>
            </w:tcBorders>
            <w:shd w:val="clear" w:color="auto" w:fill="auto"/>
            <w:noWrap/>
            <w:hideMark/>
          </w:tcPr>
          <w:p w14:paraId="37A1E712"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592A5FB3"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49A63EC7"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noWrap/>
            <w:hideMark/>
          </w:tcPr>
          <w:p w14:paraId="09C32F9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2005586C"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081DF34A" w14:textId="77777777" w:rsidR="00CC01C3" w:rsidRPr="007C5234" w:rsidRDefault="00CC01C3" w:rsidP="009F743B">
            <w:pPr>
              <w:jc w:val="right"/>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000B1F60" w14:textId="77777777" w:rsidR="00CC01C3" w:rsidRPr="007C5234" w:rsidRDefault="00CC01C3" w:rsidP="00A4657B">
            <w:pPr>
              <w:rPr>
                <w:rFonts w:ascii="Arial" w:hAnsi="Arial" w:cs="Arial"/>
                <w:sz w:val="16"/>
                <w:szCs w:val="16"/>
                <w:lang w:eastAsia="es-MX"/>
              </w:rPr>
            </w:pPr>
          </w:p>
        </w:tc>
      </w:tr>
      <w:tr w:rsidR="00CC01C3" w:rsidRPr="007C5234" w14:paraId="29AA21B5" w14:textId="77777777" w:rsidTr="00A4657B">
        <w:trPr>
          <w:trHeight w:val="225"/>
        </w:trPr>
        <w:tc>
          <w:tcPr>
            <w:tcW w:w="1140" w:type="dxa"/>
            <w:tcBorders>
              <w:top w:val="nil"/>
              <w:left w:val="nil"/>
              <w:bottom w:val="nil"/>
              <w:right w:val="nil"/>
            </w:tcBorders>
            <w:shd w:val="clear" w:color="auto" w:fill="auto"/>
            <w:noWrap/>
            <w:hideMark/>
          </w:tcPr>
          <w:p w14:paraId="576973AA" w14:textId="77777777" w:rsidR="00CC01C3" w:rsidRPr="007C5234" w:rsidRDefault="00CC01C3" w:rsidP="00A4657B">
            <w:pPr>
              <w:rPr>
                <w:rFonts w:ascii="Arial" w:hAnsi="Arial" w:cs="Arial"/>
                <w:sz w:val="16"/>
                <w:szCs w:val="16"/>
                <w:lang w:eastAsia="es-MX"/>
              </w:rPr>
            </w:pPr>
          </w:p>
        </w:tc>
        <w:tc>
          <w:tcPr>
            <w:tcW w:w="4956" w:type="dxa"/>
            <w:tcBorders>
              <w:top w:val="nil"/>
              <w:left w:val="nil"/>
              <w:bottom w:val="nil"/>
              <w:right w:val="nil"/>
            </w:tcBorders>
            <w:shd w:val="clear" w:color="auto" w:fill="auto"/>
            <w:hideMark/>
          </w:tcPr>
          <w:p w14:paraId="038715F5" w14:textId="77777777" w:rsidR="00CC01C3" w:rsidRPr="007C5234" w:rsidRDefault="00CC01C3" w:rsidP="00A4657B">
            <w:pPr>
              <w:rPr>
                <w:rFonts w:ascii="Arial" w:hAnsi="Arial" w:cs="Arial"/>
                <w:sz w:val="16"/>
                <w:szCs w:val="16"/>
                <w:lang w:eastAsia="es-MX"/>
              </w:rPr>
            </w:pPr>
          </w:p>
        </w:tc>
        <w:tc>
          <w:tcPr>
            <w:tcW w:w="1984" w:type="dxa"/>
            <w:tcBorders>
              <w:top w:val="nil"/>
              <w:left w:val="nil"/>
              <w:bottom w:val="nil"/>
              <w:right w:val="nil"/>
            </w:tcBorders>
            <w:shd w:val="clear" w:color="auto" w:fill="auto"/>
            <w:hideMark/>
          </w:tcPr>
          <w:p w14:paraId="7061F945" w14:textId="77777777" w:rsidR="00CC01C3" w:rsidRPr="007C5234" w:rsidRDefault="00CC01C3" w:rsidP="00A4657B">
            <w:pPr>
              <w:rPr>
                <w:rFonts w:ascii="Arial" w:hAnsi="Arial" w:cs="Arial"/>
                <w:sz w:val="16"/>
                <w:szCs w:val="16"/>
                <w:lang w:eastAsia="es-MX"/>
              </w:rPr>
            </w:pPr>
          </w:p>
        </w:tc>
        <w:tc>
          <w:tcPr>
            <w:tcW w:w="1529" w:type="dxa"/>
            <w:tcBorders>
              <w:top w:val="nil"/>
              <w:left w:val="nil"/>
              <w:bottom w:val="nil"/>
              <w:right w:val="nil"/>
            </w:tcBorders>
            <w:shd w:val="clear" w:color="auto" w:fill="auto"/>
            <w:hideMark/>
          </w:tcPr>
          <w:p w14:paraId="79A4BEC7"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hideMark/>
          </w:tcPr>
          <w:p w14:paraId="4037DC18" w14:textId="77777777" w:rsidR="00CC01C3" w:rsidRPr="007C5234" w:rsidRDefault="00CC01C3" w:rsidP="00A4657B">
            <w:pPr>
              <w:rPr>
                <w:rFonts w:ascii="Arial" w:hAnsi="Arial" w:cs="Arial"/>
                <w:sz w:val="16"/>
                <w:szCs w:val="16"/>
                <w:lang w:eastAsia="es-MX"/>
              </w:rPr>
            </w:pPr>
          </w:p>
        </w:tc>
        <w:tc>
          <w:tcPr>
            <w:tcW w:w="2020" w:type="dxa"/>
            <w:tcBorders>
              <w:top w:val="nil"/>
              <w:left w:val="nil"/>
              <w:bottom w:val="nil"/>
              <w:right w:val="nil"/>
            </w:tcBorders>
            <w:shd w:val="clear" w:color="auto" w:fill="auto"/>
            <w:noWrap/>
            <w:hideMark/>
          </w:tcPr>
          <w:p w14:paraId="3A034BAD" w14:textId="77777777" w:rsidR="00CC01C3" w:rsidRPr="007C5234" w:rsidRDefault="00CC01C3" w:rsidP="00A4657B">
            <w:pPr>
              <w:rPr>
                <w:rFonts w:ascii="Arial" w:hAnsi="Arial" w:cs="Arial"/>
                <w:sz w:val="16"/>
                <w:szCs w:val="16"/>
                <w:lang w:eastAsia="es-MX"/>
              </w:rPr>
            </w:pPr>
          </w:p>
        </w:tc>
        <w:tc>
          <w:tcPr>
            <w:tcW w:w="1660" w:type="dxa"/>
            <w:tcBorders>
              <w:top w:val="nil"/>
              <w:left w:val="nil"/>
              <w:bottom w:val="nil"/>
              <w:right w:val="nil"/>
            </w:tcBorders>
            <w:shd w:val="clear" w:color="auto" w:fill="auto"/>
            <w:noWrap/>
            <w:hideMark/>
          </w:tcPr>
          <w:p w14:paraId="2B7B0636" w14:textId="77777777" w:rsidR="00CC01C3" w:rsidRPr="007C5234" w:rsidRDefault="00CC01C3" w:rsidP="00A4657B">
            <w:pPr>
              <w:rPr>
                <w:rFonts w:ascii="Arial" w:hAnsi="Arial" w:cs="Arial"/>
                <w:sz w:val="16"/>
                <w:szCs w:val="16"/>
                <w:lang w:eastAsia="es-MX"/>
              </w:rPr>
            </w:pPr>
          </w:p>
        </w:tc>
      </w:tr>
    </w:tbl>
    <w:p w14:paraId="7EDBD94B" w14:textId="77777777" w:rsidR="00C77D0C" w:rsidRPr="00CC01C3" w:rsidRDefault="00C77D0C" w:rsidP="00CC01C3">
      <w:pPr>
        <w:rPr>
          <w:szCs w:val="20"/>
        </w:rPr>
      </w:pPr>
    </w:p>
    <w:sectPr w:rsidR="00C77D0C" w:rsidRPr="00CC01C3" w:rsidSect="0030361A">
      <w:headerReference w:type="even" r:id="rId10"/>
      <w:footerReference w:type="even" r:id="rId11"/>
      <w:pgSz w:w="15840" w:h="12240" w:orient="landscape"/>
      <w:pgMar w:top="1326" w:right="1077" w:bottom="284" w:left="1077"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46ABF" w14:textId="77777777" w:rsidR="00227350" w:rsidRDefault="00227350" w:rsidP="00EA5418">
      <w:r>
        <w:separator/>
      </w:r>
    </w:p>
  </w:endnote>
  <w:endnote w:type="continuationSeparator" w:id="0">
    <w:p w14:paraId="1A83CC88" w14:textId="77777777" w:rsidR="00227350" w:rsidRDefault="00227350"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8FDB" w14:textId="77777777" w:rsidR="0013011C" w:rsidRPr="001E3B9D" w:rsidRDefault="0013011C" w:rsidP="0013011C">
    <w:pPr>
      <w:pStyle w:val="Piedepgina"/>
      <w:jc w:val="center"/>
      <w:rPr>
        <w:rFonts w:ascii="Arial" w:hAnsi="Arial" w:cs="Arial"/>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350D1" w14:textId="77777777" w:rsidR="00227350" w:rsidRDefault="00227350" w:rsidP="00EA5418">
      <w:r>
        <w:separator/>
      </w:r>
    </w:p>
  </w:footnote>
  <w:footnote w:type="continuationSeparator" w:id="0">
    <w:p w14:paraId="16A82EC4" w14:textId="77777777" w:rsidR="00227350" w:rsidRDefault="00227350" w:rsidP="00EA54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61437" w14:textId="77777777" w:rsidR="0013011C" w:rsidRDefault="0013011C" w:rsidP="00662E1A">
    <w:pPr>
      <w:pStyle w:val="Encabezado"/>
      <w:tabs>
        <w:tab w:val="clear" w:pos="4419"/>
        <w:tab w:val="clear" w:pos="8838"/>
        <w:tab w:val="left" w:pos="796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A9C3543"/>
    <w:multiLevelType w:val="hybridMultilevel"/>
    <w:tmpl w:val="24E2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BE27287"/>
    <w:multiLevelType w:val="hybridMultilevel"/>
    <w:tmpl w:val="F4B0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277B4"/>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524AE3"/>
    <w:multiLevelType w:val="hybridMultilevel"/>
    <w:tmpl w:val="105E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4" w15:restartNumberingAfterBreak="0">
    <w:nsid w:val="635E6695"/>
    <w:multiLevelType w:val="hybridMultilevel"/>
    <w:tmpl w:val="E1F865C0"/>
    <w:lvl w:ilvl="0" w:tplc="F240018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CCF66A7"/>
    <w:multiLevelType w:val="hybridMultilevel"/>
    <w:tmpl w:val="B4E65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9"/>
  </w:num>
  <w:num w:numId="8">
    <w:abstractNumId w:val="3"/>
  </w:num>
  <w:num w:numId="9">
    <w:abstractNumId w:val="12"/>
  </w:num>
  <w:num w:numId="10">
    <w:abstractNumId w:val="1"/>
  </w:num>
  <w:num w:numId="11">
    <w:abstractNumId w:val="4"/>
  </w:num>
  <w:num w:numId="12">
    <w:abstractNumId w:val="8"/>
  </w:num>
  <w:num w:numId="13">
    <w:abstractNumId w:val="15"/>
  </w:num>
  <w:num w:numId="14">
    <w:abstractNumId w:val="10"/>
  </w:num>
  <w:num w:numId="15">
    <w:abstractNumId w:val="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777"/>
    <w:rsid w:val="00000A17"/>
    <w:rsid w:val="00031801"/>
    <w:rsid w:val="00040466"/>
    <w:rsid w:val="00051ECA"/>
    <w:rsid w:val="00056042"/>
    <w:rsid w:val="00062DBE"/>
    <w:rsid w:val="00065828"/>
    <w:rsid w:val="00075042"/>
    <w:rsid w:val="0008576C"/>
    <w:rsid w:val="000958AC"/>
    <w:rsid w:val="000B3C7C"/>
    <w:rsid w:val="000C4654"/>
    <w:rsid w:val="000D5278"/>
    <w:rsid w:val="000E268C"/>
    <w:rsid w:val="000E6D51"/>
    <w:rsid w:val="000F7B8B"/>
    <w:rsid w:val="0010245D"/>
    <w:rsid w:val="00107E57"/>
    <w:rsid w:val="00114EF9"/>
    <w:rsid w:val="00116BF8"/>
    <w:rsid w:val="001179E1"/>
    <w:rsid w:val="00121C91"/>
    <w:rsid w:val="00124C63"/>
    <w:rsid w:val="00126634"/>
    <w:rsid w:val="0013011C"/>
    <w:rsid w:val="001338E3"/>
    <w:rsid w:val="00137A25"/>
    <w:rsid w:val="001439FE"/>
    <w:rsid w:val="001646D9"/>
    <w:rsid w:val="001650C8"/>
    <w:rsid w:val="00175462"/>
    <w:rsid w:val="001853A4"/>
    <w:rsid w:val="0019109B"/>
    <w:rsid w:val="001A254A"/>
    <w:rsid w:val="001B0D37"/>
    <w:rsid w:val="001B1B72"/>
    <w:rsid w:val="001D05A2"/>
    <w:rsid w:val="001D36FA"/>
    <w:rsid w:val="001D501E"/>
    <w:rsid w:val="001E3B9D"/>
    <w:rsid w:val="001E7F9E"/>
    <w:rsid w:val="001F2B24"/>
    <w:rsid w:val="00205A47"/>
    <w:rsid w:val="00217EA0"/>
    <w:rsid w:val="0022083B"/>
    <w:rsid w:val="00227350"/>
    <w:rsid w:val="00230E0F"/>
    <w:rsid w:val="0023342A"/>
    <w:rsid w:val="00244C91"/>
    <w:rsid w:val="00251D90"/>
    <w:rsid w:val="00260582"/>
    <w:rsid w:val="0026144C"/>
    <w:rsid w:val="00281FEA"/>
    <w:rsid w:val="00282F54"/>
    <w:rsid w:val="002A2C9B"/>
    <w:rsid w:val="002A50D0"/>
    <w:rsid w:val="002A70B3"/>
    <w:rsid w:val="002B5BDD"/>
    <w:rsid w:val="002B5C28"/>
    <w:rsid w:val="002B6BA9"/>
    <w:rsid w:val="002C7B6B"/>
    <w:rsid w:val="002C7FCF"/>
    <w:rsid w:val="002E3600"/>
    <w:rsid w:val="002E7A4E"/>
    <w:rsid w:val="002F0183"/>
    <w:rsid w:val="0030361A"/>
    <w:rsid w:val="003051AF"/>
    <w:rsid w:val="00307635"/>
    <w:rsid w:val="00312800"/>
    <w:rsid w:val="003147CE"/>
    <w:rsid w:val="003153DE"/>
    <w:rsid w:val="0032547C"/>
    <w:rsid w:val="00331802"/>
    <w:rsid w:val="003400E4"/>
    <w:rsid w:val="00347173"/>
    <w:rsid w:val="00355821"/>
    <w:rsid w:val="003610E0"/>
    <w:rsid w:val="00370561"/>
    <w:rsid w:val="00372684"/>
    <w:rsid w:val="00372F40"/>
    <w:rsid w:val="003740F6"/>
    <w:rsid w:val="00380734"/>
    <w:rsid w:val="00387AD4"/>
    <w:rsid w:val="003A7898"/>
    <w:rsid w:val="003B2878"/>
    <w:rsid w:val="003D5DBF"/>
    <w:rsid w:val="003D7CF7"/>
    <w:rsid w:val="003E0A28"/>
    <w:rsid w:val="003E0C64"/>
    <w:rsid w:val="003E7FD0"/>
    <w:rsid w:val="00403AEB"/>
    <w:rsid w:val="004079F5"/>
    <w:rsid w:val="00410C0A"/>
    <w:rsid w:val="00414245"/>
    <w:rsid w:val="00416C4B"/>
    <w:rsid w:val="00417F7E"/>
    <w:rsid w:val="004252AB"/>
    <w:rsid w:val="004277AF"/>
    <w:rsid w:val="00431422"/>
    <w:rsid w:val="0044253C"/>
    <w:rsid w:val="00445EEC"/>
    <w:rsid w:val="004560AF"/>
    <w:rsid w:val="0046083B"/>
    <w:rsid w:val="004671E4"/>
    <w:rsid w:val="0047223C"/>
    <w:rsid w:val="00477029"/>
    <w:rsid w:val="00481BB6"/>
    <w:rsid w:val="00482317"/>
    <w:rsid w:val="00486AE1"/>
    <w:rsid w:val="004915D1"/>
    <w:rsid w:val="00491F63"/>
    <w:rsid w:val="00497D8B"/>
    <w:rsid w:val="004B01D6"/>
    <w:rsid w:val="004B0341"/>
    <w:rsid w:val="004D3C95"/>
    <w:rsid w:val="004D41B8"/>
    <w:rsid w:val="004D4E9E"/>
    <w:rsid w:val="004E1F7A"/>
    <w:rsid w:val="004F29CC"/>
    <w:rsid w:val="00502D8E"/>
    <w:rsid w:val="00506351"/>
    <w:rsid w:val="0051061B"/>
    <w:rsid w:val="005117F4"/>
    <w:rsid w:val="00512C59"/>
    <w:rsid w:val="00522632"/>
    <w:rsid w:val="00524746"/>
    <w:rsid w:val="005253B6"/>
    <w:rsid w:val="00525A46"/>
    <w:rsid w:val="00525F2A"/>
    <w:rsid w:val="00530134"/>
    <w:rsid w:val="0053052A"/>
    <w:rsid w:val="00531310"/>
    <w:rsid w:val="00534982"/>
    <w:rsid w:val="00540418"/>
    <w:rsid w:val="005425E9"/>
    <w:rsid w:val="00543D9D"/>
    <w:rsid w:val="00553FE6"/>
    <w:rsid w:val="005540C2"/>
    <w:rsid w:val="005542F7"/>
    <w:rsid w:val="00556AE9"/>
    <w:rsid w:val="005706D9"/>
    <w:rsid w:val="00582405"/>
    <w:rsid w:val="00584060"/>
    <w:rsid w:val="00584484"/>
    <w:rsid w:val="005859FA"/>
    <w:rsid w:val="005A036E"/>
    <w:rsid w:val="005A1A7B"/>
    <w:rsid w:val="005A1ABD"/>
    <w:rsid w:val="005A4763"/>
    <w:rsid w:val="005B6522"/>
    <w:rsid w:val="005C11C0"/>
    <w:rsid w:val="005C4017"/>
    <w:rsid w:val="005D54E4"/>
    <w:rsid w:val="005D5AFE"/>
    <w:rsid w:val="005F38CB"/>
    <w:rsid w:val="006008D3"/>
    <w:rsid w:val="00601DE3"/>
    <w:rsid w:val="006039A4"/>
    <w:rsid w:val="00603D1A"/>
    <w:rsid w:val="00604787"/>
    <w:rsid w:val="006048D2"/>
    <w:rsid w:val="00611E39"/>
    <w:rsid w:val="006133D2"/>
    <w:rsid w:val="00616328"/>
    <w:rsid w:val="006223EE"/>
    <w:rsid w:val="00624AF0"/>
    <w:rsid w:val="00624D22"/>
    <w:rsid w:val="00631A53"/>
    <w:rsid w:val="0063262A"/>
    <w:rsid w:val="00633237"/>
    <w:rsid w:val="006359FF"/>
    <w:rsid w:val="00640E11"/>
    <w:rsid w:val="00642B6C"/>
    <w:rsid w:val="00646E28"/>
    <w:rsid w:val="00656AFE"/>
    <w:rsid w:val="00660A28"/>
    <w:rsid w:val="00661772"/>
    <w:rsid w:val="00662E1A"/>
    <w:rsid w:val="006638AC"/>
    <w:rsid w:val="00665222"/>
    <w:rsid w:val="006725E1"/>
    <w:rsid w:val="00682609"/>
    <w:rsid w:val="006944F9"/>
    <w:rsid w:val="006B3871"/>
    <w:rsid w:val="006B729B"/>
    <w:rsid w:val="006C0640"/>
    <w:rsid w:val="006C1D3E"/>
    <w:rsid w:val="006C55DD"/>
    <w:rsid w:val="006D350A"/>
    <w:rsid w:val="006D7978"/>
    <w:rsid w:val="006E54D7"/>
    <w:rsid w:val="006E6B8E"/>
    <w:rsid w:val="006E6EBC"/>
    <w:rsid w:val="006E77DD"/>
    <w:rsid w:val="006F6105"/>
    <w:rsid w:val="00735C8C"/>
    <w:rsid w:val="007367F5"/>
    <w:rsid w:val="00742BBA"/>
    <w:rsid w:val="0078139D"/>
    <w:rsid w:val="00794F06"/>
    <w:rsid w:val="007957C2"/>
    <w:rsid w:val="0079582C"/>
    <w:rsid w:val="007A4203"/>
    <w:rsid w:val="007B11D4"/>
    <w:rsid w:val="007B1A84"/>
    <w:rsid w:val="007B395E"/>
    <w:rsid w:val="007B4655"/>
    <w:rsid w:val="007B71E0"/>
    <w:rsid w:val="007C040F"/>
    <w:rsid w:val="007C0B6C"/>
    <w:rsid w:val="007C4BCA"/>
    <w:rsid w:val="007C79D7"/>
    <w:rsid w:val="007D6E9A"/>
    <w:rsid w:val="007E22F8"/>
    <w:rsid w:val="007E2D58"/>
    <w:rsid w:val="007F0E35"/>
    <w:rsid w:val="0080591B"/>
    <w:rsid w:val="00816AF8"/>
    <w:rsid w:val="00816BF6"/>
    <w:rsid w:val="00817382"/>
    <w:rsid w:val="00826C18"/>
    <w:rsid w:val="008345D5"/>
    <w:rsid w:val="00863436"/>
    <w:rsid w:val="0087007A"/>
    <w:rsid w:val="00877C2B"/>
    <w:rsid w:val="008874BA"/>
    <w:rsid w:val="008A546E"/>
    <w:rsid w:val="008A6E4D"/>
    <w:rsid w:val="008B0017"/>
    <w:rsid w:val="008B4216"/>
    <w:rsid w:val="008C3ECC"/>
    <w:rsid w:val="008C41C4"/>
    <w:rsid w:val="008C569F"/>
    <w:rsid w:val="008C6168"/>
    <w:rsid w:val="008D2722"/>
    <w:rsid w:val="008D4272"/>
    <w:rsid w:val="008D768C"/>
    <w:rsid w:val="008E3652"/>
    <w:rsid w:val="008E3C77"/>
    <w:rsid w:val="00906646"/>
    <w:rsid w:val="009159C2"/>
    <w:rsid w:val="00922416"/>
    <w:rsid w:val="00926EB9"/>
    <w:rsid w:val="0093779B"/>
    <w:rsid w:val="00951352"/>
    <w:rsid w:val="00963BCC"/>
    <w:rsid w:val="0096474B"/>
    <w:rsid w:val="00966947"/>
    <w:rsid w:val="00970B6A"/>
    <w:rsid w:val="00972FEB"/>
    <w:rsid w:val="0097585A"/>
    <w:rsid w:val="0099048E"/>
    <w:rsid w:val="009909AB"/>
    <w:rsid w:val="009A40F6"/>
    <w:rsid w:val="009B00DE"/>
    <w:rsid w:val="009B24B0"/>
    <w:rsid w:val="009C1CD1"/>
    <w:rsid w:val="009C3DD4"/>
    <w:rsid w:val="009F743B"/>
    <w:rsid w:val="00A05B12"/>
    <w:rsid w:val="00A0752F"/>
    <w:rsid w:val="00A10730"/>
    <w:rsid w:val="00A12A6A"/>
    <w:rsid w:val="00A14B74"/>
    <w:rsid w:val="00A15855"/>
    <w:rsid w:val="00A27E14"/>
    <w:rsid w:val="00A34412"/>
    <w:rsid w:val="00A34915"/>
    <w:rsid w:val="00A50B04"/>
    <w:rsid w:val="00A5452D"/>
    <w:rsid w:val="00A5610E"/>
    <w:rsid w:val="00A61EF8"/>
    <w:rsid w:val="00A74171"/>
    <w:rsid w:val="00A83EF6"/>
    <w:rsid w:val="00A911BD"/>
    <w:rsid w:val="00AA1042"/>
    <w:rsid w:val="00AA4C6C"/>
    <w:rsid w:val="00AB13B7"/>
    <w:rsid w:val="00AC1075"/>
    <w:rsid w:val="00AD0E70"/>
    <w:rsid w:val="00AD1576"/>
    <w:rsid w:val="00AD3960"/>
    <w:rsid w:val="00AD41FC"/>
    <w:rsid w:val="00AD42C4"/>
    <w:rsid w:val="00AD4901"/>
    <w:rsid w:val="00AE0C4F"/>
    <w:rsid w:val="00AE5EA4"/>
    <w:rsid w:val="00B05BA2"/>
    <w:rsid w:val="00B06832"/>
    <w:rsid w:val="00B1168B"/>
    <w:rsid w:val="00B1248C"/>
    <w:rsid w:val="00B12C59"/>
    <w:rsid w:val="00B13B37"/>
    <w:rsid w:val="00B17423"/>
    <w:rsid w:val="00B328E1"/>
    <w:rsid w:val="00B402CD"/>
    <w:rsid w:val="00B42A02"/>
    <w:rsid w:val="00B44510"/>
    <w:rsid w:val="00B4605E"/>
    <w:rsid w:val="00B602FC"/>
    <w:rsid w:val="00B7083A"/>
    <w:rsid w:val="00B72E45"/>
    <w:rsid w:val="00B849EE"/>
    <w:rsid w:val="00B94CA9"/>
    <w:rsid w:val="00B96664"/>
    <w:rsid w:val="00BA5834"/>
    <w:rsid w:val="00BB45A3"/>
    <w:rsid w:val="00BB6BB8"/>
    <w:rsid w:val="00BC0341"/>
    <w:rsid w:val="00BC11BA"/>
    <w:rsid w:val="00BC7E9F"/>
    <w:rsid w:val="00BE09A9"/>
    <w:rsid w:val="00BF18F1"/>
    <w:rsid w:val="00BF6713"/>
    <w:rsid w:val="00C07096"/>
    <w:rsid w:val="00C137AC"/>
    <w:rsid w:val="00C22F80"/>
    <w:rsid w:val="00C40F5B"/>
    <w:rsid w:val="00C41A6F"/>
    <w:rsid w:val="00C44F01"/>
    <w:rsid w:val="00C51245"/>
    <w:rsid w:val="00C524AA"/>
    <w:rsid w:val="00C5336C"/>
    <w:rsid w:val="00C60673"/>
    <w:rsid w:val="00C65469"/>
    <w:rsid w:val="00C751D7"/>
    <w:rsid w:val="00C77D0C"/>
    <w:rsid w:val="00C84C19"/>
    <w:rsid w:val="00C84E62"/>
    <w:rsid w:val="00C94CD0"/>
    <w:rsid w:val="00C95417"/>
    <w:rsid w:val="00C97623"/>
    <w:rsid w:val="00CA2D37"/>
    <w:rsid w:val="00CC01C3"/>
    <w:rsid w:val="00CC2455"/>
    <w:rsid w:val="00CC5CB6"/>
    <w:rsid w:val="00CD270F"/>
    <w:rsid w:val="00CD5EEE"/>
    <w:rsid w:val="00CE0FC5"/>
    <w:rsid w:val="00CF2236"/>
    <w:rsid w:val="00D055EC"/>
    <w:rsid w:val="00D23283"/>
    <w:rsid w:val="00D23466"/>
    <w:rsid w:val="00D325BD"/>
    <w:rsid w:val="00D34B4E"/>
    <w:rsid w:val="00D3760D"/>
    <w:rsid w:val="00D404ED"/>
    <w:rsid w:val="00D51261"/>
    <w:rsid w:val="00D54110"/>
    <w:rsid w:val="00D66966"/>
    <w:rsid w:val="00D72163"/>
    <w:rsid w:val="00D748D3"/>
    <w:rsid w:val="00DA63CF"/>
    <w:rsid w:val="00DB2F7D"/>
    <w:rsid w:val="00DB5C58"/>
    <w:rsid w:val="00DD230F"/>
    <w:rsid w:val="00DD2DA2"/>
    <w:rsid w:val="00DD3642"/>
    <w:rsid w:val="00DD6926"/>
    <w:rsid w:val="00DE4F31"/>
    <w:rsid w:val="00DE762C"/>
    <w:rsid w:val="00DF024A"/>
    <w:rsid w:val="00DF04BC"/>
    <w:rsid w:val="00DF3AD2"/>
    <w:rsid w:val="00E13FEA"/>
    <w:rsid w:val="00E227E7"/>
    <w:rsid w:val="00E22833"/>
    <w:rsid w:val="00E23C31"/>
    <w:rsid w:val="00E32708"/>
    <w:rsid w:val="00E33341"/>
    <w:rsid w:val="00E464BF"/>
    <w:rsid w:val="00E479BE"/>
    <w:rsid w:val="00E57470"/>
    <w:rsid w:val="00E74945"/>
    <w:rsid w:val="00E757BB"/>
    <w:rsid w:val="00E9097D"/>
    <w:rsid w:val="00EA5418"/>
    <w:rsid w:val="00EC7D24"/>
    <w:rsid w:val="00ED16FA"/>
    <w:rsid w:val="00ED7A80"/>
    <w:rsid w:val="00EF24CD"/>
    <w:rsid w:val="00EF4AF6"/>
    <w:rsid w:val="00F02E98"/>
    <w:rsid w:val="00F17883"/>
    <w:rsid w:val="00F36BDB"/>
    <w:rsid w:val="00F41A59"/>
    <w:rsid w:val="00F54A20"/>
    <w:rsid w:val="00F60DDE"/>
    <w:rsid w:val="00F81DF7"/>
    <w:rsid w:val="00F837EE"/>
    <w:rsid w:val="00F96944"/>
    <w:rsid w:val="00FB77E4"/>
    <w:rsid w:val="00FB7DE9"/>
    <w:rsid w:val="00FC3675"/>
    <w:rsid w:val="00FD54C2"/>
    <w:rsid w:val="00FE0370"/>
    <w:rsid w:val="00FE6888"/>
    <w:rsid w:val="00FF287A"/>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C343ACF"/>
  <w15:docId w15:val="{6C4E545A-A804-4E6A-9F4E-9383CFF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7978"/>
    <w:pPr>
      <w:keepNext/>
      <w:tabs>
        <w:tab w:val="left" w:pos="-1440"/>
        <w:tab w:val="left" w:pos="-720"/>
        <w:tab w:val="left" w:pos="454"/>
      </w:tabs>
      <w:suppressAutoHyphens/>
      <w:ind w:left="680" w:hanging="680"/>
      <w:jc w:val="both"/>
      <w:outlineLvl w:val="0"/>
    </w:pPr>
    <w:rPr>
      <w:rFonts w:ascii="Arial" w:hAnsi="Arial"/>
      <w:b/>
      <w:spacing w:val="-3"/>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semiHidden/>
    <w:unhideWhenUsed/>
    <w:rsid w:val="00661772"/>
    <w:pPr>
      <w:spacing w:after="120"/>
    </w:pPr>
  </w:style>
  <w:style w:type="character" w:customStyle="1" w:styleId="TextoindependienteCar">
    <w:name w:val="Texto independiente Car"/>
    <w:basedOn w:val="Fuentedeprrafopredeter"/>
    <w:link w:val="Textoindependiente"/>
    <w:semiHidden/>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character" w:customStyle="1" w:styleId="Ttulo1Car">
    <w:name w:val="Título 1 Car"/>
    <w:basedOn w:val="Fuentedeprrafopredeter"/>
    <w:link w:val="Ttulo1"/>
    <w:rsid w:val="006D7978"/>
    <w:rPr>
      <w:rFonts w:ascii="Arial" w:eastAsia="Times New Roman" w:hAnsi="Arial" w:cs="Times New Roman"/>
      <w:b/>
      <w:spacing w:val="-3"/>
      <w:sz w:val="20"/>
      <w:szCs w:val="20"/>
      <w:lang w:eastAsia="es-ES"/>
    </w:rPr>
  </w:style>
  <w:style w:type="paragraph" w:styleId="Textoindependiente2">
    <w:name w:val="Body Text 2"/>
    <w:basedOn w:val="Normal"/>
    <w:link w:val="Textoindependiente2Car"/>
    <w:uiPriority w:val="99"/>
    <w:semiHidden/>
    <w:unhideWhenUsed/>
    <w:rsid w:val="00C751D7"/>
    <w:pPr>
      <w:spacing w:after="120" w:line="480" w:lineRule="auto"/>
    </w:pPr>
  </w:style>
  <w:style w:type="character" w:customStyle="1" w:styleId="Textoindependiente2Car">
    <w:name w:val="Texto independiente 2 Car"/>
    <w:basedOn w:val="Fuentedeprrafopredeter"/>
    <w:link w:val="Textoindependiente2"/>
    <w:uiPriority w:val="99"/>
    <w:semiHidden/>
    <w:rsid w:val="00C751D7"/>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0D5278"/>
    <w:pPr>
      <w:spacing w:before="100" w:beforeAutospacing="1" w:after="100" w:afterAutospacing="1"/>
    </w:pPr>
    <w:rPr>
      <w:lang w:val="es-MX" w:eastAsia="es-MX"/>
    </w:rPr>
  </w:style>
  <w:style w:type="character" w:styleId="Hipervnculo">
    <w:name w:val="Hyperlink"/>
    <w:uiPriority w:val="99"/>
    <w:unhideWhenUsed/>
    <w:rsid w:val="00CC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8454">
      <w:bodyDiv w:val="1"/>
      <w:marLeft w:val="0"/>
      <w:marRight w:val="0"/>
      <w:marTop w:val="0"/>
      <w:marBottom w:val="0"/>
      <w:divBdr>
        <w:top w:val="none" w:sz="0" w:space="0" w:color="auto"/>
        <w:left w:val="none" w:sz="0" w:space="0" w:color="auto"/>
        <w:bottom w:val="none" w:sz="0" w:space="0" w:color="auto"/>
        <w:right w:val="none" w:sz="0" w:space="0" w:color="auto"/>
      </w:divBdr>
    </w:div>
    <w:div w:id="138767861">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959602854">
      <w:bodyDiv w:val="1"/>
      <w:marLeft w:val="0"/>
      <w:marRight w:val="0"/>
      <w:marTop w:val="0"/>
      <w:marBottom w:val="0"/>
      <w:divBdr>
        <w:top w:val="none" w:sz="0" w:space="0" w:color="auto"/>
        <w:left w:val="none" w:sz="0" w:space="0" w:color="auto"/>
        <w:bottom w:val="none" w:sz="0" w:space="0" w:color="auto"/>
        <w:right w:val="none" w:sz="0" w:space="0" w:color="auto"/>
      </w:divBdr>
    </w:div>
    <w:div w:id="1216618857">
      <w:bodyDiv w:val="1"/>
      <w:marLeft w:val="0"/>
      <w:marRight w:val="0"/>
      <w:marTop w:val="0"/>
      <w:marBottom w:val="0"/>
      <w:divBdr>
        <w:top w:val="none" w:sz="0" w:space="0" w:color="auto"/>
        <w:left w:val="none" w:sz="0" w:space="0" w:color="auto"/>
        <w:bottom w:val="none" w:sz="0" w:space="0" w:color="auto"/>
        <w:right w:val="none" w:sz="0" w:space="0" w:color="auto"/>
      </w:divBdr>
    </w:div>
    <w:div w:id="14823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8678D-8014-4400-A0EF-62BAEBD8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2416</Words>
  <Characters>13290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Armando</cp:lastModifiedBy>
  <cp:revision>2</cp:revision>
  <cp:lastPrinted>2025-04-08T17:06:00Z</cp:lastPrinted>
  <dcterms:created xsi:type="dcterms:W3CDTF">2026-01-23T16:41:00Z</dcterms:created>
  <dcterms:modified xsi:type="dcterms:W3CDTF">2026-01-23T16:41:00Z</dcterms:modified>
</cp:coreProperties>
</file>