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05"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2795"/>
      </w:tblGrid>
      <w:tr>
        <w:trPr>
          <w:trHeight w:val="174" w:hRule="exact"/>
        </w:trPr>
        <w:tc>
          <w:tcPr>
            <w:tcW w:w="12795" w:type="dxa"/>
          </w:tcPr>
          <w:p>
            <w:pPr>
              <w:pStyle w:val="TableParagraph"/>
              <w:spacing w:line="143" w:lineRule="exact" w:before="0"/>
              <w:ind w:left="4715" w:right="4949"/>
              <w:jc w:val="center"/>
              <w:rPr>
                <w:b/>
                <w:sz w:val="13"/>
              </w:rPr>
            </w:pPr>
            <w:bookmarkStart w:name="NGA" w:id="1"/>
            <w:bookmarkEnd w:id="1"/>
            <w:r>
              <w:rPr/>
            </w:r>
            <w:r>
              <w:rPr>
                <w:b/>
                <w:w w:val="105"/>
                <w:sz w:val="13"/>
              </w:rPr>
              <w:t>Comisión de Deporte del Estado de</w:t>
            </w:r>
            <w:r>
              <w:rPr>
                <w:b/>
                <w:spacing w:val="2"/>
                <w:w w:val="105"/>
                <w:sz w:val="13"/>
              </w:rPr>
              <w:t> </w:t>
            </w:r>
            <w:r>
              <w:rPr>
                <w:b/>
                <w:w w:val="105"/>
                <w:sz w:val="13"/>
              </w:rPr>
              <w:t>Guanajuato</w:t>
            </w:r>
          </w:p>
        </w:tc>
      </w:tr>
      <w:tr>
        <w:trPr>
          <w:trHeight w:val="194" w:hRule="exact"/>
        </w:trPr>
        <w:tc>
          <w:tcPr>
            <w:tcW w:w="12795" w:type="dxa"/>
          </w:tcPr>
          <w:p>
            <w:pPr>
              <w:pStyle w:val="TableParagraph"/>
              <w:spacing w:before="14"/>
              <w:ind w:left="4715" w:right="4949"/>
              <w:jc w:val="center"/>
              <w:rPr>
                <w:b/>
                <w:sz w:val="13"/>
              </w:rPr>
            </w:pPr>
            <w:r>
              <w:rPr>
                <w:b/>
                <w:w w:val="105"/>
                <w:sz w:val="13"/>
              </w:rPr>
              <w:t>Notas a los Estados</w:t>
            </w:r>
            <w:r>
              <w:rPr>
                <w:b/>
                <w:spacing w:val="5"/>
                <w:w w:val="105"/>
                <w:sz w:val="13"/>
              </w:rPr>
              <w:t> </w:t>
            </w:r>
            <w:r>
              <w:rPr>
                <w:b/>
                <w:w w:val="105"/>
                <w:sz w:val="13"/>
              </w:rPr>
              <w:t>Financieros</w:t>
            </w:r>
          </w:p>
        </w:tc>
      </w:tr>
      <w:tr>
        <w:trPr>
          <w:trHeight w:val="194" w:hRule="exact"/>
        </w:trPr>
        <w:tc>
          <w:tcPr>
            <w:tcW w:w="12795" w:type="dxa"/>
          </w:tcPr>
          <w:p>
            <w:pPr>
              <w:pStyle w:val="TableParagraph"/>
              <w:spacing w:before="14"/>
              <w:ind w:left="4715" w:right="4947"/>
              <w:jc w:val="center"/>
              <w:rPr>
                <w:b/>
                <w:sz w:val="13"/>
              </w:rPr>
            </w:pPr>
            <w:r>
              <w:rPr>
                <w:b/>
                <w:spacing w:val="-3"/>
                <w:w w:val="105"/>
                <w:sz w:val="13"/>
              </w:rPr>
              <w:t>Al </w:t>
            </w:r>
            <w:r>
              <w:rPr>
                <w:b/>
                <w:w w:val="105"/>
                <w:sz w:val="13"/>
              </w:rPr>
              <w:t>31 de Marzo de</w:t>
            </w:r>
            <w:r>
              <w:rPr>
                <w:b/>
                <w:spacing w:val="12"/>
                <w:w w:val="105"/>
                <w:sz w:val="13"/>
              </w:rPr>
              <w:t> </w:t>
            </w:r>
            <w:r>
              <w:rPr>
                <w:b/>
                <w:w w:val="105"/>
                <w:sz w:val="13"/>
              </w:rPr>
              <w:t>2024</w:t>
            </w:r>
          </w:p>
        </w:tc>
      </w:tr>
      <w:tr>
        <w:trPr>
          <w:trHeight w:val="292" w:hRule="exact"/>
        </w:trPr>
        <w:tc>
          <w:tcPr>
            <w:tcW w:w="12795" w:type="dxa"/>
          </w:tcPr>
          <w:p>
            <w:pPr>
              <w:pStyle w:val="TableParagraph"/>
              <w:spacing w:before="14"/>
              <w:ind w:left="4715" w:right="4947"/>
              <w:jc w:val="center"/>
              <w:rPr>
                <w:sz w:val="13"/>
              </w:rPr>
            </w:pPr>
            <w:r>
              <w:rPr>
                <w:w w:val="105"/>
                <w:sz w:val="13"/>
              </w:rPr>
              <w:t>(Cifras en</w:t>
            </w:r>
            <w:r>
              <w:rPr>
                <w:spacing w:val="4"/>
                <w:w w:val="105"/>
                <w:sz w:val="13"/>
              </w:rPr>
              <w:t> </w:t>
            </w:r>
            <w:r>
              <w:rPr>
                <w:w w:val="105"/>
                <w:sz w:val="13"/>
              </w:rPr>
              <w:t>Pesos)</w:t>
            </w:r>
          </w:p>
        </w:tc>
      </w:tr>
      <w:tr>
        <w:trPr>
          <w:trHeight w:val="389" w:hRule="exact"/>
        </w:trPr>
        <w:tc>
          <w:tcPr>
            <w:tcW w:w="12795" w:type="dxa"/>
          </w:tcPr>
          <w:p>
            <w:pPr>
              <w:pStyle w:val="TableParagraph"/>
              <w:spacing w:before="111"/>
              <w:ind w:left="4715" w:right="4718"/>
              <w:jc w:val="center"/>
              <w:rPr>
                <w:b/>
                <w:sz w:val="13"/>
              </w:rPr>
            </w:pPr>
            <w:r>
              <w:rPr>
                <w:b/>
                <w:w w:val="105"/>
                <w:sz w:val="13"/>
              </w:rPr>
              <w:t>NOTAS DE GESTIÓN</w:t>
            </w:r>
            <w:r>
              <w:rPr>
                <w:b/>
                <w:spacing w:val="-22"/>
                <w:w w:val="105"/>
                <w:sz w:val="13"/>
              </w:rPr>
              <w:t> </w:t>
            </w:r>
            <w:r>
              <w:rPr>
                <w:b/>
                <w:w w:val="105"/>
                <w:sz w:val="13"/>
              </w:rPr>
              <w:t>ADMINISTRATIVA</w:t>
            </w:r>
          </w:p>
        </w:tc>
      </w:tr>
      <w:tr>
        <w:trPr>
          <w:trHeight w:val="292" w:hRule="exact"/>
        </w:trPr>
        <w:tc>
          <w:tcPr>
            <w:tcW w:w="12795" w:type="dxa"/>
          </w:tcPr>
          <w:p>
            <w:pPr>
              <w:pStyle w:val="TableParagraph"/>
              <w:spacing w:before="111"/>
              <w:rPr>
                <w:b/>
                <w:sz w:val="13"/>
              </w:rPr>
            </w:pPr>
            <w:r>
              <w:rPr>
                <w:b/>
                <w:w w:val="105"/>
                <w:sz w:val="13"/>
              </w:rPr>
              <w:t>1. Introducción</w:t>
            </w:r>
          </w:p>
        </w:tc>
      </w:tr>
      <w:tr>
        <w:trPr>
          <w:trHeight w:val="292" w:hRule="exact"/>
        </w:trPr>
        <w:tc>
          <w:tcPr>
            <w:tcW w:w="12795" w:type="dxa"/>
          </w:tcPr>
          <w:p>
            <w:pPr>
              <w:pStyle w:val="TableParagraph"/>
              <w:spacing w:before="14"/>
              <w:rPr>
                <w:sz w:val="13"/>
              </w:rPr>
            </w:pPr>
            <w:r>
              <w:rPr>
                <w:w w:val="105"/>
                <w:sz w:val="13"/>
              </w:rPr>
              <w:t>Los Estados Financieros de los entes públicos, proveen de información financiera a los principales usuarios de la misma, al Congreso y a los  ciudadanos.</w:t>
            </w:r>
          </w:p>
        </w:tc>
      </w:tr>
      <w:tr>
        <w:trPr>
          <w:trHeight w:val="292" w:hRule="exact"/>
        </w:trPr>
        <w:tc>
          <w:tcPr>
            <w:tcW w:w="12795" w:type="dxa"/>
          </w:tcPr>
          <w:p>
            <w:pPr>
              <w:pStyle w:val="TableParagraph"/>
              <w:spacing w:before="111"/>
              <w:rPr>
                <w:sz w:val="13"/>
              </w:rPr>
            </w:pPr>
            <w:r>
              <w:rPr>
                <w:color w:val="44546A"/>
                <w:w w:val="105"/>
                <w:sz w:val="13"/>
              </w:rPr>
              <w:t>El objetivo del presente documento es la revelación del contexto y de los aspectos económicos-financieros más relevantes que influyeron en las decisiones del período, y que deberán ser considerados  en</w:t>
            </w:r>
          </w:p>
        </w:tc>
      </w:tr>
      <w:tr>
        <w:trPr>
          <w:trHeight w:val="292" w:hRule="exact"/>
        </w:trPr>
        <w:tc>
          <w:tcPr>
            <w:tcW w:w="12795" w:type="dxa"/>
          </w:tcPr>
          <w:p>
            <w:pPr>
              <w:pStyle w:val="TableParagraph"/>
              <w:spacing w:before="14"/>
              <w:rPr>
                <w:sz w:val="13"/>
              </w:rPr>
            </w:pPr>
            <w:r>
              <w:rPr>
                <w:color w:val="44546A"/>
                <w:w w:val="105"/>
                <w:sz w:val="13"/>
              </w:rPr>
              <w:t>De esta manera, se informa y explica la respuesta del gobierno a las condiciones relacionadas con la información financiera de cada período de gestión; además, de exponer aquellas políticas que  podrían</w:t>
            </w:r>
          </w:p>
        </w:tc>
      </w:tr>
      <w:tr>
        <w:trPr>
          <w:trHeight w:val="292" w:hRule="exact"/>
        </w:trPr>
        <w:tc>
          <w:tcPr>
            <w:tcW w:w="12795" w:type="dxa"/>
          </w:tcPr>
          <w:p>
            <w:pPr>
              <w:pStyle w:val="TableParagraph"/>
              <w:spacing w:before="111"/>
              <w:rPr>
                <w:sz w:val="13"/>
              </w:rPr>
            </w:pPr>
            <w:r>
              <w:rPr>
                <w:w w:val="105"/>
                <w:sz w:val="13"/>
              </w:rPr>
              <w:t>2.  Panorama Económico y Financiero</w:t>
            </w:r>
          </w:p>
        </w:tc>
      </w:tr>
      <w:tr>
        <w:trPr>
          <w:trHeight w:val="292" w:hRule="exact"/>
        </w:trPr>
        <w:tc>
          <w:tcPr>
            <w:tcW w:w="12795" w:type="dxa"/>
          </w:tcPr>
          <w:p>
            <w:pPr>
              <w:pStyle w:val="TableParagraph"/>
              <w:spacing w:before="14"/>
              <w:rPr>
                <w:sz w:val="13"/>
              </w:rPr>
            </w:pPr>
            <w:r>
              <w:rPr>
                <w:w w:val="105"/>
                <w:sz w:val="13"/>
              </w:rPr>
              <w:t>Se informará sobre las principales condiciones económico- financieras bajo las cuales el ente público estuvo operando; y las cuales influyeron en la toma de decisiones de la administración; tanto a nivel  lo</w:t>
            </w:r>
          </w:p>
        </w:tc>
      </w:tr>
      <w:tr>
        <w:trPr>
          <w:trHeight w:val="391" w:hRule="exact"/>
        </w:trPr>
        <w:tc>
          <w:tcPr>
            <w:tcW w:w="12795" w:type="dxa"/>
          </w:tcPr>
          <w:p>
            <w:pPr>
              <w:pStyle w:val="TableParagraph"/>
              <w:spacing w:before="111"/>
              <w:rPr>
                <w:sz w:val="13"/>
              </w:rPr>
            </w:pPr>
            <w:r>
              <w:rPr>
                <w:color w:val="44546A"/>
                <w:w w:val="105"/>
                <w:sz w:val="13"/>
              </w:rPr>
              <w:t>Esta nota no le aplica al ente público, por la dependencia económica del Poder Ejecutivo del Gobierno del Estado de  Guanajuato.</w:t>
            </w:r>
          </w:p>
        </w:tc>
      </w:tr>
      <w:tr>
        <w:trPr>
          <w:trHeight w:val="292" w:hRule="exact"/>
        </w:trPr>
        <w:tc>
          <w:tcPr>
            <w:tcW w:w="12795" w:type="dxa"/>
          </w:tcPr>
          <w:p>
            <w:pPr>
              <w:pStyle w:val="TableParagraph"/>
              <w:spacing w:before="113"/>
              <w:rPr>
                <w:b/>
                <w:sz w:val="13"/>
              </w:rPr>
            </w:pPr>
            <w:r>
              <w:rPr>
                <w:w w:val="105"/>
                <w:sz w:val="13"/>
              </w:rPr>
              <w:t>3.   </w:t>
            </w:r>
            <w:r>
              <w:rPr>
                <w:b/>
                <w:w w:val="105"/>
                <w:sz w:val="13"/>
              </w:rPr>
              <w:t>Autorización e Historia</w:t>
            </w:r>
          </w:p>
        </w:tc>
      </w:tr>
      <w:tr>
        <w:trPr>
          <w:trHeight w:val="192" w:hRule="exact"/>
        </w:trPr>
        <w:tc>
          <w:tcPr>
            <w:tcW w:w="12795" w:type="dxa"/>
          </w:tcPr>
          <w:p>
            <w:pPr>
              <w:pStyle w:val="TableParagraph"/>
              <w:spacing w:before="11"/>
              <w:rPr>
                <w:sz w:val="13"/>
              </w:rPr>
            </w:pPr>
            <w:r>
              <w:rPr>
                <w:w w:val="105"/>
                <w:sz w:val="13"/>
              </w:rPr>
              <w:t>Se informará sobre:</w:t>
            </w:r>
          </w:p>
        </w:tc>
      </w:tr>
      <w:tr>
        <w:trPr>
          <w:trHeight w:val="313" w:hRule="exact"/>
        </w:trPr>
        <w:tc>
          <w:tcPr>
            <w:tcW w:w="12795" w:type="dxa"/>
          </w:tcPr>
          <w:p>
            <w:pPr>
              <w:pStyle w:val="TableParagraph"/>
              <w:spacing w:before="14"/>
              <w:rPr>
                <w:sz w:val="13"/>
              </w:rPr>
            </w:pPr>
            <w:r>
              <w:rPr>
                <w:w w:val="105"/>
                <w:sz w:val="13"/>
              </w:rPr>
              <w:t>a)   Fecha de creación del ente.</w:t>
            </w:r>
          </w:p>
        </w:tc>
      </w:tr>
      <w:tr>
        <w:trPr>
          <w:trHeight w:val="664" w:hRule="exact"/>
        </w:trPr>
        <w:tc>
          <w:tcPr>
            <w:tcW w:w="12795" w:type="dxa"/>
          </w:tcPr>
          <w:p>
            <w:pPr>
              <w:pStyle w:val="TableParagraph"/>
              <w:ind w:left="0"/>
              <w:rPr>
                <w:rFonts w:ascii="Times New Roman"/>
                <w:sz w:val="11"/>
              </w:rPr>
            </w:pPr>
          </w:p>
          <w:p>
            <w:pPr>
              <w:pStyle w:val="TableParagraph"/>
              <w:spacing w:line="268" w:lineRule="auto" w:before="0"/>
              <w:ind w:right="525"/>
              <w:rPr>
                <w:sz w:val="13"/>
              </w:rPr>
            </w:pPr>
            <w:r>
              <w:rPr>
                <w:color w:val="44546A"/>
                <w:w w:val="105"/>
                <w:sz w:val="13"/>
              </w:rPr>
              <w:t>El 6 de abril de 1990, se publicó en el periódico oficial del gobierno del Estado de Guanajuato, el decreto gubernativo no. 46 mediante el cual se crea el Instituto Guanajuatense de la Juventud y el Deporte, dependiente de la Secretaría de Educación, Cultura y Recreación del Estado, al cual le asignaron las funciones de promoción del deporte, de recreación y apoyo a la juventud, siendo gobernador el Lic. Rafael Corrales Ayala, en este tiempo se contaba con las áreas de Desarrollo del Deporte y de Atención a la Juventud.</w:t>
            </w:r>
          </w:p>
        </w:tc>
      </w:tr>
      <w:tr>
        <w:trPr>
          <w:trHeight w:val="382" w:hRule="exact"/>
        </w:trPr>
        <w:tc>
          <w:tcPr>
            <w:tcW w:w="12795" w:type="dxa"/>
          </w:tcPr>
          <w:p>
            <w:pPr>
              <w:pStyle w:val="TableParagraph"/>
              <w:spacing w:line="268" w:lineRule="auto" w:before="28"/>
              <w:ind w:right="525"/>
              <w:rPr>
                <w:sz w:val="13"/>
              </w:rPr>
            </w:pPr>
            <w:r>
              <w:rPr>
                <w:color w:val="44546A"/>
                <w:w w:val="105"/>
                <w:sz w:val="13"/>
              </w:rPr>
              <w:t>Posteriormente, en 1993, siendo gobernador el C. Ing. Carlos Medina Plasencia, el Instituto sufre cambios de acuerdo al decreto gubernativo no. 58 publicado en el periódico oficial del 9 de noviembre del mismo año, pasando a ser Consejo Guanajuatense de la Juventud y el Deporte (CONGUAJUDE), con personalidad jurídica y patrimonio propio.</w:t>
            </w:r>
          </w:p>
        </w:tc>
      </w:tr>
      <w:tr>
        <w:trPr>
          <w:trHeight w:val="599" w:hRule="exact"/>
        </w:trPr>
        <w:tc>
          <w:tcPr>
            <w:tcW w:w="12795" w:type="dxa"/>
          </w:tcPr>
          <w:p>
            <w:pPr>
              <w:pStyle w:val="TableParagraph"/>
              <w:spacing w:line="268" w:lineRule="auto" w:before="19"/>
              <w:ind w:right="525"/>
              <w:rPr>
                <w:sz w:val="13"/>
              </w:rPr>
            </w:pPr>
            <w:r>
              <w:rPr>
                <w:color w:val="44546A"/>
                <w:w w:val="105"/>
                <w:sz w:val="13"/>
              </w:rPr>
              <w:t>El 1 de enero de 1999 entra en vigor la Ley Estatal del Deporte y Atención a la Juventud de Guanajuato, en donde se estipula que el CONGUAJUDE pasa a ser Comisión Estatal del Deporte y  Atención a la Juventud (CEDAJ), mediante decreto no. 102 publicado en el diario oficial de Gobierno del Estado de fecha 4 de diciembre de 1998, siendo Gobernador del Estado el C. Lic. Vicente Fox Quesada, para lo cual, el reto sigue siendo el servicio y bienestar de la juventud y  la sociedad</w:t>
            </w:r>
            <w:r>
              <w:rPr>
                <w:color w:val="44546A"/>
                <w:spacing w:val="32"/>
                <w:w w:val="105"/>
                <w:sz w:val="13"/>
              </w:rPr>
              <w:t> </w:t>
            </w:r>
            <w:r>
              <w:rPr>
                <w:color w:val="44546A"/>
                <w:w w:val="105"/>
                <w:sz w:val="13"/>
              </w:rPr>
              <w:t>guanajuatense.</w:t>
            </w:r>
          </w:p>
        </w:tc>
      </w:tr>
      <w:tr>
        <w:trPr>
          <w:trHeight w:val="491" w:hRule="exact"/>
        </w:trPr>
        <w:tc>
          <w:tcPr>
            <w:tcW w:w="12795" w:type="dxa"/>
          </w:tcPr>
          <w:p>
            <w:pPr>
              <w:pStyle w:val="TableParagraph"/>
              <w:spacing w:line="268" w:lineRule="auto" w:before="77"/>
              <w:ind w:right="525"/>
              <w:rPr>
                <w:sz w:val="13"/>
              </w:rPr>
            </w:pPr>
            <w:r>
              <w:rPr>
                <w:color w:val="44546A"/>
                <w:w w:val="105"/>
                <w:sz w:val="13"/>
              </w:rPr>
              <w:t>En fecha 1 de Enero de 2011 entra en vigor la Ley de Cultura física y Deporte del Estado de Guanajuato, mediante el decreto núm. 76 publicado en el diario oficial de Gobierno del Estado el 19 de Agosto de 2010, en la que la Comisión Estatal de Cultura Física y Deporte sustituye en todos sus ámbitos jurídicos y legales a la Comisión Estatal del Deporte y Atención a la  Juventud.</w:t>
            </w:r>
          </w:p>
        </w:tc>
      </w:tr>
      <w:tr>
        <w:trPr>
          <w:trHeight w:val="617" w:hRule="exact"/>
        </w:trPr>
        <w:tc>
          <w:tcPr>
            <w:tcW w:w="12795" w:type="dxa"/>
          </w:tcPr>
          <w:p>
            <w:pPr>
              <w:pStyle w:val="TableParagraph"/>
              <w:spacing w:line="268" w:lineRule="auto" w:before="79"/>
              <w:ind w:right="525"/>
              <w:rPr>
                <w:sz w:val="13"/>
              </w:rPr>
            </w:pPr>
            <w:r>
              <w:rPr>
                <w:color w:val="44546A"/>
                <w:w w:val="105"/>
                <w:sz w:val="13"/>
              </w:rPr>
              <w:t>Posteriormente el 21 de diciembre de 2012 se publica el decreto gubernativo número 20, mediante el cual se expide el Reglamento de la Ley de cultura Física y Deporte del Estado de Guanajuato. En  el cual en su artículo 2, menciona, que, para los efectos legales y administrativos, se entenderá a la Comisión de Cultura Física y Deporte como la Comisión de Deporte del Estado de Guanajuato por sus siglas “CODE</w:t>
            </w:r>
            <w:r>
              <w:rPr>
                <w:color w:val="44546A"/>
                <w:spacing w:val="4"/>
                <w:w w:val="105"/>
                <w:sz w:val="13"/>
              </w:rPr>
              <w:t> </w:t>
            </w:r>
            <w:r>
              <w:rPr>
                <w:color w:val="44546A"/>
                <w:w w:val="105"/>
                <w:sz w:val="13"/>
              </w:rPr>
              <w:t>Guanajuato”.</w:t>
            </w:r>
          </w:p>
        </w:tc>
      </w:tr>
      <w:tr>
        <w:trPr>
          <w:trHeight w:val="602" w:hRule="exact"/>
        </w:trPr>
        <w:tc>
          <w:tcPr>
            <w:tcW w:w="12795" w:type="dxa"/>
          </w:tcPr>
          <w:p>
            <w:pPr>
              <w:pStyle w:val="TableParagraph"/>
              <w:spacing w:line="268" w:lineRule="auto" w:before="35"/>
              <w:ind w:right="525"/>
              <w:rPr>
                <w:sz w:val="13"/>
              </w:rPr>
            </w:pPr>
            <w:r>
              <w:rPr>
                <w:color w:val="44546A"/>
                <w:w w:val="105"/>
                <w:sz w:val="13"/>
              </w:rPr>
              <w:t>En fecha 16 de agosto de 2016, estando en mandato el Gobernador C. Miguel Marquéz Marquéz se publica en el periódico oficial del Gobierno del Estado de Guanajuato, el decreto Gubernativo número 164, mediante el cual se expide el Reglamento interior de la Comisión de Deporte del Estado de Guanajuato, en donde contiene la estructura que actualmente está en función en la administración del organismo.</w:t>
            </w:r>
          </w:p>
        </w:tc>
      </w:tr>
      <w:tr>
        <w:trPr>
          <w:trHeight w:val="560" w:hRule="exact"/>
        </w:trPr>
        <w:tc>
          <w:tcPr>
            <w:tcW w:w="12795" w:type="dxa"/>
          </w:tcPr>
          <w:p>
            <w:pPr>
              <w:pStyle w:val="TableParagraph"/>
              <w:spacing w:line="268" w:lineRule="auto" w:before="64"/>
              <w:ind w:right="525"/>
              <w:rPr>
                <w:sz w:val="13"/>
              </w:rPr>
            </w:pPr>
            <w:r>
              <w:rPr>
                <w:color w:val="44546A"/>
                <w:w w:val="105"/>
                <w:sz w:val="13"/>
              </w:rPr>
              <w:t>Finalmente mediante Decreto número 224 la Sexagésima Tercera Legislatura Contitucional del Congreso del Estado Libre y Soberano de Guanajuato del 20 de octubre de 2017 expide la Ley de  Cultura Física y Deporte donde se nombra a la Comisión de Deporte del Estado de Guanajuato (CODE) autoridad en materia del Deporte en el ambito estatal. Por otra parte, en fecha 19 de agosto de 2019, el Gobernador C. Diego Sinhue Vallejo expide mediante decreto Gubernativo número 32 el Reglamento de la Ley de Cultura Física y</w:t>
            </w:r>
            <w:r>
              <w:rPr>
                <w:color w:val="44546A"/>
                <w:spacing w:val="31"/>
                <w:w w:val="105"/>
                <w:sz w:val="13"/>
              </w:rPr>
              <w:t> </w:t>
            </w:r>
            <w:r>
              <w:rPr>
                <w:color w:val="44546A"/>
                <w:w w:val="105"/>
                <w:sz w:val="13"/>
              </w:rPr>
              <w:t>Deporte.</w:t>
            </w:r>
          </w:p>
        </w:tc>
      </w:tr>
    </w:tbl>
    <w:p>
      <w:pPr>
        <w:spacing w:after="0" w:line="268" w:lineRule="auto"/>
        <w:rPr>
          <w:sz w:val="13"/>
        </w:rPr>
        <w:sectPr>
          <w:type w:val="continuous"/>
          <w:pgSz w:w="16840" w:h="11910" w:orient="landscape"/>
          <w:pgMar w:top="1100" w:bottom="280" w:left="1940" w:right="1880"/>
        </w:sectPr>
      </w:pPr>
    </w:p>
    <w:tbl>
      <w:tblPr>
        <w:tblW w:w="0" w:type="auto"/>
        <w:jc w:val="left"/>
        <w:tblInd w:w="105"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2498"/>
      </w:tblGrid>
      <w:tr>
        <w:trPr>
          <w:trHeight w:val="174" w:hRule="exact"/>
        </w:trPr>
        <w:tc>
          <w:tcPr>
            <w:tcW w:w="12498" w:type="dxa"/>
          </w:tcPr>
          <w:p>
            <w:pPr>
              <w:pStyle w:val="TableParagraph"/>
              <w:spacing w:line="143" w:lineRule="exact" w:before="0"/>
              <w:ind w:left="4715" w:right="4654"/>
              <w:jc w:val="center"/>
              <w:rPr>
                <w:b/>
                <w:sz w:val="13"/>
              </w:rPr>
            </w:pPr>
            <w:r>
              <w:rPr>
                <w:b/>
                <w:w w:val="105"/>
                <w:sz w:val="13"/>
              </w:rPr>
              <w:t>Comisión de Deporte del Estado de Guanajuato</w:t>
            </w:r>
          </w:p>
        </w:tc>
      </w:tr>
      <w:tr>
        <w:trPr>
          <w:trHeight w:val="194" w:hRule="exact"/>
        </w:trPr>
        <w:tc>
          <w:tcPr>
            <w:tcW w:w="12498" w:type="dxa"/>
          </w:tcPr>
          <w:p>
            <w:pPr>
              <w:pStyle w:val="TableParagraph"/>
              <w:spacing w:before="14"/>
              <w:ind w:left="4715" w:right="4654"/>
              <w:jc w:val="center"/>
              <w:rPr>
                <w:b/>
                <w:sz w:val="13"/>
              </w:rPr>
            </w:pPr>
            <w:r>
              <w:rPr>
                <w:b/>
                <w:w w:val="105"/>
                <w:sz w:val="13"/>
              </w:rPr>
              <w:t>Notas a los Estados Financieros</w:t>
            </w:r>
          </w:p>
        </w:tc>
      </w:tr>
      <w:tr>
        <w:trPr>
          <w:trHeight w:val="194" w:hRule="exact"/>
        </w:trPr>
        <w:tc>
          <w:tcPr>
            <w:tcW w:w="12498" w:type="dxa"/>
          </w:tcPr>
          <w:p>
            <w:pPr>
              <w:pStyle w:val="TableParagraph"/>
              <w:spacing w:before="14"/>
              <w:ind w:left="4715" w:right="4652"/>
              <w:jc w:val="center"/>
              <w:rPr>
                <w:b/>
                <w:sz w:val="13"/>
              </w:rPr>
            </w:pPr>
            <w:r>
              <w:rPr>
                <w:b/>
                <w:w w:val="105"/>
                <w:sz w:val="13"/>
              </w:rPr>
              <w:t>Al 31 de Marzo de 2024</w:t>
            </w:r>
          </w:p>
        </w:tc>
      </w:tr>
      <w:tr>
        <w:trPr>
          <w:trHeight w:val="194" w:hRule="exact"/>
        </w:trPr>
        <w:tc>
          <w:tcPr>
            <w:tcW w:w="12498" w:type="dxa"/>
          </w:tcPr>
          <w:p>
            <w:pPr>
              <w:pStyle w:val="TableParagraph"/>
              <w:spacing w:before="14"/>
              <w:ind w:left="4715" w:right="4652"/>
              <w:jc w:val="center"/>
              <w:rPr>
                <w:sz w:val="13"/>
              </w:rPr>
            </w:pPr>
            <w:r>
              <w:rPr>
                <w:w w:val="105"/>
                <w:sz w:val="13"/>
              </w:rPr>
              <w:t>(Cifras en Pesos)</w:t>
            </w:r>
          </w:p>
        </w:tc>
      </w:tr>
      <w:tr>
        <w:trPr>
          <w:trHeight w:val="292" w:hRule="exact"/>
        </w:trPr>
        <w:tc>
          <w:tcPr>
            <w:tcW w:w="12498" w:type="dxa"/>
          </w:tcPr>
          <w:p>
            <w:pPr>
              <w:pStyle w:val="TableParagraph"/>
              <w:spacing w:before="14"/>
              <w:rPr>
                <w:sz w:val="13"/>
              </w:rPr>
            </w:pPr>
            <w:r>
              <w:rPr>
                <w:w w:val="105"/>
                <w:sz w:val="13"/>
              </w:rPr>
              <w:t>b) Principales cambios en su estructura</w:t>
            </w:r>
          </w:p>
        </w:tc>
      </w:tr>
      <w:tr>
        <w:trPr>
          <w:trHeight w:val="1060" w:hRule="exact"/>
        </w:trPr>
        <w:tc>
          <w:tcPr>
            <w:tcW w:w="12498" w:type="dxa"/>
          </w:tcPr>
          <w:p>
            <w:pPr>
              <w:pStyle w:val="TableParagraph"/>
              <w:spacing w:line="268" w:lineRule="auto" w:before="111"/>
              <w:ind w:right="236"/>
              <w:rPr>
                <w:sz w:val="13"/>
              </w:rPr>
            </w:pPr>
            <w:r>
              <w:rPr>
                <w:color w:val="44546A"/>
                <w:w w:val="105"/>
                <w:sz w:val="13"/>
              </w:rPr>
              <w:t>Tal y como se describe en el punto anterior el Instituto Guanajuatense de la Juventud y el Deporte nació estructuralmente con las áreas de Desarrollo del Deporte y Atención a la Juventud. Estructura que permaneció mientras existió el CONGUAJUDE.  Fue hasta el año 2001 al entrar en vigor el decreto gubernativo 169, publicado en el periódico oficial núm. 61 de fecha 1 de agosto de 2000,   cuando se adicionó a las dos áreas existentes la Dirección de infraestructura Deportiva. El cambio más drástico fue en el año 2002, justo cuando entro en vigor el reglamento interior publicado en el 2001, cuya estructura que se estableció en dicho documento permaneció a lo largo de 15 años. Actualmente la estructura que prevalece es la que se deriva del Reglamento interior publicado el 16 de agosto de 2016 y es la</w:t>
            </w:r>
            <w:r>
              <w:rPr>
                <w:color w:val="44546A"/>
                <w:spacing w:val="7"/>
                <w:w w:val="105"/>
                <w:sz w:val="13"/>
              </w:rPr>
              <w:t> </w:t>
            </w:r>
            <w:r>
              <w:rPr>
                <w:color w:val="44546A"/>
                <w:w w:val="105"/>
                <w:sz w:val="13"/>
              </w:rPr>
              <w:t>siguiente:</w:t>
            </w:r>
          </w:p>
        </w:tc>
      </w:tr>
      <w:tr>
        <w:trPr>
          <w:trHeight w:val="290" w:hRule="exact"/>
        </w:trPr>
        <w:tc>
          <w:tcPr>
            <w:tcW w:w="12498" w:type="dxa"/>
          </w:tcPr>
          <w:p>
            <w:pPr>
              <w:pStyle w:val="TableParagraph"/>
              <w:spacing w:before="110"/>
              <w:rPr>
                <w:sz w:val="13"/>
              </w:rPr>
            </w:pPr>
            <w:r>
              <w:rPr>
                <w:color w:val="44546A"/>
                <w:w w:val="105"/>
                <w:sz w:val="13"/>
              </w:rPr>
              <w:t>I. Despacho de la Dirección General</w:t>
            </w:r>
          </w:p>
        </w:tc>
      </w:tr>
      <w:tr>
        <w:trPr>
          <w:trHeight w:val="194" w:hRule="exact"/>
        </w:trPr>
        <w:tc>
          <w:tcPr>
            <w:tcW w:w="12498" w:type="dxa"/>
          </w:tcPr>
          <w:p>
            <w:pPr>
              <w:pStyle w:val="TableParagraph"/>
              <w:spacing w:before="14"/>
              <w:rPr>
                <w:sz w:val="13"/>
              </w:rPr>
            </w:pPr>
            <w:r>
              <w:rPr>
                <w:color w:val="44546A"/>
                <w:w w:val="105"/>
                <w:sz w:val="13"/>
              </w:rPr>
              <w:t>a)Secretaria Particular;</w:t>
            </w:r>
          </w:p>
        </w:tc>
      </w:tr>
      <w:tr>
        <w:trPr>
          <w:trHeight w:val="194" w:hRule="exact"/>
        </w:trPr>
        <w:tc>
          <w:tcPr>
            <w:tcW w:w="12498" w:type="dxa"/>
          </w:tcPr>
          <w:p>
            <w:pPr>
              <w:pStyle w:val="TableParagraph"/>
              <w:spacing w:before="14"/>
              <w:rPr>
                <w:sz w:val="13"/>
              </w:rPr>
            </w:pPr>
            <w:r>
              <w:rPr>
                <w:color w:val="44546A"/>
                <w:w w:val="105"/>
                <w:sz w:val="13"/>
              </w:rPr>
              <w:t>b)Dirección de Finanzas y Administración;</w:t>
            </w:r>
          </w:p>
        </w:tc>
      </w:tr>
      <w:tr>
        <w:trPr>
          <w:trHeight w:val="194" w:hRule="exact"/>
        </w:trPr>
        <w:tc>
          <w:tcPr>
            <w:tcW w:w="12498" w:type="dxa"/>
          </w:tcPr>
          <w:p>
            <w:pPr>
              <w:pStyle w:val="TableParagraph"/>
              <w:spacing w:before="14"/>
              <w:rPr>
                <w:sz w:val="13"/>
              </w:rPr>
            </w:pPr>
            <w:r>
              <w:rPr>
                <w:color w:val="44546A"/>
                <w:w w:val="105"/>
                <w:sz w:val="13"/>
              </w:rPr>
              <w:t>c)Dirección de Planeación y Desarrollo; y</w:t>
            </w:r>
          </w:p>
        </w:tc>
      </w:tr>
      <w:tr>
        <w:trPr>
          <w:trHeight w:val="194" w:hRule="exact"/>
        </w:trPr>
        <w:tc>
          <w:tcPr>
            <w:tcW w:w="12498" w:type="dxa"/>
          </w:tcPr>
          <w:p>
            <w:pPr>
              <w:pStyle w:val="TableParagraph"/>
              <w:spacing w:before="14"/>
              <w:rPr>
                <w:sz w:val="13"/>
              </w:rPr>
            </w:pPr>
            <w:r>
              <w:rPr>
                <w:color w:val="44546A"/>
                <w:w w:val="105"/>
                <w:sz w:val="13"/>
              </w:rPr>
              <w:t>d)Dirección de Asuntos Jurídicos.</w:t>
            </w:r>
          </w:p>
        </w:tc>
      </w:tr>
      <w:tr>
        <w:trPr>
          <w:trHeight w:val="194" w:hRule="exact"/>
        </w:trPr>
        <w:tc>
          <w:tcPr>
            <w:tcW w:w="12498" w:type="dxa"/>
          </w:tcPr>
          <w:p>
            <w:pPr>
              <w:pStyle w:val="TableParagraph"/>
              <w:spacing w:before="14"/>
              <w:rPr>
                <w:sz w:val="13"/>
              </w:rPr>
            </w:pPr>
            <w:r>
              <w:rPr>
                <w:color w:val="44546A"/>
                <w:w w:val="105"/>
                <w:sz w:val="13"/>
              </w:rPr>
              <w:t>II. Dirección del área de Deporte</w:t>
            </w:r>
          </w:p>
        </w:tc>
      </w:tr>
      <w:tr>
        <w:trPr>
          <w:trHeight w:val="194" w:hRule="exact"/>
        </w:trPr>
        <w:tc>
          <w:tcPr>
            <w:tcW w:w="12498" w:type="dxa"/>
          </w:tcPr>
          <w:p>
            <w:pPr>
              <w:pStyle w:val="TableParagraph"/>
              <w:spacing w:before="14"/>
              <w:rPr>
                <w:sz w:val="13"/>
              </w:rPr>
            </w:pPr>
            <w:r>
              <w:rPr>
                <w:color w:val="44546A"/>
                <w:w w:val="105"/>
                <w:sz w:val="13"/>
              </w:rPr>
              <w:t>III. Dirección del área de Cultura Física</w:t>
            </w:r>
          </w:p>
        </w:tc>
      </w:tr>
      <w:tr>
        <w:trPr>
          <w:trHeight w:val="194" w:hRule="exact"/>
        </w:trPr>
        <w:tc>
          <w:tcPr>
            <w:tcW w:w="12498" w:type="dxa"/>
          </w:tcPr>
          <w:p>
            <w:pPr>
              <w:pStyle w:val="TableParagraph"/>
              <w:spacing w:before="14"/>
              <w:rPr>
                <w:sz w:val="13"/>
              </w:rPr>
            </w:pPr>
            <w:r>
              <w:rPr>
                <w:color w:val="44546A"/>
                <w:w w:val="105"/>
                <w:sz w:val="13"/>
              </w:rPr>
              <w:t>IV. Dirección del área de Investigación y medicina del deporte</w:t>
            </w:r>
          </w:p>
        </w:tc>
      </w:tr>
      <w:tr>
        <w:trPr>
          <w:trHeight w:val="194" w:hRule="exact"/>
        </w:trPr>
        <w:tc>
          <w:tcPr>
            <w:tcW w:w="12498" w:type="dxa"/>
          </w:tcPr>
          <w:p>
            <w:pPr>
              <w:pStyle w:val="TableParagraph"/>
              <w:spacing w:before="14"/>
              <w:rPr>
                <w:sz w:val="13"/>
              </w:rPr>
            </w:pPr>
            <w:r>
              <w:rPr>
                <w:color w:val="44546A"/>
                <w:w w:val="105"/>
                <w:sz w:val="13"/>
              </w:rPr>
              <w:t>V. Dirección del área de Infraestructura Deportiva.</w:t>
            </w:r>
          </w:p>
        </w:tc>
      </w:tr>
      <w:tr>
        <w:trPr>
          <w:trHeight w:val="194" w:hRule="exact"/>
        </w:trPr>
        <w:tc>
          <w:tcPr>
            <w:tcW w:w="12498" w:type="dxa"/>
          </w:tcPr>
          <w:p>
            <w:pPr>
              <w:pStyle w:val="TableParagraph"/>
              <w:spacing w:before="14"/>
              <w:rPr>
                <w:sz w:val="13"/>
              </w:rPr>
            </w:pPr>
            <w:r>
              <w:rPr>
                <w:color w:val="44546A"/>
                <w:w w:val="105"/>
                <w:sz w:val="13"/>
              </w:rPr>
              <w:t>VI. Dirección de operación y aprovechamientos de espacios deportivos</w:t>
            </w:r>
          </w:p>
        </w:tc>
      </w:tr>
      <w:tr>
        <w:trPr>
          <w:trHeight w:val="194" w:hRule="exact"/>
        </w:trPr>
        <w:tc>
          <w:tcPr>
            <w:tcW w:w="12498" w:type="dxa"/>
          </w:tcPr>
          <w:p>
            <w:pPr>
              <w:pStyle w:val="TableParagraph"/>
              <w:spacing w:before="14"/>
              <w:rPr>
                <w:sz w:val="13"/>
              </w:rPr>
            </w:pPr>
            <w:r>
              <w:rPr>
                <w:color w:val="44546A"/>
                <w:w w:val="105"/>
                <w:sz w:val="13"/>
              </w:rPr>
              <w:t>VII. Dirección del centro de formación y capacitación para el desarrollo del deporte</w:t>
            </w:r>
          </w:p>
        </w:tc>
      </w:tr>
      <w:tr>
        <w:trPr>
          <w:trHeight w:val="294" w:hRule="exact"/>
        </w:trPr>
        <w:tc>
          <w:tcPr>
            <w:tcW w:w="12498" w:type="dxa"/>
          </w:tcPr>
          <w:p>
            <w:pPr>
              <w:pStyle w:val="TableParagraph"/>
              <w:spacing w:before="14"/>
              <w:rPr>
                <w:sz w:val="13"/>
              </w:rPr>
            </w:pPr>
            <w:r>
              <w:rPr>
                <w:color w:val="44546A"/>
                <w:w w:val="105"/>
                <w:sz w:val="13"/>
              </w:rPr>
              <w:t>VIII. Contraloría Interna</w:t>
            </w:r>
          </w:p>
        </w:tc>
      </w:tr>
      <w:tr>
        <w:trPr>
          <w:trHeight w:val="292" w:hRule="exact"/>
        </w:trPr>
        <w:tc>
          <w:tcPr>
            <w:tcW w:w="12498" w:type="dxa"/>
          </w:tcPr>
          <w:p>
            <w:pPr>
              <w:pStyle w:val="TableParagraph"/>
              <w:spacing w:before="113"/>
              <w:rPr>
                <w:b/>
                <w:sz w:val="13"/>
              </w:rPr>
            </w:pPr>
            <w:r>
              <w:rPr>
                <w:w w:val="105"/>
                <w:sz w:val="13"/>
              </w:rPr>
              <w:t>4.   </w:t>
            </w:r>
            <w:r>
              <w:rPr>
                <w:b/>
                <w:w w:val="105"/>
                <w:sz w:val="13"/>
              </w:rPr>
              <w:t>Organización y Objeto Social</w:t>
            </w:r>
          </w:p>
        </w:tc>
      </w:tr>
      <w:tr>
        <w:trPr>
          <w:trHeight w:val="192" w:hRule="exact"/>
        </w:trPr>
        <w:tc>
          <w:tcPr>
            <w:tcW w:w="12498" w:type="dxa"/>
          </w:tcPr>
          <w:p>
            <w:pPr>
              <w:pStyle w:val="TableParagraph"/>
              <w:spacing w:before="11"/>
              <w:rPr>
                <w:sz w:val="13"/>
              </w:rPr>
            </w:pPr>
            <w:r>
              <w:rPr>
                <w:w w:val="105"/>
                <w:sz w:val="13"/>
              </w:rPr>
              <w:t>Se informará sobre:</w:t>
            </w:r>
          </w:p>
        </w:tc>
      </w:tr>
      <w:tr>
        <w:trPr>
          <w:trHeight w:val="204" w:hRule="exact"/>
        </w:trPr>
        <w:tc>
          <w:tcPr>
            <w:tcW w:w="12498" w:type="dxa"/>
          </w:tcPr>
          <w:p>
            <w:pPr>
              <w:pStyle w:val="TableParagraph"/>
              <w:spacing w:before="14"/>
              <w:rPr>
                <w:sz w:val="13"/>
              </w:rPr>
            </w:pPr>
            <w:r>
              <w:rPr>
                <w:w w:val="105"/>
                <w:sz w:val="13"/>
              </w:rPr>
              <w:t>a)   Objeto social</w:t>
            </w:r>
          </w:p>
        </w:tc>
      </w:tr>
      <w:tr>
        <w:trPr>
          <w:trHeight w:val="479" w:hRule="exact"/>
        </w:trPr>
        <w:tc>
          <w:tcPr>
            <w:tcW w:w="12498" w:type="dxa"/>
          </w:tcPr>
          <w:p>
            <w:pPr>
              <w:pStyle w:val="TableParagraph"/>
              <w:spacing w:line="268" w:lineRule="auto" w:before="23"/>
              <w:rPr>
                <w:sz w:val="13"/>
              </w:rPr>
            </w:pPr>
            <w:r>
              <w:rPr>
                <w:color w:val="44546A"/>
                <w:w w:val="105"/>
                <w:sz w:val="13"/>
              </w:rPr>
              <w:t>Contribuir a mejorar la calidad de vida e integración de las familias guanajuatenses, mediante la actividad física, deporte y recreación, con base en su práctica sistematizada, siendo competitivos en el ámbito nacional e internacional.</w:t>
            </w:r>
          </w:p>
        </w:tc>
      </w:tr>
      <w:tr>
        <w:trPr>
          <w:trHeight w:val="398" w:hRule="exact"/>
        </w:trPr>
        <w:tc>
          <w:tcPr>
            <w:tcW w:w="12498" w:type="dxa"/>
          </w:tcPr>
          <w:p>
            <w:pPr>
              <w:pStyle w:val="TableParagraph"/>
              <w:spacing w:before="121"/>
              <w:rPr>
                <w:sz w:val="13"/>
              </w:rPr>
            </w:pPr>
            <w:r>
              <w:rPr>
                <w:w w:val="105"/>
                <w:sz w:val="13"/>
              </w:rPr>
              <w:t>b)   Principal actividad</w:t>
            </w:r>
          </w:p>
        </w:tc>
      </w:tr>
      <w:tr>
        <w:trPr>
          <w:trHeight w:val="292" w:hRule="exact"/>
        </w:trPr>
        <w:tc>
          <w:tcPr>
            <w:tcW w:w="12498" w:type="dxa"/>
          </w:tcPr>
          <w:p>
            <w:pPr>
              <w:pStyle w:val="TableParagraph"/>
              <w:spacing w:before="111"/>
              <w:rPr>
                <w:sz w:val="13"/>
              </w:rPr>
            </w:pPr>
            <w:r>
              <w:rPr>
                <w:color w:val="44546A"/>
                <w:w w:val="105"/>
                <w:sz w:val="13"/>
              </w:rPr>
              <w:t>Implementar y promover programas que fomenten el desarrollo en materia de deporte, cultura física y  juventud.</w:t>
            </w:r>
          </w:p>
        </w:tc>
      </w:tr>
      <w:tr>
        <w:trPr>
          <w:trHeight w:val="292" w:hRule="exact"/>
        </w:trPr>
        <w:tc>
          <w:tcPr>
            <w:tcW w:w="12498" w:type="dxa"/>
          </w:tcPr>
          <w:p>
            <w:pPr>
              <w:pStyle w:val="TableParagraph"/>
              <w:spacing w:before="14"/>
              <w:rPr>
                <w:sz w:val="13"/>
              </w:rPr>
            </w:pPr>
            <w:r>
              <w:rPr>
                <w:color w:val="44546A"/>
                <w:w w:val="105"/>
                <w:sz w:val="13"/>
              </w:rPr>
              <w:t>Promover la creación, mantenimiento y conservación de instalaciones y áreas para el desarrollo del deporte y la juventud.</w:t>
            </w:r>
          </w:p>
        </w:tc>
      </w:tr>
      <w:tr>
        <w:trPr>
          <w:trHeight w:val="389" w:hRule="exact"/>
        </w:trPr>
        <w:tc>
          <w:tcPr>
            <w:tcW w:w="12498" w:type="dxa"/>
          </w:tcPr>
          <w:p>
            <w:pPr>
              <w:pStyle w:val="TableParagraph"/>
              <w:spacing w:before="111"/>
              <w:rPr>
                <w:sz w:val="13"/>
              </w:rPr>
            </w:pPr>
            <w:r>
              <w:rPr>
                <w:w w:val="105"/>
                <w:sz w:val="13"/>
              </w:rPr>
              <w:t>c)   Ejercicio fiscal</w:t>
            </w:r>
          </w:p>
        </w:tc>
      </w:tr>
      <w:tr>
        <w:trPr>
          <w:trHeight w:val="389" w:hRule="exact"/>
        </w:trPr>
        <w:tc>
          <w:tcPr>
            <w:tcW w:w="12498" w:type="dxa"/>
          </w:tcPr>
          <w:p>
            <w:pPr>
              <w:pStyle w:val="TableParagraph"/>
              <w:spacing w:before="111"/>
              <w:rPr>
                <w:sz w:val="13"/>
              </w:rPr>
            </w:pPr>
            <w:r>
              <w:rPr>
                <w:color w:val="44546A"/>
                <w:w w:val="105"/>
                <w:sz w:val="13"/>
              </w:rPr>
              <w:t>Información referente al primer trimestre 2024 (Enero-Marzo)</w:t>
            </w:r>
          </w:p>
        </w:tc>
      </w:tr>
      <w:tr>
        <w:trPr>
          <w:trHeight w:val="389" w:hRule="exact"/>
        </w:trPr>
        <w:tc>
          <w:tcPr>
            <w:tcW w:w="12498" w:type="dxa"/>
          </w:tcPr>
          <w:p>
            <w:pPr>
              <w:pStyle w:val="TableParagraph"/>
              <w:spacing w:before="111"/>
              <w:rPr>
                <w:sz w:val="13"/>
              </w:rPr>
            </w:pPr>
            <w:r>
              <w:rPr>
                <w:w w:val="105"/>
                <w:sz w:val="13"/>
              </w:rPr>
              <w:t>d)   Régimen jurídico</w:t>
            </w:r>
          </w:p>
        </w:tc>
      </w:tr>
      <w:tr>
        <w:trPr>
          <w:trHeight w:val="680" w:hRule="exact"/>
        </w:trPr>
        <w:tc>
          <w:tcPr>
            <w:tcW w:w="12498" w:type="dxa"/>
          </w:tcPr>
          <w:p>
            <w:pPr>
              <w:pStyle w:val="TableParagraph"/>
              <w:spacing w:before="111"/>
              <w:rPr>
                <w:sz w:val="13"/>
              </w:rPr>
            </w:pPr>
            <w:r>
              <w:rPr>
                <w:color w:val="44546A"/>
                <w:w w:val="105"/>
                <w:sz w:val="13"/>
              </w:rPr>
              <w:t>Persona Moral sin fines de Lucro</w:t>
            </w:r>
          </w:p>
        </w:tc>
      </w:tr>
      <w:tr>
        <w:trPr>
          <w:trHeight w:val="583" w:hRule="exact"/>
        </w:trPr>
        <w:tc>
          <w:tcPr>
            <w:tcW w:w="12498" w:type="dxa"/>
          </w:tcPr>
          <w:p>
            <w:pPr>
              <w:pStyle w:val="TableParagraph"/>
              <w:spacing w:before="0"/>
              <w:ind w:left="0"/>
              <w:rPr>
                <w:rFonts w:ascii="Times New Roman"/>
                <w:sz w:val="14"/>
              </w:rPr>
            </w:pPr>
          </w:p>
          <w:p>
            <w:pPr>
              <w:pStyle w:val="TableParagraph"/>
              <w:spacing w:before="0"/>
              <w:ind w:left="0"/>
              <w:rPr>
                <w:rFonts w:ascii="Times New Roman"/>
                <w:sz w:val="14"/>
              </w:rPr>
            </w:pPr>
          </w:p>
          <w:p>
            <w:pPr>
              <w:pStyle w:val="TableParagraph"/>
              <w:spacing w:before="81"/>
              <w:rPr>
                <w:sz w:val="13"/>
              </w:rPr>
            </w:pPr>
            <w:r>
              <w:rPr>
                <w:w w:val="105"/>
                <w:sz w:val="13"/>
              </w:rPr>
              <w:t>e)   Consideraciones fiscales del ente: revelar el tipo de contribuciones que esté obligado a pagar o retener.</w:t>
            </w:r>
          </w:p>
        </w:tc>
      </w:tr>
      <w:tr>
        <w:trPr>
          <w:trHeight w:val="174" w:hRule="exact"/>
        </w:trPr>
        <w:tc>
          <w:tcPr>
            <w:tcW w:w="12498" w:type="dxa"/>
          </w:tcPr>
          <w:p>
            <w:pPr>
              <w:pStyle w:val="TableParagraph"/>
              <w:spacing w:before="14"/>
              <w:rPr>
                <w:sz w:val="13"/>
              </w:rPr>
            </w:pPr>
            <w:r>
              <w:rPr>
                <w:color w:val="44546A"/>
                <w:w w:val="105"/>
                <w:sz w:val="13"/>
              </w:rPr>
              <w:t>Retenedor de ISR por salarios, honorarios y Arrendamiento</w:t>
            </w:r>
          </w:p>
        </w:tc>
      </w:tr>
    </w:tbl>
    <w:p>
      <w:pPr>
        <w:spacing w:after="0"/>
        <w:rPr>
          <w:sz w:val="13"/>
        </w:rPr>
        <w:sectPr>
          <w:pgSz w:w="16840" w:h="11910" w:orient="landscape"/>
          <w:pgMar w:top="1100" w:bottom="280" w:left="1940" w:right="2180"/>
        </w:sectPr>
      </w:pPr>
    </w:p>
    <w:tbl>
      <w:tblPr>
        <w:tblW w:w="0" w:type="auto"/>
        <w:jc w:val="left"/>
        <w:tblInd w:w="105"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2593"/>
      </w:tblGrid>
      <w:tr>
        <w:trPr>
          <w:trHeight w:val="174" w:hRule="exact"/>
        </w:trPr>
        <w:tc>
          <w:tcPr>
            <w:tcW w:w="12593" w:type="dxa"/>
          </w:tcPr>
          <w:p>
            <w:pPr>
              <w:pStyle w:val="TableParagraph"/>
              <w:spacing w:line="143" w:lineRule="exact" w:before="0"/>
              <w:ind w:left="4715" w:right="4747"/>
              <w:jc w:val="center"/>
              <w:rPr>
                <w:b/>
                <w:sz w:val="13"/>
              </w:rPr>
            </w:pPr>
            <w:r>
              <w:rPr>
                <w:b/>
                <w:w w:val="105"/>
                <w:sz w:val="13"/>
              </w:rPr>
              <w:t>Comisión de Deporte del Estado de</w:t>
            </w:r>
            <w:r>
              <w:rPr>
                <w:b/>
                <w:spacing w:val="2"/>
                <w:w w:val="105"/>
                <w:sz w:val="13"/>
              </w:rPr>
              <w:t> </w:t>
            </w:r>
            <w:r>
              <w:rPr>
                <w:b/>
                <w:w w:val="105"/>
                <w:sz w:val="13"/>
              </w:rPr>
              <w:t>Guanajuato</w:t>
            </w:r>
          </w:p>
        </w:tc>
      </w:tr>
      <w:tr>
        <w:trPr>
          <w:trHeight w:val="194" w:hRule="exact"/>
        </w:trPr>
        <w:tc>
          <w:tcPr>
            <w:tcW w:w="12593" w:type="dxa"/>
          </w:tcPr>
          <w:p>
            <w:pPr>
              <w:pStyle w:val="TableParagraph"/>
              <w:spacing w:before="14"/>
              <w:ind w:left="4715" w:right="4747"/>
              <w:jc w:val="center"/>
              <w:rPr>
                <w:b/>
                <w:sz w:val="13"/>
              </w:rPr>
            </w:pPr>
            <w:r>
              <w:rPr>
                <w:b/>
                <w:w w:val="105"/>
                <w:sz w:val="13"/>
              </w:rPr>
              <w:t>Notas a los Estados</w:t>
            </w:r>
            <w:r>
              <w:rPr>
                <w:b/>
                <w:spacing w:val="5"/>
                <w:w w:val="105"/>
                <w:sz w:val="13"/>
              </w:rPr>
              <w:t> </w:t>
            </w:r>
            <w:r>
              <w:rPr>
                <w:b/>
                <w:w w:val="105"/>
                <w:sz w:val="13"/>
              </w:rPr>
              <w:t>Financieros</w:t>
            </w:r>
          </w:p>
        </w:tc>
      </w:tr>
      <w:tr>
        <w:trPr>
          <w:trHeight w:val="194" w:hRule="exact"/>
        </w:trPr>
        <w:tc>
          <w:tcPr>
            <w:tcW w:w="12593" w:type="dxa"/>
          </w:tcPr>
          <w:p>
            <w:pPr>
              <w:pStyle w:val="TableParagraph"/>
              <w:spacing w:before="14"/>
              <w:ind w:left="4715" w:right="4745"/>
              <w:jc w:val="center"/>
              <w:rPr>
                <w:b/>
                <w:sz w:val="13"/>
              </w:rPr>
            </w:pPr>
            <w:r>
              <w:rPr>
                <w:b/>
                <w:spacing w:val="-3"/>
                <w:w w:val="105"/>
                <w:sz w:val="13"/>
              </w:rPr>
              <w:t>Al </w:t>
            </w:r>
            <w:r>
              <w:rPr>
                <w:b/>
                <w:w w:val="105"/>
                <w:sz w:val="13"/>
              </w:rPr>
              <w:t>31 de Marzo de</w:t>
            </w:r>
            <w:r>
              <w:rPr>
                <w:b/>
                <w:spacing w:val="12"/>
                <w:w w:val="105"/>
                <w:sz w:val="13"/>
              </w:rPr>
              <w:t> </w:t>
            </w:r>
            <w:r>
              <w:rPr>
                <w:b/>
                <w:w w:val="105"/>
                <w:sz w:val="13"/>
              </w:rPr>
              <w:t>2024</w:t>
            </w:r>
          </w:p>
        </w:tc>
      </w:tr>
      <w:tr>
        <w:trPr>
          <w:trHeight w:val="194" w:hRule="exact"/>
        </w:trPr>
        <w:tc>
          <w:tcPr>
            <w:tcW w:w="12593" w:type="dxa"/>
          </w:tcPr>
          <w:p>
            <w:pPr>
              <w:pStyle w:val="TableParagraph"/>
              <w:spacing w:before="14"/>
              <w:ind w:left="4715" w:right="4745"/>
              <w:jc w:val="center"/>
              <w:rPr>
                <w:sz w:val="13"/>
              </w:rPr>
            </w:pPr>
            <w:r>
              <w:rPr>
                <w:w w:val="105"/>
                <w:sz w:val="13"/>
              </w:rPr>
              <w:t>(Cifras en</w:t>
            </w:r>
            <w:r>
              <w:rPr>
                <w:spacing w:val="4"/>
                <w:w w:val="105"/>
                <w:sz w:val="13"/>
              </w:rPr>
              <w:t> </w:t>
            </w:r>
            <w:r>
              <w:rPr>
                <w:w w:val="105"/>
                <w:sz w:val="13"/>
              </w:rPr>
              <w:t>Pesos)</w:t>
            </w:r>
          </w:p>
        </w:tc>
      </w:tr>
      <w:tr>
        <w:trPr>
          <w:trHeight w:val="2333" w:hRule="exact"/>
        </w:trPr>
        <w:tc>
          <w:tcPr>
            <w:tcW w:w="12593" w:type="dxa"/>
          </w:tcPr>
          <w:p>
            <w:pPr>
              <w:pStyle w:val="TableParagraph"/>
              <w:spacing w:before="14"/>
              <w:rPr>
                <w:rFonts w:ascii="Times New Roman" w:hAnsi="Times New Roman"/>
                <w:sz w:val="13"/>
              </w:rPr>
            </w:pPr>
            <w:r>
              <w:rPr>
                <w:w w:val="105"/>
                <w:sz w:val="13"/>
              </w:rPr>
              <w:t>f)   </w:t>
            </w:r>
            <w:r>
              <w:rPr>
                <w:rFonts w:ascii="Times New Roman" w:hAnsi="Times New Roman"/>
                <w:w w:val="105"/>
                <w:sz w:val="13"/>
              </w:rPr>
              <w:t>Estructura organizacional básica</w:t>
            </w:r>
          </w:p>
        </w:tc>
      </w:tr>
      <w:tr>
        <w:trPr>
          <w:trHeight w:val="2430" w:hRule="exact"/>
        </w:trPr>
        <w:tc>
          <w:tcPr>
            <w:tcW w:w="12593" w:type="dxa"/>
          </w:tcPr>
          <w:p>
            <w:pPr>
              <w:pStyle w:val="TableParagraph"/>
              <w:spacing w:before="0"/>
              <w:ind w:left="0"/>
              <w:rPr>
                <w:rFonts w:ascii="Times New Roman"/>
                <w:sz w:val="14"/>
              </w:rPr>
            </w:pPr>
          </w:p>
          <w:p>
            <w:pPr>
              <w:pStyle w:val="TableParagraph"/>
              <w:spacing w:before="0"/>
              <w:ind w:left="0"/>
              <w:rPr>
                <w:rFonts w:ascii="Times New Roman"/>
                <w:sz w:val="14"/>
              </w:rPr>
            </w:pPr>
          </w:p>
          <w:p>
            <w:pPr>
              <w:pStyle w:val="TableParagraph"/>
              <w:spacing w:before="0"/>
              <w:ind w:left="0"/>
              <w:rPr>
                <w:rFonts w:ascii="Times New Roman"/>
                <w:sz w:val="14"/>
              </w:rPr>
            </w:pPr>
          </w:p>
          <w:p>
            <w:pPr>
              <w:pStyle w:val="TableParagraph"/>
              <w:spacing w:before="0"/>
              <w:ind w:left="0"/>
              <w:rPr>
                <w:rFonts w:ascii="Times New Roman"/>
                <w:sz w:val="14"/>
              </w:rPr>
            </w:pPr>
          </w:p>
          <w:p>
            <w:pPr>
              <w:pStyle w:val="TableParagraph"/>
              <w:spacing w:before="0"/>
              <w:ind w:left="0"/>
              <w:rPr>
                <w:rFonts w:ascii="Times New Roman"/>
                <w:sz w:val="14"/>
              </w:rPr>
            </w:pPr>
          </w:p>
          <w:p>
            <w:pPr>
              <w:pStyle w:val="TableParagraph"/>
              <w:spacing w:before="0"/>
              <w:ind w:left="0"/>
              <w:rPr>
                <w:rFonts w:ascii="Times New Roman"/>
                <w:sz w:val="14"/>
              </w:rPr>
            </w:pPr>
          </w:p>
          <w:p>
            <w:pPr>
              <w:pStyle w:val="TableParagraph"/>
              <w:spacing w:before="0"/>
              <w:ind w:left="0"/>
              <w:rPr>
                <w:rFonts w:ascii="Times New Roman"/>
                <w:sz w:val="14"/>
              </w:rPr>
            </w:pPr>
          </w:p>
          <w:p>
            <w:pPr>
              <w:pStyle w:val="TableParagraph"/>
              <w:spacing w:before="0"/>
              <w:ind w:left="0"/>
              <w:rPr>
                <w:rFonts w:ascii="Times New Roman"/>
                <w:sz w:val="14"/>
              </w:rPr>
            </w:pPr>
          </w:p>
          <w:p>
            <w:pPr>
              <w:pStyle w:val="TableParagraph"/>
              <w:spacing w:before="0"/>
              <w:ind w:left="0"/>
              <w:rPr>
                <w:rFonts w:ascii="Times New Roman"/>
                <w:sz w:val="14"/>
              </w:rPr>
            </w:pPr>
          </w:p>
          <w:p>
            <w:pPr>
              <w:pStyle w:val="TableParagraph"/>
              <w:spacing w:before="0"/>
              <w:ind w:left="0"/>
              <w:rPr>
                <w:rFonts w:ascii="Times New Roman"/>
                <w:sz w:val="14"/>
              </w:rPr>
            </w:pPr>
          </w:p>
          <w:p>
            <w:pPr>
              <w:pStyle w:val="TableParagraph"/>
              <w:spacing w:before="0"/>
              <w:ind w:left="0"/>
              <w:rPr>
                <w:rFonts w:ascii="Times New Roman"/>
                <w:sz w:val="14"/>
              </w:rPr>
            </w:pPr>
          </w:p>
          <w:p>
            <w:pPr>
              <w:pStyle w:val="TableParagraph"/>
              <w:spacing w:before="0"/>
              <w:ind w:left="0"/>
              <w:rPr>
                <w:rFonts w:ascii="Times New Roman"/>
                <w:sz w:val="14"/>
              </w:rPr>
            </w:pPr>
          </w:p>
          <w:p>
            <w:pPr>
              <w:pStyle w:val="TableParagraph"/>
              <w:spacing w:before="1"/>
              <w:ind w:left="0"/>
              <w:rPr>
                <w:rFonts w:ascii="Times New Roman"/>
                <w:sz w:val="19"/>
              </w:rPr>
            </w:pPr>
          </w:p>
          <w:p>
            <w:pPr>
              <w:pStyle w:val="TableParagraph"/>
              <w:spacing w:before="1"/>
              <w:rPr>
                <w:sz w:val="13"/>
              </w:rPr>
            </w:pPr>
            <w:r>
              <w:rPr>
                <w:w w:val="105"/>
                <w:sz w:val="13"/>
              </w:rPr>
              <w:t>g)   Fideicomisos, mandatos y análogos de los cuales es fideicomitente o fiduciario</w:t>
            </w:r>
          </w:p>
        </w:tc>
      </w:tr>
      <w:tr>
        <w:trPr>
          <w:trHeight w:val="391" w:hRule="exact"/>
        </w:trPr>
        <w:tc>
          <w:tcPr>
            <w:tcW w:w="12593" w:type="dxa"/>
          </w:tcPr>
          <w:p>
            <w:pPr>
              <w:pStyle w:val="TableParagraph"/>
              <w:spacing w:before="111"/>
              <w:rPr>
                <w:sz w:val="13"/>
              </w:rPr>
            </w:pPr>
            <w:r>
              <w:rPr>
                <w:color w:val="44546A"/>
                <w:w w:val="105"/>
                <w:sz w:val="13"/>
              </w:rPr>
              <w:t>No aplica</w:t>
            </w:r>
          </w:p>
        </w:tc>
      </w:tr>
      <w:tr>
        <w:trPr>
          <w:trHeight w:val="292" w:hRule="exact"/>
        </w:trPr>
        <w:tc>
          <w:tcPr>
            <w:tcW w:w="12593" w:type="dxa"/>
          </w:tcPr>
          <w:p>
            <w:pPr>
              <w:pStyle w:val="TableParagraph"/>
              <w:spacing w:before="113"/>
              <w:rPr>
                <w:b/>
                <w:sz w:val="13"/>
              </w:rPr>
            </w:pPr>
            <w:r>
              <w:rPr>
                <w:w w:val="105"/>
                <w:sz w:val="13"/>
              </w:rPr>
              <w:t>5.   </w:t>
            </w:r>
            <w:r>
              <w:rPr>
                <w:b/>
                <w:w w:val="105"/>
                <w:sz w:val="13"/>
              </w:rPr>
              <w:t>Bases de Preparación de los Estados Financieros</w:t>
            </w:r>
          </w:p>
        </w:tc>
      </w:tr>
      <w:tr>
        <w:trPr>
          <w:trHeight w:val="192" w:hRule="exact"/>
        </w:trPr>
        <w:tc>
          <w:tcPr>
            <w:tcW w:w="12593" w:type="dxa"/>
          </w:tcPr>
          <w:p>
            <w:pPr>
              <w:pStyle w:val="TableParagraph"/>
              <w:spacing w:before="11"/>
              <w:rPr>
                <w:sz w:val="13"/>
              </w:rPr>
            </w:pPr>
            <w:r>
              <w:rPr>
                <w:w w:val="105"/>
                <w:sz w:val="13"/>
              </w:rPr>
              <w:t>Se informará sobre:</w:t>
            </w:r>
          </w:p>
        </w:tc>
      </w:tr>
      <w:tr>
        <w:trPr>
          <w:trHeight w:val="292" w:hRule="exact"/>
        </w:trPr>
        <w:tc>
          <w:tcPr>
            <w:tcW w:w="12593" w:type="dxa"/>
          </w:tcPr>
          <w:p>
            <w:pPr>
              <w:pStyle w:val="TableParagraph"/>
              <w:spacing w:before="14"/>
              <w:rPr>
                <w:sz w:val="13"/>
              </w:rPr>
            </w:pPr>
            <w:r>
              <w:rPr>
                <w:w w:val="105"/>
                <w:sz w:val="13"/>
              </w:rPr>
              <w:t>a)   Si se ha observado la normatividad emitida por el CONAC y las disposiciones legales aplicables.</w:t>
            </w:r>
          </w:p>
        </w:tc>
      </w:tr>
      <w:tr>
        <w:trPr>
          <w:trHeight w:val="389" w:hRule="exact"/>
        </w:trPr>
        <w:tc>
          <w:tcPr>
            <w:tcW w:w="12593" w:type="dxa"/>
          </w:tcPr>
          <w:p>
            <w:pPr>
              <w:pStyle w:val="TableParagraph"/>
              <w:spacing w:before="111"/>
              <w:rPr>
                <w:sz w:val="13"/>
              </w:rPr>
            </w:pPr>
            <w:r>
              <w:rPr>
                <w:color w:val="44546A"/>
                <w:w w:val="105"/>
                <w:sz w:val="13"/>
              </w:rPr>
              <w:t>Las Bases de Preparación de los Estados Financieros observan la normatividad emitida por el CONAC y las disposiciones legales  aplicables.</w:t>
            </w:r>
          </w:p>
        </w:tc>
      </w:tr>
      <w:tr>
        <w:trPr>
          <w:trHeight w:val="408" w:hRule="exact"/>
        </w:trPr>
        <w:tc>
          <w:tcPr>
            <w:tcW w:w="12593" w:type="dxa"/>
          </w:tcPr>
          <w:p>
            <w:pPr>
              <w:pStyle w:val="TableParagraph"/>
              <w:spacing w:before="111"/>
              <w:rPr>
                <w:sz w:val="13"/>
              </w:rPr>
            </w:pPr>
            <w:r>
              <w:rPr>
                <w:w w:val="105"/>
                <w:sz w:val="13"/>
              </w:rPr>
              <w:t>b)   La normatividad aplicada para el reconocimiento, valuación y revelación de los diferentes rubros de la información financiera, así como las bases de medición utilizadas para la elaboración de los  es</w:t>
            </w:r>
          </w:p>
        </w:tc>
      </w:tr>
      <w:tr>
        <w:trPr>
          <w:trHeight w:val="762" w:hRule="exact"/>
        </w:trPr>
        <w:tc>
          <w:tcPr>
            <w:tcW w:w="12593" w:type="dxa"/>
          </w:tcPr>
          <w:p>
            <w:pPr>
              <w:pStyle w:val="TableParagraph"/>
              <w:spacing w:before="3"/>
              <w:ind w:left="0"/>
              <w:rPr>
                <w:rFonts w:ascii="Times New Roman"/>
                <w:sz w:val="11"/>
              </w:rPr>
            </w:pPr>
          </w:p>
          <w:p>
            <w:pPr>
              <w:pStyle w:val="TableParagraph"/>
              <w:spacing w:line="268" w:lineRule="auto" w:before="1"/>
              <w:ind w:right="266"/>
              <w:rPr>
                <w:sz w:val="13"/>
              </w:rPr>
            </w:pPr>
            <w:r>
              <w:rPr>
                <w:color w:val="44546A"/>
                <w:w w:val="105"/>
                <w:sz w:val="13"/>
              </w:rPr>
              <w:t>Las Bases de Preparación de los Estados Financieros observan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tc>
      </w:tr>
      <w:tr>
        <w:trPr>
          <w:trHeight w:val="310" w:hRule="exact"/>
        </w:trPr>
        <w:tc>
          <w:tcPr>
            <w:tcW w:w="12593" w:type="dxa"/>
          </w:tcPr>
          <w:p>
            <w:pPr>
              <w:pStyle w:val="TableParagraph"/>
              <w:spacing w:before="2"/>
              <w:ind w:left="0"/>
              <w:rPr>
                <w:rFonts w:ascii="Times New Roman"/>
                <w:sz w:val="11"/>
              </w:rPr>
            </w:pPr>
          </w:p>
          <w:p>
            <w:pPr>
              <w:pStyle w:val="TableParagraph"/>
              <w:spacing w:before="0"/>
              <w:rPr>
                <w:sz w:val="13"/>
              </w:rPr>
            </w:pPr>
            <w:r>
              <w:rPr>
                <w:w w:val="105"/>
                <w:sz w:val="13"/>
              </w:rPr>
              <w:t>c)   Postulados básicos.</w:t>
            </w:r>
          </w:p>
        </w:tc>
      </w:tr>
      <w:tr>
        <w:trPr>
          <w:trHeight w:val="292" w:hRule="exact"/>
        </w:trPr>
        <w:tc>
          <w:tcPr>
            <w:tcW w:w="12593" w:type="dxa"/>
          </w:tcPr>
          <w:p>
            <w:pPr>
              <w:pStyle w:val="TableParagraph"/>
              <w:spacing w:before="14"/>
              <w:rPr>
                <w:sz w:val="13"/>
              </w:rPr>
            </w:pPr>
            <w:r>
              <w:rPr>
                <w:color w:val="44546A"/>
                <w:w w:val="105"/>
                <w:sz w:val="13"/>
              </w:rPr>
              <w:t>Las Bases de Preparación de los Estados Financieros aplican los Postulados Básicos de Registro Contable, incluyendo el devengo contable del  ingreso.</w:t>
            </w:r>
          </w:p>
        </w:tc>
      </w:tr>
      <w:tr>
        <w:trPr>
          <w:trHeight w:val="389" w:hRule="exact"/>
        </w:trPr>
        <w:tc>
          <w:tcPr>
            <w:tcW w:w="12593" w:type="dxa"/>
          </w:tcPr>
          <w:p>
            <w:pPr>
              <w:pStyle w:val="TableParagraph"/>
              <w:spacing w:before="111"/>
              <w:rPr>
                <w:sz w:val="13"/>
              </w:rPr>
            </w:pPr>
            <w:r>
              <w:rPr>
                <w:w w:val="105"/>
                <w:sz w:val="13"/>
              </w:rPr>
              <w:t>d)   Normatividad supletoria. En caso de emplear varios grupos de normatividades (normatividades supletorias), deberá realizar la justificación razonable correspondiente.</w:t>
            </w:r>
          </w:p>
        </w:tc>
      </w:tr>
      <w:tr>
        <w:trPr>
          <w:trHeight w:val="271" w:hRule="exact"/>
        </w:trPr>
        <w:tc>
          <w:tcPr>
            <w:tcW w:w="12593" w:type="dxa"/>
          </w:tcPr>
          <w:p>
            <w:pPr>
              <w:pStyle w:val="TableParagraph"/>
              <w:spacing w:before="111"/>
              <w:rPr>
                <w:sz w:val="13"/>
              </w:rPr>
            </w:pPr>
            <w:r>
              <w:rPr>
                <w:color w:val="44546A"/>
                <w:w w:val="105"/>
                <w:sz w:val="13"/>
              </w:rPr>
              <w:t>Esta nota no le aplica al ente público</w:t>
            </w:r>
          </w:p>
        </w:tc>
      </w:tr>
    </w:tbl>
    <w:p>
      <w:pPr>
        <w:rPr>
          <w:sz w:val="2"/>
          <w:szCs w:val="2"/>
        </w:rPr>
      </w:pPr>
      <w:r>
        <w:rPr/>
        <w:drawing>
          <wp:anchor distT="0" distB="0" distL="0" distR="0" allowOverlap="1" layoutInCell="1" locked="0" behindDoc="1" simplePos="0" relativeHeight="268404071">
            <wp:simplePos x="0" y="0"/>
            <wp:positionH relativeFrom="page">
              <wp:posOffset>1361172</wp:posOffset>
            </wp:positionH>
            <wp:positionV relativeFrom="page">
              <wp:posOffset>1547101</wp:posOffset>
            </wp:positionV>
            <wp:extent cx="5825678" cy="2121407"/>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5825678" cy="2121407"/>
                    </a:xfrm>
                    <a:prstGeom prst="rect">
                      <a:avLst/>
                    </a:prstGeom>
                  </pic:spPr>
                </pic:pic>
              </a:graphicData>
            </a:graphic>
          </wp:anchor>
        </w:drawing>
      </w:r>
    </w:p>
    <w:p>
      <w:pPr>
        <w:spacing w:after="0"/>
        <w:rPr>
          <w:sz w:val="2"/>
          <w:szCs w:val="2"/>
        </w:rPr>
        <w:sectPr>
          <w:pgSz w:w="16840" w:h="11910" w:orient="landscape"/>
          <w:pgMar w:top="1100" w:bottom="280" w:left="1940" w:right="2100"/>
        </w:sectPr>
      </w:pPr>
    </w:p>
    <w:tbl>
      <w:tblPr>
        <w:tblW w:w="0" w:type="auto"/>
        <w:jc w:val="left"/>
        <w:tblInd w:w="105"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17"/>
        <w:gridCol w:w="12010"/>
      </w:tblGrid>
      <w:tr>
        <w:trPr>
          <w:trHeight w:val="174" w:hRule="exact"/>
        </w:trPr>
        <w:tc>
          <w:tcPr>
            <w:tcW w:w="317" w:type="dxa"/>
          </w:tcPr>
          <w:p>
            <w:pPr/>
          </w:p>
        </w:tc>
        <w:tc>
          <w:tcPr>
            <w:tcW w:w="12010" w:type="dxa"/>
          </w:tcPr>
          <w:p>
            <w:pPr>
              <w:pStyle w:val="TableParagraph"/>
              <w:spacing w:line="143" w:lineRule="exact" w:before="0"/>
              <w:ind w:left="4400" w:right="4482"/>
              <w:jc w:val="center"/>
              <w:rPr>
                <w:b/>
                <w:sz w:val="13"/>
              </w:rPr>
            </w:pPr>
            <w:r>
              <w:rPr>
                <w:b/>
                <w:w w:val="105"/>
                <w:sz w:val="13"/>
              </w:rPr>
              <w:t>Comisión de Deporte del Estado de Guanajuato</w:t>
            </w:r>
          </w:p>
        </w:tc>
      </w:tr>
      <w:tr>
        <w:trPr>
          <w:trHeight w:val="194" w:hRule="exact"/>
        </w:trPr>
        <w:tc>
          <w:tcPr>
            <w:tcW w:w="317" w:type="dxa"/>
          </w:tcPr>
          <w:p>
            <w:pPr/>
          </w:p>
        </w:tc>
        <w:tc>
          <w:tcPr>
            <w:tcW w:w="12010" w:type="dxa"/>
          </w:tcPr>
          <w:p>
            <w:pPr>
              <w:pStyle w:val="TableParagraph"/>
              <w:spacing w:before="14"/>
              <w:ind w:left="4400" w:right="4482"/>
              <w:jc w:val="center"/>
              <w:rPr>
                <w:b/>
                <w:sz w:val="13"/>
              </w:rPr>
            </w:pPr>
            <w:r>
              <w:rPr>
                <w:b/>
                <w:w w:val="105"/>
                <w:sz w:val="13"/>
              </w:rPr>
              <w:t>Notas a los Estados Financieros</w:t>
            </w:r>
          </w:p>
        </w:tc>
      </w:tr>
      <w:tr>
        <w:trPr>
          <w:trHeight w:val="194" w:hRule="exact"/>
        </w:trPr>
        <w:tc>
          <w:tcPr>
            <w:tcW w:w="317" w:type="dxa"/>
          </w:tcPr>
          <w:p>
            <w:pPr/>
          </w:p>
        </w:tc>
        <w:tc>
          <w:tcPr>
            <w:tcW w:w="12010" w:type="dxa"/>
          </w:tcPr>
          <w:p>
            <w:pPr>
              <w:pStyle w:val="TableParagraph"/>
              <w:spacing w:before="14"/>
              <w:ind w:left="4400" w:right="4481"/>
              <w:jc w:val="center"/>
              <w:rPr>
                <w:b/>
                <w:sz w:val="13"/>
              </w:rPr>
            </w:pPr>
            <w:r>
              <w:rPr>
                <w:b/>
                <w:spacing w:val="-3"/>
                <w:w w:val="105"/>
                <w:sz w:val="13"/>
              </w:rPr>
              <w:t>Al </w:t>
            </w:r>
            <w:r>
              <w:rPr>
                <w:b/>
                <w:w w:val="105"/>
                <w:sz w:val="13"/>
              </w:rPr>
              <w:t>31 de Marzo de</w:t>
            </w:r>
            <w:r>
              <w:rPr>
                <w:b/>
                <w:spacing w:val="12"/>
                <w:w w:val="105"/>
                <w:sz w:val="13"/>
              </w:rPr>
              <w:t> </w:t>
            </w:r>
            <w:r>
              <w:rPr>
                <w:b/>
                <w:w w:val="105"/>
                <w:sz w:val="13"/>
              </w:rPr>
              <w:t>2024</w:t>
            </w:r>
          </w:p>
        </w:tc>
      </w:tr>
      <w:tr>
        <w:trPr>
          <w:trHeight w:val="296" w:hRule="exact"/>
        </w:trPr>
        <w:tc>
          <w:tcPr>
            <w:tcW w:w="317" w:type="dxa"/>
          </w:tcPr>
          <w:p>
            <w:pPr/>
          </w:p>
        </w:tc>
        <w:tc>
          <w:tcPr>
            <w:tcW w:w="12010" w:type="dxa"/>
          </w:tcPr>
          <w:p>
            <w:pPr>
              <w:pStyle w:val="TableParagraph"/>
              <w:spacing w:before="14"/>
              <w:ind w:left="4400" w:right="4481"/>
              <w:jc w:val="center"/>
              <w:rPr>
                <w:sz w:val="13"/>
              </w:rPr>
            </w:pPr>
            <w:r>
              <w:rPr>
                <w:w w:val="105"/>
                <w:sz w:val="13"/>
              </w:rPr>
              <w:t>(Cifras en</w:t>
            </w:r>
            <w:r>
              <w:rPr>
                <w:spacing w:val="4"/>
                <w:w w:val="105"/>
                <w:sz w:val="13"/>
              </w:rPr>
              <w:t> </w:t>
            </w:r>
            <w:r>
              <w:rPr>
                <w:w w:val="105"/>
                <w:sz w:val="13"/>
              </w:rPr>
              <w:t>Pesos)</w:t>
            </w:r>
          </w:p>
        </w:tc>
      </w:tr>
      <w:tr>
        <w:trPr>
          <w:trHeight w:val="296" w:hRule="exact"/>
        </w:trPr>
        <w:tc>
          <w:tcPr>
            <w:tcW w:w="317" w:type="dxa"/>
          </w:tcPr>
          <w:p>
            <w:pPr>
              <w:pStyle w:val="TableParagraph"/>
              <w:spacing w:before="116"/>
              <w:ind w:left="117" w:right="38"/>
              <w:jc w:val="center"/>
              <w:rPr>
                <w:sz w:val="13"/>
              </w:rPr>
            </w:pPr>
            <w:r>
              <w:rPr>
                <w:w w:val="105"/>
                <w:sz w:val="13"/>
              </w:rPr>
              <w:t>e)</w:t>
            </w:r>
          </w:p>
        </w:tc>
        <w:tc>
          <w:tcPr>
            <w:tcW w:w="12010" w:type="dxa"/>
          </w:tcPr>
          <w:p>
            <w:pPr>
              <w:pStyle w:val="TableParagraph"/>
              <w:spacing w:before="116"/>
              <w:ind w:left="57"/>
              <w:rPr>
                <w:sz w:val="13"/>
              </w:rPr>
            </w:pPr>
            <w:r>
              <w:rPr>
                <w:w w:val="105"/>
                <w:sz w:val="13"/>
              </w:rPr>
              <w:t>Para las entidades que por primera vez estén implementando la base devengado de acuerdo a la Ley de Contabilidad,  deberán:</w:t>
            </w:r>
          </w:p>
        </w:tc>
      </w:tr>
      <w:tr>
        <w:trPr>
          <w:trHeight w:val="194" w:hRule="exact"/>
        </w:trPr>
        <w:tc>
          <w:tcPr>
            <w:tcW w:w="317" w:type="dxa"/>
          </w:tcPr>
          <w:p>
            <w:pPr>
              <w:pStyle w:val="TableParagraph"/>
              <w:spacing w:before="14"/>
              <w:ind w:left="2"/>
              <w:jc w:val="center"/>
              <w:rPr>
                <w:sz w:val="13"/>
              </w:rPr>
            </w:pPr>
            <w:r>
              <w:rPr>
                <w:w w:val="105"/>
                <w:sz w:val="13"/>
              </w:rPr>
              <w:t>-</w:t>
            </w:r>
          </w:p>
        </w:tc>
        <w:tc>
          <w:tcPr>
            <w:tcW w:w="12010" w:type="dxa"/>
          </w:tcPr>
          <w:p>
            <w:pPr>
              <w:pStyle w:val="TableParagraph"/>
              <w:spacing w:before="14"/>
              <w:ind w:left="57"/>
              <w:rPr>
                <w:sz w:val="13"/>
              </w:rPr>
            </w:pPr>
            <w:r>
              <w:rPr>
                <w:w w:val="105"/>
                <w:sz w:val="13"/>
              </w:rPr>
              <w:t>Revelar las nuevas políticas de reconocimiento;</w:t>
            </w:r>
          </w:p>
        </w:tc>
      </w:tr>
      <w:tr>
        <w:trPr>
          <w:trHeight w:val="194" w:hRule="exact"/>
        </w:trPr>
        <w:tc>
          <w:tcPr>
            <w:tcW w:w="317" w:type="dxa"/>
          </w:tcPr>
          <w:p>
            <w:pPr>
              <w:pStyle w:val="TableParagraph"/>
              <w:spacing w:before="14"/>
              <w:ind w:left="2"/>
              <w:jc w:val="center"/>
              <w:rPr>
                <w:sz w:val="13"/>
              </w:rPr>
            </w:pPr>
            <w:r>
              <w:rPr>
                <w:w w:val="105"/>
                <w:sz w:val="13"/>
              </w:rPr>
              <w:t>-</w:t>
            </w:r>
          </w:p>
        </w:tc>
        <w:tc>
          <w:tcPr>
            <w:tcW w:w="12010" w:type="dxa"/>
          </w:tcPr>
          <w:p>
            <w:pPr>
              <w:pStyle w:val="TableParagraph"/>
              <w:spacing w:before="14"/>
              <w:ind w:left="57"/>
              <w:rPr>
                <w:sz w:val="13"/>
              </w:rPr>
            </w:pPr>
            <w:r>
              <w:rPr>
                <w:w w:val="105"/>
                <w:sz w:val="13"/>
              </w:rPr>
              <w:t>Su plan de implementación;</w:t>
            </w:r>
          </w:p>
        </w:tc>
      </w:tr>
      <w:tr>
        <w:trPr>
          <w:trHeight w:val="194" w:hRule="exact"/>
        </w:trPr>
        <w:tc>
          <w:tcPr>
            <w:tcW w:w="317" w:type="dxa"/>
          </w:tcPr>
          <w:p>
            <w:pPr>
              <w:pStyle w:val="TableParagraph"/>
              <w:spacing w:before="14"/>
              <w:ind w:left="2"/>
              <w:jc w:val="center"/>
              <w:rPr>
                <w:sz w:val="13"/>
              </w:rPr>
            </w:pPr>
            <w:r>
              <w:rPr>
                <w:w w:val="105"/>
                <w:sz w:val="13"/>
              </w:rPr>
              <w:t>-</w:t>
            </w:r>
          </w:p>
        </w:tc>
        <w:tc>
          <w:tcPr>
            <w:tcW w:w="12010" w:type="dxa"/>
          </w:tcPr>
          <w:p>
            <w:pPr>
              <w:pStyle w:val="TableParagraph"/>
              <w:spacing w:before="14"/>
              <w:ind w:left="57"/>
              <w:rPr>
                <w:sz w:val="13"/>
              </w:rPr>
            </w:pPr>
            <w:r>
              <w:rPr>
                <w:w w:val="105"/>
                <w:sz w:val="13"/>
              </w:rPr>
              <w:t>Revelar los cambios en las políticas, la clasificación y medición de las mismas, así como su impacto en la información  financiera.</w:t>
            </w:r>
          </w:p>
        </w:tc>
      </w:tr>
      <w:tr>
        <w:trPr>
          <w:trHeight w:val="287" w:hRule="exact"/>
        </w:trPr>
        <w:tc>
          <w:tcPr>
            <w:tcW w:w="317" w:type="dxa"/>
          </w:tcPr>
          <w:p>
            <w:pPr>
              <w:pStyle w:val="TableParagraph"/>
              <w:spacing w:before="14"/>
              <w:ind w:left="2"/>
              <w:jc w:val="center"/>
              <w:rPr>
                <w:sz w:val="13"/>
              </w:rPr>
            </w:pPr>
            <w:r>
              <w:rPr>
                <w:w w:val="105"/>
                <w:sz w:val="13"/>
              </w:rPr>
              <w:t>-</w:t>
            </w:r>
          </w:p>
        </w:tc>
        <w:tc>
          <w:tcPr>
            <w:tcW w:w="12010" w:type="dxa"/>
          </w:tcPr>
          <w:p>
            <w:pPr>
              <w:pStyle w:val="TableParagraph"/>
              <w:spacing w:before="14"/>
              <w:ind w:left="57"/>
              <w:rPr>
                <w:sz w:val="13"/>
              </w:rPr>
            </w:pPr>
            <w:r>
              <w:rPr>
                <w:w w:val="105"/>
                <w:sz w:val="13"/>
              </w:rPr>
              <w:t>Presentar los últimos estados financieros con la normatividad anteriormente utilizada con las nuevas políticas para fines de comparación en la transición a la base  devengado.</w:t>
            </w:r>
          </w:p>
        </w:tc>
      </w:tr>
      <w:tr>
        <w:trPr>
          <w:trHeight w:val="386" w:hRule="exact"/>
        </w:trPr>
        <w:tc>
          <w:tcPr>
            <w:tcW w:w="12327" w:type="dxa"/>
            <w:gridSpan w:val="2"/>
          </w:tcPr>
          <w:p>
            <w:pPr>
              <w:pStyle w:val="TableParagraph"/>
              <w:spacing w:before="106"/>
              <w:rPr>
                <w:sz w:val="13"/>
              </w:rPr>
            </w:pPr>
            <w:r>
              <w:rPr>
                <w:color w:val="44546A"/>
                <w:w w:val="105"/>
                <w:sz w:val="13"/>
              </w:rPr>
              <w:t>Esta nota no le aplica al ente público</w:t>
            </w:r>
          </w:p>
        </w:tc>
      </w:tr>
      <w:tr>
        <w:trPr>
          <w:trHeight w:val="292" w:hRule="exact"/>
        </w:trPr>
        <w:tc>
          <w:tcPr>
            <w:tcW w:w="12327" w:type="dxa"/>
            <w:gridSpan w:val="2"/>
          </w:tcPr>
          <w:p>
            <w:pPr>
              <w:pStyle w:val="TableParagraph"/>
              <w:spacing w:before="113"/>
              <w:rPr>
                <w:b/>
                <w:sz w:val="13"/>
              </w:rPr>
            </w:pPr>
            <w:r>
              <w:rPr>
                <w:w w:val="105"/>
                <w:sz w:val="13"/>
              </w:rPr>
              <w:t>6.   </w:t>
            </w:r>
            <w:r>
              <w:rPr>
                <w:b/>
                <w:w w:val="105"/>
                <w:sz w:val="13"/>
              </w:rPr>
              <w:t>Políticas de Contabilidad Significativas</w:t>
            </w:r>
          </w:p>
        </w:tc>
      </w:tr>
      <w:tr>
        <w:trPr>
          <w:trHeight w:val="192" w:hRule="exact"/>
        </w:trPr>
        <w:tc>
          <w:tcPr>
            <w:tcW w:w="12327" w:type="dxa"/>
            <w:gridSpan w:val="2"/>
          </w:tcPr>
          <w:p>
            <w:pPr>
              <w:pStyle w:val="TableParagraph"/>
              <w:spacing w:before="11"/>
              <w:rPr>
                <w:sz w:val="13"/>
              </w:rPr>
            </w:pPr>
            <w:r>
              <w:rPr>
                <w:w w:val="105"/>
                <w:sz w:val="13"/>
              </w:rPr>
              <w:t>Se informará sobre:</w:t>
            </w:r>
          </w:p>
        </w:tc>
      </w:tr>
      <w:tr>
        <w:trPr>
          <w:trHeight w:val="361" w:hRule="exact"/>
        </w:trPr>
        <w:tc>
          <w:tcPr>
            <w:tcW w:w="12327" w:type="dxa"/>
            <w:gridSpan w:val="2"/>
          </w:tcPr>
          <w:p>
            <w:pPr>
              <w:pStyle w:val="TableParagraph"/>
              <w:spacing w:line="268" w:lineRule="auto" w:before="14"/>
              <w:rPr>
                <w:sz w:val="13"/>
              </w:rPr>
            </w:pPr>
            <w:r>
              <w:rPr>
                <w:w w:val="105"/>
                <w:sz w:val="13"/>
              </w:rPr>
              <w:t>a) Actualización: se informará del método utilizado para la actualización del valor de los activos, pasivos y Hacienda Pública y/o patrimonio y las razones de dicha elección. Así como informar de la desconexión o reconexión inflacionaria.</w:t>
            </w:r>
          </w:p>
        </w:tc>
      </w:tr>
      <w:tr>
        <w:trPr>
          <w:trHeight w:val="193" w:hRule="exact"/>
        </w:trPr>
        <w:tc>
          <w:tcPr>
            <w:tcW w:w="12327" w:type="dxa"/>
            <w:gridSpan w:val="2"/>
          </w:tcPr>
          <w:p>
            <w:pPr>
              <w:pStyle w:val="TableParagraph"/>
              <w:spacing w:before="13"/>
              <w:rPr>
                <w:sz w:val="13"/>
              </w:rPr>
            </w:pPr>
            <w:r>
              <w:rPr>
                <w:w w:val="105"/>
                <w:sz w:val="13"/>
              </w:rPr>
              <w:t>b)  Informar sobre la realización de operaciones en el extranjero y de sus efectos en la información financiera gubernamental.</w:t>
            </w:r>
          </w:p>
        </w:tc>
      </w:tr>
      <w:tr>
        <w:trPr>
          <w:trHeight w:val="194" w:hRule="exact"/>
        </w:trPr>
        <w:tc>
          <w:tcPr>
            <w:tcW w:w="12327" w:type="dxa"/>
            <w:gridSpan w:val="2"/>
          </w:tcPr>
          <w:p>
            <w:pPr>
              <w:pStyle w:val="TableParagraph"/>
              <w:spacing w:before="14"/>
              <w:rPr>
                <w:sz w:val="13"/>
              </w:rPr>
            </w:pPr>
            <w:r>
              <w:rPr>
                <w:w w:val="105"/>
                <w:sz w:val="13"/>
              </w:rPr>
              <w:t>c)  Método de valuación de la inversión en acciones en el Sector Paraestatal.</w:t>
            </w:r>
          </w:p>
        </w:tc>
      </w:tr>
      <w:tr>
        <w:trPr>
          <w:trHeight w:val="194" w:hRule="exact"/>
        </w:trPr>
        <w:tc>
          <w:tcPr>
            <w:tcW w:w="12327" w:type="dxa"/>
            <w:gridSpan w:val="2"/>
          </w:tcPr>
          <w:p>
            <w:pPr>
              <w:pStyle w:val="TableParagraph"/>
              <w:spacing w:before="14"/>
              <w:rPr>
                <w:sz w:val="13"/>
              </w:rPr>
            </w:pPr>
            <w:r>
              <w:rPr>
                <w:w w:val="105"/>
                <w:sz w:val="13"/>
              </w:rPr>
              <w:t>d)  Sistema y método de valuación de inventarios.</w:t>
            </w:r>
          </w:p>
        </w:tc>
      </w:tr>
      <w:tr>
        <w:trPr>
          <w:trHeight w:val="361" w:hRule="exact"/>
        </w:trPr>
        <w:tc>
          <w:tcPr>
            <w:tcW w:w="12327" w:type="dxa"/>
            <w:gridSpan w:val="2"/>
          </w:tcPr>
          <w:p>
            <w:pPr>
              <w:pStyle w:val="TableParagraph"/>
              <w:spacing w:line="268" w:lineRule="auto" w:before="14"/>
              <w:rPr>
                <w:sz w:val="13"/>
              </w:rPr>
            </w:pPr>
            <w:r>
              <w:rPr>
                <w:w w:val="105"/>
                <w:sz w:val="13"/>
              </w:rPr>
              <w:t>e) Beneficios a empleados: revelar el cálculo de la reserva actuarial, valor presente de los ingresos esperados comparado con el valor presente de la estimación de gastos tanto de los beneficiarios actuales como futuros.</w:t>
            </w:r>
          </w:p>
        </w:tc>
      </w:tr>
      <w:tr>
        <w:trPr>
          <w:trHeight w:val="193" w:hRule="exact"/>
        </w:trPr>
        <w:tc>
          <w:tcPr>
            <w:tcW w:w="12327" w:type="dxa"/>
            <w:gridSpan w:val="2"/>
          </w:tcPr>
          <w:p>
            <w:pPr>
              <w:pStyle w:val="TableParagraph"/>
              <w:spacing w:before="13"/>
              <w:rPr>
                <w:sz w:val="13"/>
              </w:rPr>
            </w:pPr>
            <w:r>
              <w:rPr>
                <w:w w:val="105"/>
                <w:sz w:val="13"/>
              </w:rPr>
              <w:t>f)  Provisiones: objetivo de su creación, monto y plazo.</w:t>
            </w:r>
          </w:p>
        </w:tc>
      </w:tr>
      <w:tr>
        <w:trPr>
          <w:trHeight w:val="226" w:hRule="exact"/>
        </w:trPr>
        <w:tc>
          <w:tcPr>
            <w:tcW w:w="12327" w:type="dxa"/>
            <w:gridSpan w:val="2"/>
          </w:tcPr>
          <w:p>
            <w:pPr>
              <w:pStyle w:val="TableParagraph"/>
              <w:spacing w:before="14"/>
              <w:rPr>
                <w:sz w:val="13"/>
              </w:rPr>
            </w:pPr>
            <w:r>
              <w:rPr>
                <w:w w:val="105"/>
                <w:sz w:val="13"/>
              </w:rPr>
              <w:t>g)  Reservas: objetivo de su creación, monto y plazo.</w:t>
            </w:r>
          </w:p>
        </w:tc>
      </w:tr>
      <w:tr>
        <w:trPr>
          <w:trHeight w:val="257" w:hRule="exact"/>
        </w:trPr>
        <w:tc>
          <w:tcPr>
            <w:tcW w:w="12327" w:type="dxa"/>
            <w:gridSpan w:val="2"/>
          </w:tcPr>
          <w:p>
            <w:pPr>
              <w:pStyle w:val="TableParagraph"/>
              <w:spacing w:before="45"/>
              <w:rPr>
                <w:sz w:val="13"/>
              </w:rPr>
            </w:pPr>
            <w:r>
              <w:rPr>
                <w:w w:val="105"/>
                <w:sz w:val="13"/>
              </w:rPr>
              <w:t>h)  Cambios en políticas contables y corrección de errores junto con la revelación de los efectos que se tendrá en la información financiera del ente público, ya sea retrospectivos o  prospectivos.</w:t>
            </w:r>
          </w:p>
        </w:tc>
      </w:tr>
      <w:tr>
        <w:trPr>
          <w:trHeight w:val="226" w:hRule="exact"/>
        </w:trPr>
        <w:tc>
          <w:tcPr>
            <w:tcW w:w="12327" w:type="dxa"/>
            <w:gridSpan w:val="2"/>
          </w:tcPr>
          <w:p>
            <w:pPr>
              <w:pStyle w:val="TableParagraph"/>
              <w:spacing w:before="45"/>
              <w:rPr>
                <w:sz w:val="13"/>
              </w:rPr>
            </w:pPr>
            <w:r>
              <w:rPr>
                <w:w w:val="105"/>
                <w:sz w:val="13"/>
              </w:rPr>
              <w:t>i)  Reclasificaciones: Se deben revelar todos aquellos movimientos entre cuentas por efectos de cambios en los tipos de  operaciones.</w:t>
            </w:r>
          </w:p>
        </w:tc>
      </w:tr>
      <w:tr>
        <w:trPr>
          <w:trHeight w:val="292" w:hRule="exact"/>
        </w:trPr>
        <w:tc>
          <w:tcPr>
            <w:tcW w:w="12327" w:type="dxa"/>
            <w:gridSpan w:val="2"/>
          </w:tcPr>
          <w:p>
            <w:pPr>
              <w:pStyle w:val="TableParagraph"/>
              <w:spacing w:before="14"/>
              <w:rPr>
                <w:sz w:val="13"/>
              </w:rPr>
            </w:pPr>
            <w:r>
              <w:rPr>
                <w:w w:val="105"/>
                <w:sz w:val="13"/>
              </w:rPr>
              <w:t>j)  Depuración y cancelación de saldos.</w:t>
            </w:r>
          </w:p>
        </w:tc>
      </w:tr>
      <w:tr>
        <w:trPr>
          <w:trHeight w:val="391" w:hRule="exact"/>
        </w:trPr>
        <w:tc>
          <w:tcPr>
            <w:tcW w:w="12327" w:type="dxa"/>
            <w:gridSpan w:val="2"/>
          </w:tcPr>
          <w:p>
            <w:pPr>
              <w:pStyle w:val="TableParagraph"/>
              <w:spacing w:before="111"/>
              <w:rPr>
                <w:sz w:val="13"/>
              </w:rPr>
            </w:pPr>
            <w:r>
              <w:rPr>
                <w:color w:val="44546A"/>
                <w:w w:val="105"/>
                <w:sz w:val="13"/>
              </w:rPr>
              <w:t>Esta nota no le aplica al ente público</w:t>
            </w:r>
          </w:p>
        </w:tc>
      </w:tr>
      <w:tr>
        <w:trPr>
          <w:trHeight w:val="292" w:hRule="exact"/>
        </w:trPr>
        <w:tc>
          <w:tcPr>
            <w:tcW w:w="12327" w:type="dxa"/>
            <w:gridSpan w:val="2"/>
          </w:tcPr>
          <w:p>
            <w:pPr>
              <w:pStyle w:val="TableParagraph"/>
              <w:spacing w:before="113"/>
              <w:rPr>
                <w:b/>
                <w:sz w:val="13"/>
              </w:rPr>
            </w:pPr>
            <w:r>
              <w:rPr>
                <w:w w:val="105"/>
                <w:sz w:val="13"/>
              </w:rPr>
              <w:t>7.   </w:t>
            </w:r>
            <w:r>
              <w:rPr>
                <w:b/>
                <w:w w:val="105"/>
                <w:sz w:val="13"/>
              </w:rPr>
              <w:t>Posición en Moneda Extranjera y Protección por Riesgo Cambiario</w:t>
            </w:r>
          </w:p>
        </w:tc>
      </w:tr>
      <w:tr>
        <w:trPr>
          <w:trHeight w:val="197" w:hRule="exact"/>
        </w:trPr>
        <w:tc>
          <w:tcPr>
            <w:tcW w:w="12327" w:type="dxa"/>
            <w:gridSpan w:val="2"/>
          </w:tcPr>
          <w:p>
            <w:pPr>
              <w:pStyle w:val="TableParagraph"/>
              <w:spacing w:before="11"/>
              <w:rPr>
                <w:sz w:val="13"/>
              </w:rPr>
            </w:pPr>
            <w:r>
              <w:rPr>
                <w:w w:val="105"/>
                <w:sz w:val="13"/>
              </w:rPr>
              <w:t>Se informará sobre:</w:t>
            </w:r>
          </w:p>
        </w:tc>
      </w:tr>
      <w:tr>
        <w:trPr>
          <w:trHeight w:val="199" w:hRule="exact"/>
        </w:trPr>
        <w:tc>
          <w:tcPr>
            <w:tcW w:w="317" w:type="dxa"/>
          </w:tcPr>
          <w:p>
            <w:pPr>
              <w:pStyle w:val="TableParagraph"/>
              <w:spacing w:before="18"/>
              <w:ind w:left="117" w:right="38"/>
              <w:jc w:val="center"/>
              <w:rPr>
                <w:sz w:val="13"/>
              </w:rPr>
            </w:pPr>
            <w:r>
              <w:rPr>
                <w:w w:val="105"/>
                <w:sz w:val="13"/>
              </w:rPr>
              <w:t>a)</w:t>
            </w:r>
          </w:p>
        </w:tc>
        <w:tc>
          <w:tcPr>
            <w:tcW w:w="12010" w:type="dxa"/>
          </w:tcPr>
          <w:p>
            <w:pPr>
              <w:pStyle w:val="TableParagraph"/>
              <w:spacing w:before="18"/>
              <w:ind w:left="57"/>
              <w:rPr>
                <w:sz w:val="13"/>
              </w:rPr>
            </w:pPr>
            <w:r>
              <w:rPr>
                <w:w w:val="105"/>
                <w:sz w:val="13"/>
              </w:rPr>
              <w:t>Activos en moneda extranjera</w:t>
            </w:r>
          </w:p>
        </w:tc>
      </w:tr>
      <w:tr>
        <w:trPr>
          <w:trHeight w:val="194" w:hRule="exact"/>
        </w:trPr>
        <w:tc>
          <w:tcPr>
            <w:tcW w:w="317" w:type="dxa"/>
          </w:tcPr>
          <w:p>
            <w:pPr>
              <w:pStyle w:val="TableParagraph"/>
              <w:spacing w:before="14"/>
              <w:ind w:left="117" w:right="38"/>
              <w:jc w:val="center"/>
              <w:rPr>
                <w:sz w:val="13"/>
              </w:rPr>
            </w:pPr>
            <w:r>
              <w:rPr>
                <w:w w:val="105"/>
                <w:sz w:val="13"/>
              </w:rPr>
              <w:t>b)</w:t>
            </w:r>
          </w:p>
        </w:tc>
        <w:tc>
          <w:tcPr>
            <w:tcW w:w="12010" w:type="dxa"/>
          </w:tcPr>
          <w:p>
            <w:pPr>
              <w:pStyle w:val="TableParagraph"/>
              <w:spacing w:before="14"/>
              <w:ind w:left="57"/>
              <w:rPr>
                <w:sz w:val="13"/>
              </w:rPr>
            </w:pPr>
            <w:r>
              <w:rPr>
                <w:w w:val="105"/>
                <w:sz w:val="13"/>
              </w:rPr>
              <w:t>Pasivos en moneda extranjera</w:t>
            </w:r>
          </w:p>
        </w:tc>
      </w:tr>
      <w:tr>
        <w:trPr>
          <w:trHeight w:val="194" w:hRule="exact"/>
        </w:trPr>
        <w:tc>
          <w:tcPr>
            <w:tcW w:w="317" w:type="dxa"/>
          </w:tcPr>
          <w:p>
            <w:pPr>
              <w:pStyle w:val="TableParagraph"/>
              <w:spacing w:before="14"/>
              <w:ind w:left="110" w:right="38"/>
              <w:jc w:val="center"/>
              <w:rPr>
                <w:sz w:val="13"/>
              </w:rPr>
            </w:pPr>
            <w:r>
              <w:rPr>
                <w:w w:val="105"/>
                <w:sz w:val="13"/>
              </w:rPr>
              <w:t>c)</w:t>
            </w:r>
          </w:p>
        </w:tc>
        <w:tc>
          <w:tcPr>
            <w:tcW w:w="12010" w:type="dxa"/>
          </w:tcPr>
          <w:p>
            <w:pPr>
              <w:pStyle w:val="TableParagraph"/>
              <w:spacing w:before="14"/>
              <w:ind w:left="57"/>
              <w:rPr>
                <w:sz w:val="13"/>
              </w:rPr>
            </w:pPr>
            <w:r>
              <w:rPr>
                <w:w w:val="105"/>
                <w:sz w:val="13"/>
              </w:rPr>
              <w:t>Posición en moneda extranjera</w:t>
            </w:r>
          </w:p>
        </w:tc>
      </w:tr>
      <w:tr>
        <w:trPr>
          <w:trHeight w:val="194" w:hRule="exact"/>
        </w:trPr>
        <w:tc>
          <w:tcPr>
            <w:tcW w:w="317" w:type="dxa"/>
          </w:tcPr>
          <w:p>
            <w:pPr>
              <w:pStyle w:val="TableParagraph"/>
              <w:spacing w:before="14"/>
              <w:ind w:left="117" w:right="38"/>
              <w:jc w:val="center"/>
              <w:rPr>
                <w:sz w:val="13"/>
              </w:rPr>
            </w:pPr>
            <w:r>
              <w:rPr>
                <w:w w:val="105"/>
                <w:sz w:val="13"/>
              </w:rPr>
              <w:t>d)</w:t>
            </w:r>
          </w:p>
        </w:tc>
        <w:tc>
          <w:tcPr>
            <w:tcW w:w="12010" w:type="dxa"/>
          </w:tcPr>
          <w:p>
            <w:pPr>
              <w:pStyle w:val="TableParagraph"/>
              <w:spacing w:before="14"/>
              <w:ind w:left="57"/>
              <w:rPr>
                <w:sz w:val="13"/>
              </w:rPr>
            </w:pPr>
            <w:r>
              <w:rPr>
                <w:w w:val="105"/>
                <w:sz w:val="13"/>
              </w:rPr>
              <w:t>Tipo de cambio</w:t>
            </w:r>
          </w:p>
        </w:tc>
      </w:tr>
      <w:tr>
        <w:trPr>
          <w:trHeight w:val="287" w:hRule="exact"/>
        </w:trPr>
        <w:tc>
          <w:tcPr>
            <w:tcW w:w="317" w:type="dxa"/>
          </w:tcPr>
          <w:p>
            <w:pPr>
              <w:pStyle w:val="TableParagraph"/>
              <w:spacing w:before="14"/>
              <w:ind w:left="117" w:right="38"/>
              <w:jc w:val="center"/>
              <w:rPr>
                <w:sz w:val="13"/>
              </w:rPr>
            </w:pPr>
            <w:r>
              <w:rPr>
                <w:w w:val="105"/>
                <w:sz w:val="13"/>
              </w:rPr>
              <w:t>e)</w:t>
            </w:r>
          </w:p>
        </w:tc>
        <w:tc>
          <w:tcPr>
            <w:tcW w:w="12010" w:type="dxa"/>
          </w:tcPr>
          <w:p>
            <w:pPr>
              <w:pStyle w:val="TableParagraph"/>
              <w:spacing w:before="14"/>
              <w:ind w:left="57"/>
              <w:rPr>
                <w:sz w:val="13"/>
              </w:rPr>
            </w:pPr>
            <w:r>
              <w:rPr>
                <w:w w:val="105"/>
                <w:sz w:val="13"/>
              </w:rPr>
              <w:t>Equivalente en moneda nacional</w:t>
            </w:r>
          </w:p>
        </w:tc>
      </w:tr>
      <w:tr>
        <w:trPr>
          <w:trHeight w:val="384" w:hRule="exact"/>
        </w:trPr>
        <w:tc>
          <w:tcPr>
            <w:tcW w:w="12327" w:type="dxa"/>
            <w:gridSpan w:val="2"/>
          </w:tcPr>
          <w:p>
            <w:pPr>
              <w:pStyle w:val="TableParagraph"/>
              <w:spacing w:before="106"/>
              <w:rPr>
                <w:sz w:val="13"/>
              </w:rPr>
            </w:pPr>
            <w:r>
              <w:rPr>
                <w:w w:val="105"/>
                <w:sz w:val="13"/>
              </w:rPr>
              <w:t>Lo anterior por cada tipo de moneda extranjera que se encuentre en los rubros de activo y pasivo.</w:t>
            </w:r>
          </w:p>
        </w:tc>
      </w:tr>
      <w:tr>
        <w:trPr>
          <w:trHeight w:val="292" w:hRule="exact"/>
        </w:trPr>
        <w:tc>
          <w:tcPr>
            <w:tcW w:w="12327" w:type="dxa"/>
            <w:gridSpan w:val="2"/>
          </w:tcPr>
          <w:p>
            <w:pPr>
              <w:pStyle w:val="TableParagraph"/>
              <w:spacing w:before="111"/>
              <w:rPr>
                <w:sz w:val="13"/>
              </w:rPr>
            </w:pPr>
            <w:r>
              <w:rPr>
                <w:w w:val="105"/>
                <w:sz w:val="13"/>
              </w:rPr>
              <w:t>Adicionalmente se informará sobre los métodos de protección de riesgo por variaciones en el tipo de  cambio</w:t>
            </w:r>
          </w:p>
        </w:tc>
      </w:tr>
      <w:tr>
        <w:trPr>
          <w:trHeight w:val="292" w:hRule="exact"/>
        </w:trPr>
        <w:tc>
          <w:tcPr>
            <w:tcW w:w="12327" w:type="dxa"/>
            <w:gridSpan w:val="2"/>
          </w:tcPr>
          <w:p>
            <w:pPr>
              <w:pStyle w:val="TableParagraph"/>
              <w:spacing w:before="14"/>
              <w:rPr>
                <w:sz w:val="13"/>
              </w:rPr>
            </w:pPr>
            <w:r>
              <w:rPr>
                <w:color w:val="44546A"/>
                <w:w w:val="105"/>
                <w:sz w:val="13"/>
              </w:rPr>
              <w:t>Esta nota no le aplica al ente público</w:t>
            </w:r>
          </w:p>
        </w:tc>
      </w:tr>
      <w:tr>
        <w:trPr>
          <w:trHeight w:val="292" w:hRule="exact"/>
        </w:trPr>
        <w:tc>
          <w:tcPr>
            <w:tcW w:w="12327" w:type="dxa"/>
            <w:gridSpan w:val="2"/>
          </w:tcPr>
          <w:p>
            <w:pPr>
              <w:pStyle w:val="TableParagraph"/>
              <w:spacing w:before="111"/>
              <w:rPr>
                <w:b/>
                <w:sz w:val="13"/>
              </w:rPr>
            </w:pPr>
            <w:r>
              <w:rPr>
                <w:b/>
                <w:w w:val="105"/>
                <w:sz w:val="13"/>
              </w:rPr>
              <w:t>8. Reporte Analítico del Activo</w:t>
            </w:r>
          </w:p>
        </w:tc>
      </w:tr>
      <w:tr>
        <w:trPr>
          <w:trHeight w:val="194" w:hRule="exact"/>
        </w:trPr>
        <w:tc>
          <w:tcPr>
            <w:tcW w:w="12327" w:type="dxa"/>
            <w:gridSpan w:val="2"/>
          </w:tcPr>
          <w:p>
            <w:pPr>
              <w:pStyle w:val="TableParagraph"/>
              <w:spacing w:before="14"/>
              <w:rPr>
                <w:sz w:val="13"/>
              </w:rPr>
            </w:pPr>
            <w:r>
              <w:rPr>
                <w:w w:val="105"/>
                <w:sz w:val="13"/>
              </w:rPr>
              <w:t>Debe mostrar la siguiente información:</w:t>
            </w:r>
          </w:p>
        </w:tc>
      </w:tr>
      <w:tr>
        <w:trPr>
          <w:trHeight w:val="292" w:hRule="exact"/>
        </w:trPr>
        <w:tc>
          <w:tcPr>
            <w:tcW w:w="12327" w:type="dxa"/>
            <w:gridSpan w:val="2"/>
          </w:tcPr>
          <w:p>
            <w:pPr>
              <w:pStyle w:val="TableParagraph"/>
              <w:spacing w:before="14"/>
              <w:rPr>
                <w:sz w:val="13"/>
              </w:rPr>
            </w:pPr>
            <w:r>
              <w:rPr>
                <w:w w:val="105"/>
                <w:sz w:val="13"/>
              </w:rPr>
              <w:t>a)   Vida útil o porcentajes de depreciación, deterioro o amortización utilizados en los diferentes tipos de activos.</w:t>
            </w:r>
          </w:p>
        </w:tc>
      </w:tr>
      <w:tr>
        <w:trPr>
          <w:trHeight w:val="271" w:hRule="exact"/>
        </w:trPr>
        <w:tc>
          <w:tcPr>
            <w:tcW w:w="12327" w:type="dxa"/>
            <w:gridSpan w:val="2"/>
          </w:tcPr>
          <w:p>
            <w:pPr>
              <w:pStyle w:val="TableParagraph"/>
              <w:spacing w:before="111"/>
              <w:rPr>
                <w:sz w:val="13"/>
              </w:rPr>
            </w:pPr>
            <w:r>
              <w:rPr>
                <w:color w:val="44546A"/>
                <w:w w:val="105"/>
                <w:sz w:val="13"/>
              </w:rPr>
              <w:t>De conformidad con la norma de CONAC y los alcances del SIHP</w:t>
            </w:r>
          </w:p>
        </w:tc>
      </w:tr>
    </w:tbl>
    <w:p>
      <w:pPr>
        <w:spacing w:after="0"/>
        <w:rPr>
          <w:sz w:val="13"/>
        </w:rPr>
        <w:sectPr>
          <w:pgSz w:w="16840" w:h="11910" w:orient="landscape"/>
          <w:pgMar w:top="1100" w:bottom="280" w:left="1940" w:right="2360"/>
        </w:sectPr>
      </w:pPr>
    </w:p>
    <w:tbl>
      <w:tblPr>
        <w:tblW w:w="0" w:type="auto"/>
        <w:jc w:val="left"/>
        <w:tblInd w:w="105"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46"/>
        <w:gridCol w:w="6889"/>
        <w:gridCol w:w="5491"/>
      </w:tblGrid>
      <w:tr>
        <w:trPr>
          <w:trHeight w:val="174" w:hRule="exact"/>
        </w:trPr>
        <w:tc>
          <w:tcPr>
            <w:tcW w:w="12726" w:type="dxa"/>
            <w:gridSpan w:val="3"/>
          </w:tcPr>
          <w:p>
            <w:pPr>
              <w:pStyle w:val="TableParagraph"/>
              <w:spacing w:line="143" w:lineRule="exact" w:before="0"/>
              <w:ind w:left="4717" w:right="4881"/>
              <w:jc w:val="center"/>
              <w:rPr>
                <w:b/>
                <w:sz w:val="13"/>
              </w:rPr>
            </w:pPr>
            <w:r>
              <w:rPr>
                <w:b/>
                <w:w w:val="105"/>
                <w:sz w:val="13"/>
              </w:rPr>
              <w:t>Comisión de Deporte del Estado de Guanajuato</w:t>
            </w:r>
          </w:p>
        </w:tc>
      </w:tr>
      <w:tr>
        <w:trPr>
          <w:trHeight w:val="194" w:hRule="exact"/>
        </w:trPr>
        <w:tc>
          <w:tcPr>
            <w:tcW w:w="12726" w:type="dxa"/>
            <w:gridSpan w:val="3"/>
          </w:tcPr>
          <w:p>
            <w:pPr>
              <w:pStyle w:val="TableParagraph"/>
              <w:spacing w:before="14"/>
              <w:ind w:left="4717" w:right="4881"/>
              <w:jc w:val="center"/>
              <w:rPr>
                <w:b/>
                <w:sz w:val="13"/>
              </w:rPr>
            </w:pPr>
            <w:r>
              <w:rPr>
                <w:b/>
                <w:w w:val="105"/>
                <w:sz w:val="13"/>
              </w:rPr>
              <w:t>Notas a los Estados Financieros</w:t>
            </w:r>
          </w:p>
        </w:tc>
      </w:tr>
      <w:tr>
        <w:trPr>
          <w:trHeight w:val="194" w:hRule="exact"/>
        </w:trPr>
        <w:tc>
          <w:tcPr>
            <w:tcW w:w="12726" w:type="dxa"/>
            <w:gridSpan w:val="3"/>
          </w:tcPr>
          <w:p>
            <w:pPr>
              <w:pStyle w:val="TableParagraph"/>
              <w:spacing w:before="14"/>
              <w:ind w:left="4717" w:right="4879"/>
              <w:jc w:val="center"/>
              <w:rPr>
                <w:b/>
                <w:sz w:val="13"/>
              </w:rPr>
            </w:pPr>
            <w:r>
              <w:rPr>
                <w:b/>
                <w:w w:val="105"/>
                <w:sz w:val="13"/>
              </w:rPr>
              <w:t>Al 31 de Marzo de 2024</w:t>
            </w:r>
          </w:p>
        </w:tc>
      </w:tr>
      <w:tr>
        <w:trPr>
          <w:trHeight w:val="194" w:hRule="exact"/>
        </w:trPr>
        <w:tc>
          <w:tcPr>
            <w:tcW w:w="12726" w:type="dxa"/>
            <w:gridSpan w:val="3"/>
          </w:tcPr>
          <w:p>
            <w:pPr>
              <w:pStyle w:val="TableParagraph"/>
              <w:spacing w:before="14"/>
              <w:ind w:left="4717" w:right="4879"/>
              <w:jc w:val="center"/>
              <w:rPr>
                <w:sz w:val="13"/>
              </w:rPr>
            </w:pPr>
            <w:r>
              <w:rPr>
                <w:w w:val="105"/>
                <w:sz w:val="13"/>
              </w:rPr>
              <w:t>(Cifras en Pesos)</w:t>
            </w:r>
          </w:p>
        </w:tc>
      </w:tr>
      <w:tr>
        <w:trPr>
          <w:trHeight w:val="292" w:hRule="exact"/>
        </w:trPr>
        <w:tc>
          <w:tcPr>
            <w:tcW w:w="12726" w:type="dxa"/>
            <w:gridSpan w:val="3"/>
          </w:tcPr>
          <w:p>
            <w:pPr>
              <w:pStyle w:val="TableParagraph"/>
              <w:spacing w:before="14"/>
              <w:rPr>
                <w:sz w:val="13"/>
              </w:rPr>
            </w:pPr>
            <w:r>
              <w:rPr>
                <w:w w:val="105"/>
                <w:sz w:val="13"/>
              </w:rPr>
              <w:t>b)   Cambios en el porcentaje de depreciación o valor residual de los activos.</w:t>
            </w:r>
          </w:p>
        </w:tc>
      </w:tr>
      <w:tr>
        <w:trPr>
          <w:trHeight w:val="389" w:hRule="exact"/>
        </w:trPr>
        <w:tc>
          <w:tcPr>
            <w:tcW w:w="12726" w:type="dxa"/>
            <w:gridSpan w:val="3"/>
          </w:tcPr>
          <w:p>
            <w:pPr>
              <w:pStyle w:val="TableParagraph"/>
              <w:spacing w:before="111"/>
              <w:rPr>
                <w:sz w:val="13"/>
              </w:rPr>
            </w:pPr>
            <w:r>
              <w:rPr>
                <w:color w:val="44546A"/>
                <w:w w:val="105"/>
                <w:sz w:val="13"/>
              </w:rPr>
              <w:t>De conformidad con la norma de CONAC y los alcances del SIHP, actualmente sólo pueden considerarse las 40 clases de activos  vigentes.</w:t>
            </w:r>
          </w:p>
        </w:tc>
      </w:tr>
      <w:tr>
        <w:trPr>
          <w:trHeight w:val="389" w:hRule="exact"/>
        </w:trPr>
        <w:tc>
          <w:tcPr>
            <w:tcW w:w="12726" w:type="dxa"/>
            <w:gridSpan w:val="3"/>
          </w:tcPr>
          <w:p>
            <w:pPr>
              <w:pStyle w:val="TableParagraph"/>
              <w:spacing w:before="111"/>
              <w:rPr>
                <w:sz w:val="13"/>
              </w:rPr>
            </w:pPr>
            <w:r>
              <w:rPr>
                <w:w w:val="105"/>
                <w:sz w:val="13"/>
              </w:rPr>
              <w:t>c)   Importe de los gastos capitalizados en el ejercicio, tanto financieros como de investigación y  desarrollo.</w:t>
            </w:r>
          </w:p>
        </w:tc>
      </w:tr>
      <w:tr>
        <w:trPr>
          <w:trHeight w:val="389" w:hRule="exact"/>
        </w:trPr>
        <w:tc>
          <w:tcPr>
            <w:tcW w:w="12726" w:type="dxa"/>
            <w:gridSpan w:val="3"/>
          </w:tcPr>
          <w:p>
            <w:pPr>
              <w:pStyle w:val="TableParagraph"/>
              <w:spacing w:before="111"/>
              <w:rPr>
                <w:sz w:val="13"/>
              </w:rPr>
            </w:pPr>
            <w:r>
              <w:rPr>
                <w:color w:val="44546A"/>
                <w:w w:val="105"/>
                <w:sz w:val="13"/>
              </w:rPr>
              <w:t>Esta nota no le aplica al ente público</w:t>
            </w:r>
          </w:p>
        </w:tc>
      </w:tr>
      <w:tr>
        <w:trPr>
          <w:trHeight w:val="389" w:hRule="exact"/>
        </w:trPr>
        <w:tc>
          <w:tcPr>
            <w:tcW w:w="12726" w:type="dxa"/>
            <w:gridSpan w:val="3"/>
          </w:tcPr>
          <w:p>
            <w:pPr>
              <w:pStyle w:val="TableParagraph"/>
              <w:spacing w:before="111"/>
              <w:rPr>
                <w:sz w:val="13"/>
              </w:rPr>
            </w:pPr>
            <w:r>
              <w:rPr>
                <w:w w:val="105"/>
                <w:sz w:val="13"/>
              </w:rPr>
              <w:t>d)   Riegos por tipo de cambio o tipo de interés de las inversiones financieras.</w:t>
            </w:r>
          </w:p>
        </w:tc>
      </w:tr>
      <w:tr>
        <w:trPr>
          <w:trHeight w:val="389" w:hRule="exact"/>
        </w:trPr>
        <w:tc>
          <w:tcPr>
            <w:tcW w:w="12726" w:type="dxa"/>
            <w:gridSpan w:val="3"/>
          </w:tcPr>
          <w:p>
            <w:pPr>
              <w:pStyle w:val="TableParagraph"/>
              <w:spacing w:before="111"/>
              <w:rPr>
                <w:sz w:val="13"/>
              </w:rPr>
            </w:pPr>
            <w:r>
              <w:rPr>
                <w:color w:val="44546A"/>
                <w:w w:val="105"/>
                <w:sz w:val="13"/>
              </w:rPr>
              <w:t>Esta nota no le aplica al ente público</w:t>
            </w:r>
          </w:p>
        </w:tc>
      </w:tr>
      <w:tr>
        <w:trPr>
          <w:trHeight w:val="389" w:hRule="exact"/>
        </w:trPr>
        <w:tc>
          <w:tcPr>
            <w:tcW w:w="12726" w:type="dxa"/>
            <w:gridSpan w:val="3"/>
          </w:tcPr>
          <w:p>
            <w:pPr>
              <w:pStyle w:val="TableParagraph"/>
              <w:spacing w:before="111"/>
              <w:rPr>
                <w:sz w:val="13"/>
              </w:rPr>
            </w:pPr>
            <w:r>
              <w:rPr>
                <w:w w:val="105"/>
                <w:sz w:val="13"/>
              </w:rPr>
              <w:t>e)   Valor activado en el ejercicio de los bienes construidos por la entidad.</w:t>
            </w:r>
          </w:p>
        </w:tc>
      </w:tr>
      <w:tr>
        <w:trPr>
          <w:trHeight w:val="382" w:hRule="exact"/>
        </w:trPr>
        <w:tc>
          <w:tcPr>
            <w:tcW w:w="12726" w:type="dxa"/>
            <w:gridSpan w:val="3"/>
          </w:tcPr>
          <w:p>
            <w:pPr>
              <w:pStyle w:val="TableParagraph"/>
              <w:spacing w:before="111"/>
              <w:rPr>
                <w:sz w:val="13"/>
              </w:rPr>
            </w:pPr>
            <w:r>
              <w:rPr>
                <w:color w:val="44546A"/>
                <w:w w:val="105"/>
                <w:sz w:val="13"/>
              </w:rPr>
              <w:t>Esta nota no le aplica al ente público</w:t>
            </w:r>
          </w:p>
        </w:tc>
      </w:tr>
      <w:tr>
        <w:trPr>
          <w:trHeight w:val="540" w:hRule="exact"/>
        </w:trPr>
        <w:tc>
          <w:tcPr>
            <w:tcW w:w="12726" w:type="dxa"/>
            <w:gridSpan w:val="3"/>
          </w:tcPr>
          <w:p>
            <w:pPr>
              <w:pStyle w:val="TableParagraph"/>
              <w:spacing w:line="268" w:lineRule="auto" w:before="104"/>
              <w:ind w:right="134"/>
              <w:rPr>
                <w:sz w:val="13"/>
              </w:rPr>
            </w:pPr>
            <w:r>
              <w:rPr>
                <w:w w:val="105"/>
                <w:sz w:val="13"/>
              </w:rPr>
              <w:t>f) Otras circunstancias de carácter significativo que afecten el activo, tales como bienes en garantía, señalados en embargos, litigios, títulos de inversiones entregados en garantías, baja significativa del valor de inversiones financieras, etc.</w:t>
            </w:r>
          </w:p>
        </w:tc>
      </w:tr>
      <w:tr>
        <w:trPr>
          <w:trHeight w:val="379" w:hRule="exact"/>
        </w:trPr>
        <w:tc>
          <w:tcPr>
            <w:tcW w:w="12726" w:type="dxa"/>
            <w:gridSpan w:val="3"/>
          </w:tcPr>
          <w:p>
            <w:pPr>
              <w:pStyle w:val="TableParagraph"/>
              <w:spacing w:before="101"/>
              <w:rPr>
                <w:sz w:val="13"/>
              </w:rPr>
            </w:pPr>
            <w:r>
              <w:rPr>
                <w:color w:val="44546A"/>
                <w:w w:val="105"/>
                <w:sz w:val="13"/>
              </w:rPr>
              <w:t>Esta nota no le aplica al ente público</w:t>
            </w:r>
          </w:p>
        </w:tc>
      </w:tr>
      <w:tr>
        <w:trPr>
          <w:trHeight w:val="292" w:hRule="exact"/>
        </w:trPr>
        <w:tc>
          <w:tcPr>
            <w:tcW w:w="12726" w:type="dxa"/>
            <w:gridSpan w:val="3"/>
          </w:tcPr>
          <w:p>
            <w:pPr>
              <w:pStyle w:val="TableParagraph"/>
              <w:spacing w:before="111"/>
              <w:rPr>
                <w:sz w:val="13"/>
              </w:rPr>
            </w:pPr>
            <w:r>
              <w:rPr>
                <w:w w:val="105"/>
                <w:sz w:val="13"/>
              </w:rPr>
              <w:t>g)   Desmantelamiento de Activos, procedimientos, implicaciones, efectos contables</w:t>
            </w:r>
          </w:p>
        </w:tc>
      </w:tr>
      <w:tr>
        <w:trPr>
          <w:trHeight w:val="292" w:hRule="exact"/>
        </w:trPr>
        <w:tc>
          <w:tcPr>
            <w:tcW w:w="12726" w:type="dxa"/>
            <w:gridSpan w:val="3"/>
          </w:tcPr>
          <w:p>
            <w:pPr>
              <w:pStyle w:val="TableParagraph"/>
              <w:spacing w:before="14"/>
              <w:rPr>
                <w:sz w:val="13"/>
              </w:rPr>
            </w:pPr>
            <w:r>
              <w:rPr>
                <w:color w:val="44546A"/>
                <w:w w:val="105"/>
                <w:sz w:val="13"/>
              </w:rPr>
              <w:t>Esta nota no le aplica al ente público</w:t>
            </w:r>
          </w:p>
        </w:tc>
      </w:tr>
      <w:tr>
        <w:trPr>
          <w:trHeight w:val="292" w:hRule="exact"/>
        </w:trPr>
        <w:tc>
          <w:tcPr>
            <w:tcW w:w="12726" w:type="dxa"/>
            <w:gridSpan w:val="3"/>
          </w:tcPr>
          <w:p>
            <w:pPr>
              <w:pStyle w:val="TableParagraph"/>
              <w:spacing w:before="111"/>
              <w:rPr>
                <w:sz w:val="13"/>
              </w:rPr>
            </w:pPr>
            <w:r>
              <w:rPr>
                <w:w w:val="105"/>
                <w:sz w:val="13"/>
              </w:rPr>
              <w:t>h)   Administración de activos; planeación con el objetivo de que el ente los utilice de manera más efectiva.</w:t>
            </w:r>
          </w:p>
        </w:tc>
      </w:tr>
      <w:tr>
        <w:trPr>
          <w:trHeight w:val="292" w:hRule="exact"/>
        </w:trPr>
        <w:tc>
          <w:tcPr>
            <w:tcW w:w="12726" w:type="dxa"/>
            <w:gridSpan w:val="3"/>
          </w:tcPr>
          <w:p>
            <w:pPr>
              <w:pStyle w:val="TableParagraph"/>
              <w:spacing w:before="14"/>
              <w:rPr>
                <w:sz w:val="13"/>
              </w:rPr>
            </w:pPr>
            <w:r>
              <w:rPr>
                <w:color w:val="44546A"/>
                <w:w w:val="105"/>
                <w:sz w:val="13"/>
              </w:rPr>
              <w:t>Esta nota no le aplica al ente público</w:t>
            </w:r>
          </w:p>
        </w:tc>
      </w:tr>
      <w:tr>
        <w:trPr>
          <w:trHeight w:val="296" w:hRule="exact"/>
        </w:trPr>
        <w:tc>
          <w:tcPr>
            <w:tcW w:w="12726" w:type="dxa"/>
            <w:gridSpan w:val="3"/>
          </w:tcPr>
          <w:p>
            <w:pPr>
              <w:pStyle w:val="TableParagraph"/>
              <w:spacing w:before="111"/>
              <w:rPr>
                <w:sz w:val="13"/>
              </w:rPr>
            </w:pPr>
            <w:r>
              <w:rPr>
                <w:w w:val="105"/>
                <w:sz w:val="13"/>
              </w:rPr>
              <w:t>Adicionalmente, se deben incluir las explicaciones de las principales variaciones en el activo, en cuadros comparativos como  sigue:</w:t>
            </w:r>
          </w:p>
        </w:tc>
      </w:tr>
      <w:tr>
        <w:trPr>
          <w:trHeight w:val="199" w:hRule="exact"/>
        </w:trPr>
        <w:tc>
          <w:tcPr>
            <w:tcW w:w="346" w:type="dxa"/>
          </w:tcPr>
          <w:p>
            <w:pPr>
              <w:pStyle w:val="TableParagraph"/>
              <w:spacing w:before="19"/>
              <w:rPr>
                <w:sz w:val="13"/>
              </w:rPr>
            </w:pPr>
            <w:r>
              <w:rPr>
                <w:w w:val="105"/>
                <w:sz w:val="13"/>
              </w:rPr>
              <w:t>a)</w:t>
            </w:r>
          </w:p>
        </w:tc>
        <w:tc>
          <w:tcPr>
            <w:tcW w:w="6889" w:type="dxa"/>
          </w:tcPr>
          <w:p>
            <w:pPr>
              <w:pStyle w:val="TableParagraph"/>
              <w:spacing w:before="19"/>
              <w:ind w:left="28"/>
              <w:rPr>
                <w:sz w:val="13"/>
              </w:rPr>
            </w:pPr>
            <w:r>
              <w:rPr>
                <w:w w:val="105"/>
                <w:sz w:val="13"/>
              </w:rPr>
              <w:t>Inversiones en valores.</w:t>
            </w:r>
          </w:p>
        </w:tc>
        <w:tc>
          <w:tcPr>
            <w:tcW w:w="5491" w:type="dxa"/>
          </w:tcPr>
          <w:p>
            <w:pPr/>
          </w:p>
        </w:tc>
      </w:tr>
      <w:tr>
        <w:trPr>
          <w:trHeight w:val="194" w:hRule="exact"/>
        </w:trPr>
        <w:tc>
          <w:tcPr>
            <w:tcW w:w="346" w:type="dxa"/>
          </w:tcPr>
          <w:p>
            <w:pPr>
              <w:pStyle w:val="TableParagraph"/>
              <w:spacing w:before="14"/>
              <w:rPr>
                <w:sz w:val="13"/>
              </w:rPr>
            </w:pPr>
            <w:r>
              <w:rPr>
                <w:w w:val="105"/>
                <w:sz w:val="13"/>
              </w:rPr>
              <w:t>b)</w:t>
            </w:r>
          </w:p>
        </w:tc>
        <w:tc>
          <w:tcPr>
            <w:tcW w:w="6889" w:type="dxa"/>
          </w:tcPr>
          <w:p>
            <w:pPr>
              <w:pStyle w:val="TableParagraph"/>
              <w:spacing w:before="14"/>
              <w:ind w:left="28"/>
              <w:rPr>
                <w:sz w:val="13"/>
              </w:rPr>
            </w:pPr>
            <w:r>
              <w:rPr>
                <w:w w:val="105"/>
                <w:sz w:val="13"/>
              </w:rPr>
              <w:t>Patrimonio de organismos descentralizados.</w:t>
            </w:r>
          </w:p>
        </w:tc>
        <w:tc>
          <w:tcPr>
            <w:tcW w:w="5491" w:type="dxa"/>
          </w:tcPr>
          <w:p>
            <w:pPr/>
          </w:p>
        </w:tc>
      </w:tr>
      <w:tr>
        <w:trPr>
          <w:trHeight w:val="194" w:hRule="exact"/>
        </w:trPr>
        <w:tc>
          <w:tcPr>
            <w:tcW w:w="346" w:type="dxa"/>
          </w:tcPr>
          <w:p>
            <w:pPr>
              <w:pStyle w:val="TableParagraph"/>
              <w:spacing w:before="14"/>
              <w:rPr>
                <w:sz w:val="13"/>
              </w:rPr>
            </w:pPr>
            <w:r>
              <w:rPr>
                <w:w w:val="105"/>
                <w:sz w:val="13"/>
              </w:rPr>
              <w:t>c)</w:t>
            </w:r>
          </w:p>
        </w:tc>
        <w:tc>
          <w:tcPr>
            <w:tcW w:w="6889" w:type="dxa"/>
          </w:tcPr>
          <w:p>
            <w:pPr>
              <w:pStyle w:val="TableParagraph"/>
              <w:spacing w:before="14"/>
              <w:ind w:left="28"/>
              <w:rPr>
                <w:sz w:val="13"/>
              </w:rPr>
            </w:pPr>
            <w:r>
              <w:rPr>
                <w:w w:val="105"/>
                <w:sz w:val="13"/>
              </w:rPr>
              <w:t>Inversiones en empresas de participación mayoritaria.</w:t>
            </w:r>
          </w:p>
        </w:tc>
        <w:tc>
          <w:tcPr>
            <w:tcW w:w="5491" w:type="dxa"/>
          </w:tcPr>
          <w:p>
            <w:pPr/>
          </w:p>
        </w:tc>
      </w:tr>
      <w:tr>
        <w:trPr>
          <w:trHeight w:val="190" w:hRule="exact"/>
        </w:trPr>
        <w:tc>
          <w:tcPr>
            <w:tcW w:w="346" w:type="dxa"/>
          </w:tcPr>
          <w:p>
            <w:pPr>
              <w:pStyle w:val="TableParagraph"/>
              <w:spacing w:before="14"/>
              <w:rPr>
                <w:sz w:val="13"/>
              </w:rPr>
            </w:pPr>
            <w:r>
              <w:rPr>
                <w:w w:val="105"/>
                <w:sz w:val="13"/>
              </w:rPr>
              <w:t>d)</w:t>
            </w:r>
          </w:p>
        </w:tc>
        <w:tc>
          <w:tcPr>
            <w:tcW w:w="6889" w:type="dxa"/>
          </w:tcPr>
          <w:p>
            <w:pPr>
              <w:pStyle w:val="TableParagraph"/>
              <w:spacing w:before="14"/>
              <w:ind w:left="28"/>
              <w:rPr>
                <w:sz w:val="13"/>
              </w:rPr>
            </w:pPr>
            <w:r>
              <w:rPr>
                <w:w w:val="105"/>
                <w:sz w:val="13"/>
              </w:rPr>
              <w:t>Inversiones en empresas de participación minoritaria.</w:t>
            </w:r>
          </w:p>
        </w:tc>
        <w:tc>
          <w:tcPr>
            <w:tcW w:w="5491" w:type="dxa"/>
          </w:tcPr>
          <w:p>
            <w:pPr/>
          </w:p>
        </w:tc>
      </w:tr>
      <w:tr>
        <w:trPr>
          <w:trHeight w:val="287" w:hRule="exact"/>
        </w:trPr>
        <w:tc>
          <w:tcPr>
            <w:tcW w:w="12726" w:type="dxa"/>
            <w:gridSpan w:val="3"/>
          </w:tcPr>
          <w:p>
            <w:pPr>
              <w:pStyle w:val="TableParagraph"/>
              <w:spacing w:before="9"/>
              <w:rPr>
                <w:sz w:val="13"/>
              </w:rPr>
            </w:pPr>
            <w:r>
              <w:rPr>
                <w:color w:val="44546A"/>
                <w:w w:val="105"/>
                <w:sz w:val="13"/>
              </w:rPr>
              <w:t>Esta nota no le aplica al ente público</w:t>
            </w:r>
          </w:p>
        </w:tc>
      </w:tr>
      <w:tr>
        <w:trPr>
          <w:trHeight w:val="292" w:hRule="exact"/>
        </w:trPr>
        <w:tc>
          <w:tcPr>
            <w:tcW w:w="12726" w:type="dxa"/>
            <w:gridSpan w:val="3"/>
          </w:tcPr>
          <w:p>
            <w:pPr>
              <w:pStyle w:val="TableParagraph"/>
              <w:spacing w:before="111"/>
              <w:rPr>
                <w:b/>
                <w:sz w:val="13"/>
              </w:rPr>
            </w:pPr>
            <w:r>
              <w:rPr>
                <w:b/>
                <w:w w:val="105"/>
                <w:sz w:val="13"/>
              </w:rPr>
              <w:t>9. Fideicomisos, Mandatos y Análogos</w:t>
            </w:r>
          </w:p>
        </w:tc>
      </w:tr>
      <w:tr>
        <w:trPr>
          <w:trHeight w:val="199" w:hRule="exact"/>
        </w:trPr>
        <w:tc>
          <w:tcPr>
            <w:tcW w:w="12726" w:type="dxa"/>
            <w:gridSpan w:val="3"/>
          </w:tcPr>
          <w:p>
            <w:pPr>
              <w:pStyle w:val="TableParagraph"/>
              <w:spacing w:before="14"/>
              <w:rPr>
                <w:sz w:val="13"/>
              </w:rPr>
            </w:pPr>
            <w:r>
              <w:rPr>
                <w:w w:val="105"/>
                <w:sz w:val="13"/>
              </w:rPr>
              <w:t>Se deberá informar:</w:t>
            </w:r>
          </w:p>
        </w:tc>
      </w:tr>
      <w:tr>
        <w:trPr>
          <w:trHeight w:val="199" w:hRule="exact"/>
        </w:trPr>
        <w:tc>
          <w:tcPr>
            <w:tcW w:w="346" w:type="dxa"/>
          </w:tcPr>
          <w:p>
            <w:pPr>
              <w:pStyle w:val="TableParagraph"/>
              <w:spacing w:before="19"/>
              <w:rPr>
                <w:sz w:val="13"/>
              </w:rPr>
            </w:pPr>
            <w:r>
              <w:rPr>
                <w:w w:val="105"/>
                <w:sz w:val="13"/>
              </w:rPr>
              <w:t>a)</w:t>
            </w:r>
          </w:p>
        </w:tc>
        <w:tc>
          <w:tcPr>
            <w:tcW w:w="6889" w:type="dxa"/>
          </w:tcPr>
          <w:p>
            <w:pPr>
              <w:pStyle w:val="TableParagraph"/>
              <w:spacing w:before="19"/>
              <w:ind w:left="28"/>
              <w:rPr>
                <w:sz w:val="13"/>
              </w:rPr>
            </w:pPr>
            <w:r>
              <w:rPr>
                <w:w w:val="105"/>
                <w:sz w:val="13"/>
              </w:rPr>
              <w:t>Por ramo o unidad administrativa que los reporta.</w:t>
            </w:r>
          </w:p>
        </w:tc>
        <w:tc>
          <w:tcPr>
            <w:tcW w:w="5491" w:type="dxa"/>
          </w:tcPr>
          <w:p>
            <w:pPr/>
          </w:p>
        </w:tc>
      </w:tr>
      <w:tr>
        <w:trPr>
          <w:trHeight w:val="384" w:hRule="exact"/>
        </w:trPr>
        <w:tc>
          <w:tcPr>
            <w:tcW w:w="346" w:type="dxa"/>
          </w:tcPr>
          <w:p>
            <w:pPr>
              <w:pStyle w:val="TableParagraph"/>
              <w:spacing w:before="14"/>
              <w:rPr>
                <w:sz w:val="13"/>
              </w:rPr>
            </w:pPr>
            <w:r>
              <w:rPr>
                <w:w w:val="105"/>
                <w:sz w:val="13"/>
              </w:rPr>
              <w:t>b)</w:t>
            </w:r>
          </w:p>
        </w:tc>
        <w:tc>
          <w:tcPr>
            <w:tcW w:w="12380" w:type="dxa"/>
            <w:gridSpan w:val="2"/>
          </w:tcPr>
          <w:p>
            <w:pPr>
              <w:pStyle w:val="TableParagraph"/>
              <w:spacing w:before="14"/>
              <w:ind w:left="28"/>
              <w:rPr>
                <w:sz w:val="13"/>
              </w:rPr>
            </w:pPr>
            <w:r>
              <w:rPr>
                <w:w w:val="105"/>
                <w:sz w:val="13"/>
              </w:rPr>
              <w:t>Enlistar los de mayor monto de disponibilidad, relacionando aquéllos que conforman el 80% de las disponibilidades.</w:t>
            </w:r>
          </w:p>
        </w:tc>
      </w:tr>
      <w:tr>
        <w:trPr>
          <w:trHeight w:val="486" w:hRule="exact"/>
        </w:trPr>
        <w:tc>
          <w:tcPr>
            <w:tcW w:w="12726" w:type="dxa"/>
            <w:gridSpan w:val="3"/>
          </w:tcPr>
          <w:p>
            <w:pPr>
              <w:pStyle w:val="TableParagraph"/>
              <w:spacing w:before="8"/>
              <w:ind w:left="0"/>
              <w:rPr>
                <w:rFonts w:ascii="Times New Roman"/>
                <w:sz w:val="17"/>
              </w:rPr>
            </w:pPr>
          </w:p>
          <w:p>
            <w:pPr>
              <w:pStyle w:val="TableParagraph"/>
              <w:spacing w:before="0"/>
              <w:rPr>
                <w:sz w:val="13"/>
              </w:rPr>
            </w:pPr>
            <w:r>
              <w:rPr>
                <w:color w:val="44546A"/>
                <w:w w:val="105"/>
                <w:sz w:val="13"/>
              </w:rPr>
              <w:t>Esta nota no le aplica al ente público</w:t>
            </w:r>
          </w:p>
        </w:tc>
      </w:tr>
      <w:tr>
        <w:trPr>
          <w:trHeight w:val="296" w:hRule="exact"/>
        </w:trPr>
        <w:tc>
          <w:tcPr>
            <w:tcW w:w="346" w:type="dxa"/>
          </w:tcPr>
          <w:p>
            <w:pPr>
              <w:pStyle w:val="TableParagraph"/>
              <w:spacing w:before="116"/>
              <w:ind w:left="163"/>
              <w:rPr>
                <w:b/>
                <w:sz w:val="13"/>
              </w:rPr>
            </w:pPr>
            <w:r>
              <w:rPr>
                <w:b/>
                <w:w w:val="105"/>
                <w:sz w:val="13"/>
              </w:rPr>
              <w:t>10</w:t>
            </w:r>
          </w:p>
        </w:tc>
        <w:tc>
          <w:tcPr>
            <w:tcW w:w="6889" w:type="dxa"/>
          </w:tcPr>
          <w:p>
            <w:pPr>
              <w:pStyle w:val="TableParagraph"/>
              <w:spacing w:before="116"/>
              <w:ind w:left="28"/>
              <w:rPr>
                <w:b/>
                <w:sz w:val="13"/>
              </w:rPr>
            </w:pPr>
            <w:r>
              <w:rPr>
                <w:b/>
                <w:w w:val="105"/>
                <w:sz w:val="13"/>
              </w:rPr>
              <w:t>Reporte de la Recaudación</w:t>
            </w:r>
          </w:p>
        </w:tc>
        <w:tc>
          <w:tcPr>
            <w:tcW w:w="5491" w:type="dxa"/>
          </w:tcPr>
          <w:p>
            <w:pPr/>
          </w:p>
        </w:tc>
      </w:tr>
      <w:tr>
        <w:trPr>
          <w:trHeight w:val="388" w:hRule="exact"/>
        </w:trPr>
        <w:tc>
          <w:tcPr>
            <w:tcW w:w="346" w:type="dxa"/>
          </w:tcPr>
          <w:p>
            <w:pPr>
              <w:pStyle w:val="TableParagraph"/>
              <w:spacing w:before="14"/>
              <w:rPr>
                <w:sz w:val="13"/>
              </w:rPr>
            </w:pPr>
            <w:r>
              <w:rPr>
                <w:w w:val="105"/>
                <w:sz w:val="13"/>
              </w:rPr>
              <w:t>a)</w:t>
            </w:r>
          </w:p>
        </w:tc>
        <w:tc>
          <w:tcPr>
            <w:tcW w:w="12380" w:type="dxa"/>
            <w:gridSpan w:val="2"/>
          </w:tcPr>
          <w:p>
            <w:pPr>
              <w:pStyle w:val="TableParagraph"/>
              <w:spacing w:before="14"/>
              <w:ind w:left="28"/>
              <w:rPr>
                <w:sz w:val="13"/>
              </w:rPr>
            </w:pPr>
            <w:r>
              <w:rPr>
                <w:w w:val="105"/>
                <w:sz w:val="13"/>
              </w:rPr>
              <w:t>Análisis del comportamiento de la recaudación correspondiente al ente público o cualquier tipo de ingreso, de forma separada los ingresos locales de los  federales.</w:t>
            </w:r>
          </w:p>
        </w:tc>
      </w:tr>
      <w:tr>
        <w:trPr>
          <w:trHeight w:val="194" w:hRule="exact"/>
        </w:trPr>
        <w:tc>
          <w:tcPr>
            <w:tcW w:w="346" w:type="dxa"/>
          </w:tcPr>
          <w:p>
            <w:pPr/>
          </w:p>
        </w:tc>
        <w:tc>
          <w:tcPr>
            <w:tcW w:w="6889" w:type="dxa"/>
            <w:tcBorders>
              <w:top w:val="single" w:sz="11" w:space="0" w:color="000000"/>
              <w:bottom w:val="single" w:sz="11" w:space="0" w:color="000000"/>
              <w:right w:val="single" w:sz="11" w:space="0" w:color="000000"/>
            </w:tcBorders>
          </w:tcPr>
          <w:p>
            <w:pPr>
              <w:pStyle w:val="TableParagraph"/>
              <w:spacing w:line="156" w:lineRule="exact" w:before="0"/>
              <w:ind w:left="2109"/>
              <w:rPr>
                <w:rFonts w:ascii="Calibri"/>
                <w:b/>
                <w:sz w:val="13"/>
              </w:rPr>
            </w:pPr>
            <w:r>
              <w:rPr>
                <w:rFonts w:ascii="Calibri"/>
                <w:b/>
                <w:w w:val="105"/>
                <w:sz w:val="13"/>
              </w:rPr>
              <w:t>MINISTRACIONES ESTATALES</w:t>
            </w:r>
          </w:p>
        </w:tc>
        <w:tc>
          <w:tcPr>
            <w:tcW w:w="5491" w:type="dxa"/>
            <w:tcBorders>
              <w:top w:val="single" w:sz="11" w:space="0" w:color="000000"/>
              <w:left w:val="single" w:sz="11" w:space="0" w:color="000000"/>
              <w:bottom w:val="single" w:sz="11" w:space="0" w:color="000000"/>
            </w:tcBorders>
          </w:tcPr>
          <w:p>
            <w:pPr>
              <w:pStyle w:val="TableParagraph"/>
              <w:spacing w:line="156" w:lineRule="exact" w:before="0"/>
              <w:ind w:left="278"/>
              <w:rPr>
                <w:rFonts w:ascii="Calibri"/>
                <w:b/>
                <w:sz w:val="13"/>
              </w:rPr>
            </w:pPr>
            <w:r>
              <w:rPr>
                <w:rFonts w:ascii="Calibri"/>
                <w:b/>
                <w:w w:val="105"/>
                <w:sz w:val="13"/>
              </w:rPr>
              <w:t>INGRESOS AL 31 DE MARZO</w:t>
            </w:r>
          </w:p>
        </w:tc>
      </w:tr>
    </w:tbl>
    <w:p>
      <w:pPr>
        <w:rPr>
          <w:sz w:val="2"/>
          <w:szCs w:val="2"/>
        </w:rPr>
      </w:pPr>
      <w:r>
        <w:rPr/>
        <w:pict>
          <v:line style="position:absolute;mso-position-horizontal-relative:page;mso-position-vertical-relative:page;z-index:-31360" from="223.638901pt,526.938965pt" to="223.638901pt,537.978965pt" stroked="true" strokeweight="1.32pt" strokecolor="#000000">
            <v:stroke dashstyle="solid"/>
            <w10:wrap type="none"/>
          </v:line>
        </w:pict>
      </w:r>
      <w:r>
        <w:rPr/>
        <w:pict>
          <v:line style="position:absolute;mso-position-horizontal-relative:page;mso-position-vertical-relative:page;z-index:-31336" from="571.398926pt,528.258972pt" to="571.398926pt,537.978972pt" stroked="true" strokeweight="1.32pt" strokecolor="#000000">
            <v:stroke dashstyle="solid"/>
            <w10:wrap type="none"/>
          </v:line>
        </w:pict>
      </w:r>
    </w:p>
    <w:p>
      <w:pPr>
        <w:spacing w:after="0"/>
        <w:rPr>
          <w:sz w:val="2"/>
          <w:szCs w:val="2"/>
        </w:rPr>
        <w:sectPr>
          <w:pgSz w:w="16840" w:h="11910" w:orient="landscape"/>
          <w:pgMar w:top="1100" w:bottom="280" w:left="1940" w:right="1960"/>
        </w:sectPr>
      </w:pPr>
    </w:p>
    <w:p>
      <w:pPr>
        <w:pStyle w:val="Heading2"/>
        <w:spacing w:line="312" w:lineRule="auto" w:before="73"/>
      </w:pPr>
      <w:r>
        <w:rPr>
          <w:w w:val="105"/>
        </w:rPr>
        <w:t>Comisión de Deporte del Estado de Guanajuato Notas a los Estados Financieros</w:t>
      </w:r>
    </w:p>
    <w:p>
      <w:pPr>
        <w:spacing w:before="1"/>
        <w:ind w:left="4690" w:right="4537" w:firstLine="0"/>
        <w:jc w:val="center"/>
        <w:rPr>
          <w:b/>
          <w:sz w:val="13"/>
        </w:rPr>
      </w:pPr>
      <w:r>
        <w:rPr>
          <w:b/>
          <w:w w:val="105"/>
          <w:sz w:val="13"/>
        </w:rPr>
        <w:t>Al 31 de Marzo de 2024</w:t>
      </w:r>
    </w:p>
    <w:p>
      <w:pPr>
        <w:pStyle w:val="BodyText"/>
        <w:spacing w:before="45" w:after="30"/>
        <w:ind w:left="4690" w:right="4537"/>
        <w:jc w:val="center"/>
      </w:pPr>
      <w:r>
        <w:rPr>
          <w:w w:val="105"/>
        </w:rPr>
        <w:t>(Cifras en Pesos)</w:t>
      </w:r>
    </w:p>
    <w:tbl>
      <w:tblPr>
        <w:tblW w:w="0" w:type="auto"/>
        <w:jc w:val="left"/>
        <w:tblInd w:w="2379" w:type="dxa"/>
        <w:tblBorders>
          <w:top w:val="single" w:sz="11" w:space="0" w:color="000000"/>
          <w:left w:val="single" w:sz="11" w:space="0" w:color="000000"/>
          <w:bottom w:val="single" w:sz="11" w:space="0" w:color="000000"/>
          <w:right w:val="single" w:sz="11" w:space="0" w:color="000000"/>
          <w:insideH w:val="single" w:sz="11" w:space="0" w:color="000000"/>
          <w:insideV w:val="single" w:sz="11" w:space="0" w:color="000000"/>
        </w:tblBorders>
        <w:tblLayout w:type="fixed"/>
        <w:tblCellMar>
          <w:top w:w="0" w:type="dxa"/>
          <w:left w:w="0" w:type="dxa"/>
          <w:bottom w:w="0" w:type="dxa"/>
          <w:right w:w="0" w:type="dxa"/>
        </w:tblCellMar>
        <w:tblLook w:val="01E0"/>
      </w:tblPr>
      <w:tblGrid>
        <w:gridCol w:w="4807"/>
        <w:gridCol w:w="2148"/>
      </w:tblGrid>
      <w:tr>
        <w:trPr>
          <w:trHeight w:val="196" w:hRule="exact"/>
        </w:trPr>
        <w:tc>
          <w:tcPr>
            <w:tcW w:w="4807" w:type="dxa"/>
            <w:tcBorders>
              <w:top w:val="nil"/>
            </w:tcBorders>
          </w:tcPr>
          <w:p>
            <w:pPr>
              <w:pStyle w:val="TableParagraph"/>
              <w:spacing w:before="20"/>
              <w:ind w:left="14"/>
              <w:rPr>
                <w:rFonts w:ascii="Calibri"/>
                <w:sz w:val="13"/>
              </w:rPr>
            </w:pPr>
            <w:r>
              <w:rPr>
                <w:rFonts w:ascii="Calibri"/>
                <w:w w:val="105"/>
                <w:sz w:val="13"/>
              </w:rPr>
              <w:t>COSAINCEG</w:t>
            </w:r>
          </w:p>
        </w:tc>
        <w:tc>
          <w:tcPr>
            <w:tcW w:w="2148" w:type="dxa"/>
            <w:tcBorders>
              <w:top w:val="nil"/>
            </w:tcBorders>
          </w:tcPr>
          <w:p>
            <w:pPr>
              <w:pStyle w:val="TableParagraph"/>
              <w:spacing w:before="20"/>
              <w:ind w:left="0" w:right="14"/>
              <w:jc w:val="right"/>
              <w:rPr>
                <w:rFonts w:ascii="Calibri"/>
                <w:sz w:val="13"/>
              </w:rPr>
            </w:pPr>
            <w:r>
              <w:rPr>
                <w:rFonts w:ascii="Calibri"/>
                <w:w w:val="105"/>
                <w:sz w:val="13"/>
              </w:rPr>
              <w:t>37,373,867.25</w:t>
            </w:r>
          </w:p>
        </w:tc>
      </w:tr>
      <w:tr>
        <w:trPr>
          <w:trHeight w:val="194" w:hRule="exact"/>
        </w:trPr>
        <w:tc>
          <w:tcPr>
            <w:tcW w:w="4807" w:type="dxa"/>
          </w:tcPr>
          <w:p>
            <w:pPr>
              <w:pStyle w:val="TableParagraph"/>
              <w:ind w:left="14"/>
              <w:rPr>
                <w:rFonts w:ascii="Calibri"/>
                <w:sz w:val="13"/>
              </w:rPr>
            </w:pPr>
            <w:r>
              <w:rPr>
                <w:rFonts w:ascii="Calibri"/>
                <w:w w:val="105"/>
                <w:sz w:val="13"/>
              </w:rPr>
              <w:t>RECURSOS FISCALES SIN ETIQUETA</w:t>
            </w:r>
          </w:p>
        </w:tc>
        <w:tc>
          <w:tcPr>
            <w:tcW w:w="2148" w:type="dxa"/>
          </w:tcPr>
          <w:p>
            <w:pPr>
              <w:pStyle w:val="TableParagraph"/>
              <w:ind w:left="0" w:right="14"/>
              <w:jc w:val="right"/>
              <w:rPr>
                <w:rFonts w:ascii="Calibri"/>
                <w:sz w:val="13"/>
              </w:rPr>
            </w:pPr>
            <w:r>
              <w:rPr>
                <w:rFonts w:ascii="Calibri"/>
                <w:w w:val="105"/>
                <w:sz w:val="13"/>
              </w:rPr>
              <w:t>86,297,148.92</w:t>
            </w:r>
          </w:p>
        </w:tc>
      </w:tr>
      <w:tr>
        <w:trPr>
          <w:trHeight w:val="194" w:hRule="exact"/>
        </w:trPr>
        <w:tc>
          <w:tcPr>
            <w:tcW w:w="4807" w:type="dxa"/>
          </w:tcPr>
          <w:p>
            <w:pPr>
              <w:pStyle w:val="TableParagraph"/>
              <w:ind w:left="14"/>
              <w:rPr>
                <w:rFonts w:ascii="Calibri"/>
                <w:sz w:val="13"/>
              </w:rPr>
            </w:pPr>
            <w:r>
              <w:rPr>
                <w:rFonts w:ascii="Calibri"/>
                <w:w w:val="105"/>
                <w:sz w:val="13"/>
              </w:rPr>
              <w:t>COSAINCEG</w:t>
            </w:r>
          </w:p>
        </w:tc>
        <w:tc>
          <w:tcPr>
            <w:tcW w:w="2148" w:type="dxa"/>
          </w:tcPr>
          <w:p>
            <w:pPr>
              <w:pStyle w:val="TableParagraph"/>
              <w:ind w:left="0" w:right="14"/>
              <w:jc w:val="right"/>
              <w:rPr>
                <w:rFonts w:ascii="Calibri"/>
                <w:sz w:val="13"/>
              </w:rPr>
            </w:pPr>
            <w:r>
              <w:rPr>
                <w:rFonts w:ascii="Calibri"/>
                <w:w w:val="105"/>
                <w:sz w:val="13"/>
              </w:rPr>
              <w:t>30,801,005.93</w:t>
            </w:r>
          </w:p>
        </w:tc>
      </w:tr>
      <w:tr>
        <w:trPr>
          <w:trHeight w:val="194" w:hRule="exact"/>
        </w:trPr>
        <w:tc>
          <w:tcPr>
            <w:tcW w:w="4807" w:type="dxa"/>
          </w:tcPr>
          <w:p>
            <w:pPr>
              <w:pStyle w:val="TableParagraph"/>
              <w:ind w:left="14"/>
              <w:rPr>
                <w:rFonts w:ascii="Calibri"/>
                <w:sz w:val="13"/>
              </w:rPr>
            </w:pPr>
            <w:r>
              <w:rPr>
                <w:rFonts w:ascii="Calibri"/>
                <w:w w:val="105"/>
                <w:sz w:val="13"/>
              </w:rPr>
              <w:t>DEUDA 2023 BANAMEX SFIA-DP01</w:t>
            </w:r>
          </w:p>
        </w:tc>
        <w:tc>
          <w:tcPr>
            <w:tcW w:w="2148" w:type="dxa"/>
          </w:tcPr>
          <w:p>
            <w:pPr>
              <w:pStyle w:val="TableParagraph"/>
              <w:ind w:left="0" w:right="14"/>
              <w:jc w:val="right"/>
              <w:rPr>
                <w:rFonts w:ascii="Calibri"/>
                <w:sz w:val="13"/>
              </w:rPr>
            </w:pPr>
            <w:r>
              <w:rPr>
                <w:rFonts w:ascii="Calibri"/>
                <w:w w:val="105"/>
                <w:sz w:val="13"/>
              </w:rPr>
              <w:t>28,425,701.61</w:t>
            </w:r>
          </w:p>
        </w:tc>
      </w:tr>
      <w:tr>
        <w:trPr>
          <w:trHeight w:val="194" w:hRule="exact"/>
        </w:trPr>
        <w:tc>
          <w:tcPr>
            <w:tcW w:w="4807" w:type="dxa"/>
          </w:tcPr>
          <w:p>
            <w:pPr>
              <w:pStyle w:val="TableParagraph"/>
              <w:ind w:left="14"/>
              <w:rPr>
                <w:rFonts w:ascii="Calibri"/>
                <w:sz w:val="13"/>
              </w:rPr>
            </w:pPr>
            <w:r>
              <w:rPr>
                <w:rFonts w:ascii="Calibri"/>
                <w:w w:val="105"/>
                <w:sz w:val="13"/>
              </w:rPr>
              <w:t>REC FED SIN ETIQ 2013 ASIG 2024</w:t>
            </w:r>
          </w:p>
        </w:tc>
        <w:tc>
          <w:tcPr>
            <w:tcW w:w="2148" w:type="dxa"/>
          </w:tcPr>
          <w:p>
            <w:pPr>
              <w:pStyle w:val="TableParagraph"/>
              <w:ind w:left="0" w:right="14"/>
              <w:jc w:val="right"/>
              <w:rPr>
                <w:rFonts w:ascii="Calibri"/>
                <w:sz w:val="13"/>
              </w:rPr>
            </w:pPr>
            <w:r>
              <w:rPr>
                <w:rFonts w:ascii="Calibri"/>
                <w:w w:val="105"/>
                <w:sz w:val="13"/>
              </w:rPr>
              <w:t>0.00</w:t>
            </w:r>
          </w:p>
        </w:tc>
      </w:tr>
      <w:tr>
        <w:trPr>
          <w:trHeight w:val="194" w:hRule="exact"/>
        </w:trPr>
        <w:tc>
          <w:tcPr>
            <w:tcW w:w="4807" w:type="dxa"/>
          </w:tcPr>
          <w:p>
            <w:pPr>
              <w:pStyle w:val="TableParagraph"/>
              <w:ind w:left="14"/>
              <w:rPr>
                <w:rFonts w:ascii="Calibri"/>
                <w:sz w:val="13"/>
              </w:rPr>
            </w:pPr>
            <w:r>
              <w:rPr>
                <w:rFonts w:ascii="Calibri"/>
                <w:w w:val="105"/>
                <w:sz w:val="13"/>
              </w:rPr>
              <w:t>REC FED SIN ETIQ 2014 ASIG 2024</w:t>
            </w:r>
          </w:p>
        </w:tc>
        <w:tc>
          <w:tcPr>
            <w:tcW w:w="2148" w:type="dxa"/>
          </w:tcPr>
          <w:p>
            <w:pPr>
              <w:pStyle w:val="TableParagraph"/>
              <w:ind w:left="0" w:right="14"/>
              <w:jc w:val="right"/>
              <w:rPr>
                <w:rFonts w:ascii="Calibri"/>
                <w:sz w:val="13"/>
              </w:rPr>
            </w:pPr>
            <w:r>
              <w:rPr>
                <w:rFonts w:ascii="Calibri"/>
                <w:w w:val="105"/>
                <w:sz w:val="13"/>
              </w:rPr>
              <w:t>0.00</w:t>
            </w:r>
          </w:p>
        </w:tc>
      </w:tr>
      <w:tr>
        <w:trPr>
          <w:trHeight w:val="194" w:hRule="exact"/>
        </w:trPr>
        <w:tc>
          <w:tcPr>
            <w:tcW w:w="4807" w:type="dxa"/>
          </w:tcPr>
          <w:p>
            <w:pPr>
              <w:pStyle w:val="TableParagraph"/>
              <w:ind w:left="14"/>
              <w:rPr>
                <w:rFonts w:ascii="Calibri"/>
                <w:sz w:val="13"/>
              </w:rPr>
            </w:pPr>
            <w:r>
              <w:rPr>
                <w:rFonts w:ascii="Calibri"/>
                <w:w w:val="105"/>
                <w:sz w:val="13"/>
              </w:rPr>
              <w:t>REC FED SIN ETIQ 2015 ASIG 2024</w:t>
            </w:r>
          </w:p>
        </w:tc>
        <w:tc>
          <w:tcPr>
            <w:tcW w:w="2148" w:type="dxa"/>
          </w:tcPr>
          <w:p>
            <w:pPr>
              <w:pStyle w:val="TableParagraph"/>
              <w:ind w:left="0" w:right="14"/>
              <w:jc w:val="right"/>
              <w:rPr>
                <w:rFonts w:ascii="Calibri"/>
                <w:sz w:val="13"/>
              </w:rPr>
            </w:pPr>
            <w:r>
              <w:rPr>
                <w:rFonts w:ascii="Calibri"/>
                <w:w w:val="105"/>
                <w:sz w:val="13"/>
              </w:rPr>
              <w:t>0.00</w:t>
            </w:r>
          </w:p>
        </w:tc>
      </w:tr>
      <w:tr>
        <w:trPr>
          <w:trHeight w:val="194" w:hRule="exact"/>
        </w:trPr>
        <w:tc>
          <w:tcPr>
            <w:tcW w:w="4807" w:type="dxa"/>
          </w:tcPr>
          <w:p>
            <w:pPr>
              <w:pStyle w:val="TableParagraph"/>
              <w:ind w:left="14"/>
              <w:rPr>
                <w:rFonts w:ascii="Calibri"/>
                <w:sz w:val="13"/>
              </w:rPr>
            </w:pPr>
            <w:r>
              <w:rPr>
                <w:rFonts w:ascii="Calibri"/>
                <w:w w:val="105"/>
                <w:sz w:val="13"/>
              </w:rPr>
              <w:t>REC FED SIN ETIQ 2016 ASIG 2024</w:t>
            </w:r>
          </w:p>
        </w:tc>
        <w:tc>
          <w:tcPr>
            <w:tcW w:w="2148" w:type="dxa"/>
          </w:tcPr>
          <w:p>
            <w:pPr>
              <w:pStyle w:val="TableParagraph"/>
              <w:ind w:left="0" w:right="14"/>
              <w:jc w:val="right"/>
              <w:rPr>
                <w:rFonts w:ascii="Calibri"/>
                <w:sz w:val="13"/>
              </w:rPr>
            </w:pPr>
            <w:r>
              <w:rPr>
                <w:rFonts w:ascii="Calibri"/>
                <w:w w:val="105"/>
                <w:sz w:val="13"/>
              </w:rPr>
              <w:t>0.00</w:t>
            </w:r>
          </w:p>
        </w:tc>
      </w:tr>
      <w:tr>
        <w:trPr>
          <w:trHeight w:val="194" w:hRule="exact"/>
        </w:trPr>
        <w:tc>
          <w:tcPr>
            <w:tcW w:w="4807" w:type="dxa"/>
          </w:tcPr>
          <w:p>
            <w:pPr>
              <w:pStyle w:val="TableParagraph"/>
              <w:ind w:left="14"/>
              <w:rPr>
                <w:rFonts w:ascii="Calibri"/>
                <w:sz w:val="13"/>
              </w:rPr>
            </w:pPr>
            <w:r>
              <w:rPr>
                <w:rFonts w:ascii="Calibri"/>
                <w:w w:val="105"/>
                <w:sz w:val="13"/>
              </w:rPr>
              <w:t>REC FED SIN ETIQ 2017 ASIG 2024</w:t>
            </w:r>
          </w:p>
        </w:tc>
        <w:tc>
          <w:tcPr>
            <w:tcW w:w="2148" w:type="dxa"/>
          </w:tcPr>
          <w:p>
            <w:pPr>
              <w:pStyle w:val="TableParagraph"/>
              <w:ind w:left="0" w:right="14"/>
              <w:jc w:val="right"/>
              <w:rPr>
                <w:rFonts w:ascii="Calibri"/>
                <w:sz w:val="13"/>
              </w:rPr>
            </w:pPr>
            <w:r>
              <w:rPr>
                <w:rFonts w:ascii="Calibri"/>
                <w:w w:val="105"/>
                <w:sz w:val="13"/>
              </w:rPr>
              <w:t>0.00</w:t>
            </w:r>
          </w:p>
        </w:tc>
      </w:tr>
      <w:tr>
        <w:trPr>
          <w:trHeight w:val="194" w:hRule="exact"/>
        </w:trPr>
        <w:tc>
          <w:tcPr>
            <w:tcW w:w="4807" w:type="dxa"/>
          </w:tcPr>
          <w:p>
            <w:pPr>
              <w:pStyle w:val="TableParagraph"/>
              <w:ind w:left="14"/>
              <w:rPr>
                <w:rFonts w:ascii="Calibri"/>
                <w:sz w:val="13"/>
              </w:rPr>
            </w:pPr>
            <w:r>
              <w:rPr>
                <w:rFonts w:ascii="Calibri"/>
                <w:w w:val="105"/>
                <w:sz w:val="13"/>
              </w:rPr>
              <w:t>REC FED SIN ETIQ 2018 ASIG 2024</w:t>
            </w:r>
          </w:p>
        </w:tc>
        <w:tc>
          <w:tcPr>
            <w:tcW w:w="2148" w:type="dxa"/>
          </w:tcPr>
          <w:p>
            <w:pPr>
              <w:pStyle w:val="TableParagraph"/>
              <w:ind w:left="0" w:right="14"/>
              <w:jc w:val="right"/>
              <w:rPr>
                <w:rFonts w:ascii="Calibri"/>
                <w:sz w:val="13"/>
              </w:rPr>
            </w:pPr>
            <w:r>
              <w:rPr>
                <w:rFonts w:ascii="Calibri"/>
                <w:w w:val="105"/>
                <w:sz w:val="13"/>
              </w:rPr>
              <w:t>0.00</w:t>
            </w:r>
          </w:p>
        </w:tc>
      </w:tr>
      <w:tr>
        <w:trPr>
          <w:trHeight w:val="194" w:hRule="exact"/>
        </w:trPr>
        <w:tc>
          <w:tcPr>
            <w:tcW w:w="4807" w:type="dxa"/>
          </w:tcPr>
          <w:p>
            <w:pPr>
              <w:pStyle w:val="TableParagraph"/>
              <w:ind w:left="14"/>
              <w:rPr>
                <w:rFonts w:ascii="Calibri"/>
                <w:sz w:val="13"/>
              </w:rPr>
            </w:pPr>
            <w:r>
              <w:rPr>
                <w:rFonts w:ascii="Calibri"/>
                <w:w w:val="105"/>
                <w:sz w:val="13"/>
              </w:rPr>
              <w:t>REC FED SIN ETIQ 2019 ASIG 2024</w:t>
            </w:r>
          </w:p>
        </w:tc>
        <w:tc>
          <w:tcPr>
            <w:tcW w:w="2148" w:type="dxa"/>
          </w:tcPr>
          <w:p>
            <w:pPr>
              <w:pStyle w:val="TableParagraph"/>
              <w:ind w:left="0" w:right="14"/>
              <w:jc w:val="right"/>
              <w:rPr>
                <w:rFonts w:ascii="Calibri"/>
                <w:sz w:val="13"/>
              </w:rPr>
            </w:pPr>
            <w:r>
              <w:rPr>
                <w:rFonts w:ascii="Calibri"/>
                <w:w w:val="105"/>
                <w:sz w:val="13"/>
              </w:rPr>
              <w:t>0.00</w:t>
            </w:r>
          </w:p>
        </w:tc>
      </w:tr>
      <w:tr>
        <w:trPr>
          <w:trHeight w:val="194" w:hRule="exact"/>
        </w:trPr>
        <w:tc>
          <w:tcPr>
            <w:tcW w:w="4807" w:type="dxa"/>
          </w:tcPr>
          <w:p>
            <w:pPr>
              <w:pStyle w:val="TableParagraph"/>
              <w:ind w:left="14"/>
              <w:rPr>
                <w:rFonts w:ascii="Calibri"/>
                <w:sz w:val="13"/>
              </w:rPr>
            </w:pPr>
            <w:r>
              <w:rPr>
                <w:rFonts w:ascii="Calibri"/>
                <w:w w:val="105"/>
                <w:sz w:val="13"/>
              </w:rPr>
              <w:t>REC FED SIN ETIQ 2020 ASIG 2024</w:t>
            </w:r>
          </w:p>
        </w:tc>
        <w:tc>
          <w:tcPr>
            <w:tcW w:w="2148" w:type="dxa"/>
          </w:tcPr>
          <w:p>
            <w:pPr>
              <w:pStyle w:val="TableParagraph"/>
              <w:ind w:left="0" w:right="14"/>
              <w:jc w:val="right"/>
              <w:rPr>
                <w:rFonts w:ascii="Calibri"/>
                <w:sz w:val="13"/>
              </w:rPr>
            </w:pPr>
            <w:r>
              <w:rPr>
                <w:rFonts w:ascii="Calibri"/>
                <w:w w:val="105"/>
                <w:sz w:val="13"/>
              </w:rPr>
              <w:t>0.00</w:t>
            </w:r>
          </w:p>
        </w:tc>
      </w:tr>
      <w:tr>
        <w:trPr>
          <w:trHeight w:val="194" w:hRule="exact"/>
        </w:trPr>
        <w:tc>
          <w:tcPr>
            <w:tcW w:w="4807" w:type="dxa"/>
          </w:tcPr>
          <w:p>
            <w:pPr>
              <w:pStyle w:val="TableParagraph"/>
              <w:ind w:left="14"/>
              <w:rPr>
                <w:rFonts w:ascii="Calibri"/>
                <w:sz w:val="13"/>
              </w:rPr>
            </w:pPr>
            <w:r>
              <w:rPr>
                <w:rFonts w:ascii="Calibri"/>
                <w:w w:val="105"/>
                <w:sz w:val="13"/>
              </w:rPr>
              <w:t>REC FED SIN ETIQ 2021 ASIG 2024</w:t>
            </w:r>
          </w:p>
        </w:tc>
        <w:tc>
          <w:tcPr>
            <w:tcW w:w="2148" w:type="dxa"/>
          </w:tcPr>
          <w:p>
            <w:pPr>
              <w:pStyle w:val="TableParagraph"/>
              <w:ind w:left="0" w:right="14"/>
              <w:jc w:val="right"/>
              <w:rPr>
                <w:rFonts w:ascii="Calibri"/>
                <w:sz w:val="13"/>
              </w:rPr>
            </w:pPr>
            <w:r>
              <w:rPr>
                <w:rFonts w:ascii="Calibri"/>
                <w:w w:val="105"/>
                <w:sz w:val="13"/>
              </w:rPr>
              <w:t>19,299,075.26</w:t>
            </w:r>
          </w:p>
        </w:tc>
      </w:tr>
      <w:tr>
        <w:trPr>
          <w:trHeight w:val="194" w:hRule="exact"/>
        </w:trPr>
        <w:tc>
          <w:tcPr>
            <w:tcW w:w="4807" w:type="dxa"/>
          </w:tcPr>
          <w:p>
            <w:pPr>
              <w:pStyle w:val="TableParagraph"/>
              <w:ind w:left="14"/>
              <w:rPr>
                <w:rFonts w:ascii="Calibri"/>
                <w:sz w:val="13"/>
              </w:rPr>
            </w:pPr>
            <w:r>
              <w:rPr>
                <w:rFonts w:ascii="Calibri"/>
                <w:w w:val="105"/>
                <w:sz w:val="13"/>
              </w:rPr>
              <w:t>REC FED SIN ETIQ 2022 ASIG 2023</w:t>
            </w:r>
          </w:p>
        </w:tc>
        <w:tc>
          <w:tcPr>
            <w:tcW w:w="2148" w:type="dxa"/>
          </w:tcPr>
          <w:p>
            <w:pPr>
              <w:pStyle w:val="TableParagraph"/>
              <w:ind w:left="0" w:right="14"/>
              <w:jc w:val="right"/>
              <w:rPr>
                <w:rFonts w:ascii="Calibri"/>
                <w:sz w:val="13"/>
              </w:rPr>
            </w:pPr>
            <w:r>
              <w:rPr>
                <w:rFonts w:ascii="Calibri"/>
                <w:w w:val="105"/>
                <w:sz w:val="13"/>
              </w:rPr>
              <w:t>14,405,602.39</w:t>
            </w:r>
          </w:p>
        </w:tc>
      </w:tr>
      <w:tr>
        <w:trPr>
          <w:trHeight w:val="194" w:hRule="exact"/>
        </w:trPr>
        <w:tc>
          <w:tcPr>
            <w:tcW w:w="4807" w:type="dxa"/>
          </w:tcPr>
          <w:p>
            <w:pPr>
              <w:pStyle w:val="TableParagraph"/>
              <w:ind w:left="14"/>
              <w:rPr>
                <w:rFonts w:ascii="Calibri"/>
                <w:sz w:val="13"/>
              </w:rPr>
            </w:pPr>
            <w:r>
              <w:rPr>
                <w:rFonts w:ascii="Calibri"/>
                <w:w w:val="105"/>
                <w:sz w:val="13"/>
              </w:rPr>
              <w:t>REC FED SIN ETIQ 2022 ASIG 2024</w:t>
            </w:r>
          </w:p>
        </w:tc>
        <w:tc>
          <w:tcPr>
            <w:tcW w:w="2148" w:type="dxa"/>
          </w:tcPr>
          <w:p>
            <w:pPr>
              <w:pStyle w:val="TableParagraph"/>
              <w:ind w:left="0" w:right="14"/>
              <w:jc w:val="right"/>
              <w:rPr>
                <w:rFonts w:ascii="Calibri"/>
                <w:sz w:val="13"/>
              </w:rPr>
            </w:pPr>
            <w:r>
              <w:rPr>
                <w:rFonts w:ascii="Calibri"/>
                <w:w w:val="105"/>
                <w:sz w:val="13"/>
              </w:rPr>
              <w:t>106,314.06</w:t>
            </w:r>
          </w:p>
        </w:tc>
      </w:tr>
      <w:tr>
        <w:trPr>
          <w:trHeight w:val="194" w:hRule="exact"/>
        </w:trPr>
        <w:tc>
          <w:tcPr>
            <w:tcW w:w="4807" w:type="dxa"/>
          </w:tcPr>
          <w:p>
            <w:pPr>
              <w:pStyle w:val="TableParagraph"/>
              <w:ind w:left="14"/>
              <w:rPr>
                <w:rFonts w:ascii="Calibri"/>
                <w:sz w:val="13"/>
              </w:rPr>
            </w:pPr>
            <w:r>
              <w:rPr>
                <w:rFonts w:ascii="Calibri"/>
                <w:w w:val="105"/>
                <w:sz w:val="13"/>
              </w:rPr>
              <w:t>REC FED SIN ETIQ 2023 ASIG 2024</w:t>
            </w:r>
          </w:p>
        </w:tc>
        <w:tc>
          <w:tcPr>
            <w:tcW w:w="2148" w:type="dxa"/>
          </w:tcPr>
          <w:p>
            <w:pPr>
              <w:pStyle w:val="TableParagraph"/>
              <w:ind w:left="0" w:right="14"/>
              <w:jc w:val="right"/>
              <w:rPr>
                <w:rFonts w:ascii="Calibri"/>
                <w:sz w:val="13"/>
              </w:rPr>
            </w:pPr>
            <w:r>
              <w:rPr>
                <w:rFonts w:ascii="Calibri"/>
                <w:w w:val="105"/>
                <w:sz w:val="13"/>
              </w:rPr>
              <w:t>12,635,462.68</w:t>
            </w:r>
          </w:p>
        </w:tc>
      </w:tr>
      <w:tr>
        <w:trPr>
          <w:trHeight w:val="194" w:hRule="exact"/>
        </w:trPr>
        <w:tc>
          <w:tcPr>
            <w:tcW w:w="4807" w:type="dxa"/>
          </w:tcPr>
          <w:p>
            <w:pPr>
              <w:pStyle w:val="TableParagraph"/>
              <w:ind w:left="14"/>
              <w:rPr>
                <w:rFonts w:ascii="Calibri"/>
                <w:sz w:val="13"/>
              </w:rPr>
            </w:pPr>
            <w:r>
              <w:rPr>
                <w:rFonts w:ascii="Calibri"/>
                <w:w w:val="105"/>
                <w:sz w:val="13"/>
              </w:rPr>
              <w:t>RECURSOS FEDERALES SIN ETIQUETA</w:t>
            </w:r>
          </w:p>
        </w:tc>
        <w:tc>
          <w:tcPr>
            <w:tcW w:w="2148" w:type="dxa"/>
          </w:tcPr>
          <w:p>
            <w:pPr>
              <w:pStyle w:val="TableParagraph"/>
              <w:ind w:left="0" w:right="14"/>
              <w:jc w:val="right"/>
              <w:rPr>
                <w:rFonts w:ascii="Calibri"/>
                <w:sz w:val="13"/>
              </w:rPr>
            </w:pPr>
            <w:r>
              <w:rPr>
                <w:rFonts w:ascii="Calibri"/>
                <w:w w:val="105"/>
                <w:sz w:val="13"/>
              </w:rPr>
              <w:t>30,897,883.39</w:t>
            </w:r>
          </w:p>
        </w:tc>
      </w:tr>
      <w:tr>
        <w:trPr>
          <w:trHeight w:val="194" w:hRule="exact"/>
        </w:trPr>
        <w:tc>
          <w:tcPr>
            <w:tcW w:w="4807" w:type="dxa"/>
          </w:tcPr>
          <w:p>
            <w:pPr>
              <w:pStyle w:val="TableParagraph"/>
              <w:ind w:left="14"/>
              <w:rPr>
                <w:rFonts w:ascii="Calibri"/>
                <w:b/>
                <w:sz w:val="13"/>
              </w:rPr>
            </w:pPr>
            <w:r>
              <w:rPr>
                <w:rFonts w:ascii="Calibri"/>
                <w:b/>
                <w:w w:val="105"/>
                <w:sz w:val="13"/>
              </w:rPr>
              <w:t>TOTAL</w:t>
            </w:r>
          </w:p>
        </w:tc>
        <w:tc>
          <w:tcPr>
            <w:tcW w:w="2148" w:type="dxa"/>
          </w:tcPr>
          <w:p>
            <w:pPr>
              <w:pStyle w:val="TableParagraph"/>
              <w:ind w:left="0" w:right="14"/>
              <w:jc w:val="right"/>
              <w:rPr>
                <w:rFonts w:ascii="Calibri"/>
                <w:b/>
                <w:sz w:val="13"/>
              </w:rPr>
            </w:pPr>
            <w:r>
              <w:rPr>
                <w:rFonts w:ascii="Calibri"/>
                <w:b/>
                <w:w w:val="105"/>
                <w:sz w:val="13"/>
              </w:rPr>
              <w:t>260,242,061.49</w:t>
            </w:r>
          </w:p>
        </w:tc>
      </w:tr>
      <w:tr>
        <w:trPr>
          <w:trHeight w:val="194" w:hRule="exact"/>
        </w:trPr>
        <w:tc>
          <w:tcPr>
            <w:tcW w:w="4807" w:type="dxa"/>
          </w:tcPr>
          <w:p>
            <w:pPr/>
          </w:p>
        </w:tc>
        <w:tc>
          <w:tcPr>
            <w:tcW w:w="2148" w:type="dxa"/>
          </w:tcPr>
          <w:p>
            <w:pPr/>
          </w:p>
        </w:tc>
      </w:tr>
      <w:tr>
        <w:trPr>
          <w:trHeight w:val="194" w:hRule="exact"/>
        </w:trPr>
        <w:tc>
          <w:tcPr>
            <w:tcW w:w="4807" w:type="dxa"/>
          </w:tcPr>
          <w:p>
            <w:pPr>
              <w:pStyle w:val="TableParagraph"/>
              <w:ind w:left="14"/>
              <w:rPr>
                <w:rFonts w:ascii="Calibri"/>
                <w:b/>
                <w:sz w:val="13"/>
              </w:rPr>
            </w:pPr>
            <w:r>
              <w:rPr>
                <w:rFonts w:ascii="Calibri"/>
                <w:b/>
                <w:w w:val="105"/>
                <w:sz w:val="13"/>
              </w:rPr>
              <w:t>RECURSOS PROPIOS</w:t>
            </w:r>
          </w:p>
        </w:tc>
        <w:tc>
          <w:tcPr>
            <w:tcW w:w="2148" w:type="dxa"/>
          </w:tcPr>
          <w:p>
            <w:pPr>
              <w:pStyle w:val="TableParagraph"/>
              <w:ind w:left="278"/>
              <w:rPr>
                <w:rFonts w:ascii="Calibri"/>
                <w:b/>
                <w:sz w:val="13"/>
              </w:rPr>
            </w:pPr>
            <w:r>
              <w:rPr>
                <w:rFonts w:ascii="Calibri"/>
                <w:b/>
                <w:w w:val="105"/>
                <w:sz w:val="13"/>
              </w:rPr>
              <w:t>INGRESOS AL 31 DE MARZO</w:t>
            </w:r>
          </w:p>
        </w:tc>
      </w:tr>
      <w:tr>
        <w:trPr>
          <w:trHeight w:val="194" w:hRule="exact"/>
        </w:trPr>
        <w:tc>
          <w:tcPr>
            <w:tcW w:w="4807" w:type="dxa"/>
          </w:tcPr>
          <w:p>
            <w:pPr>
              <w:pStyle w:val="TableParagraph"/>
              <w:ind w:left="14"/>
              <w:rPr>
                <w:rFonts w:ascii="Calibri"/>
                <w:sz w:val="13"/>
              </w:rPr>
            </w:pPr>
            <w:r>
              <w:rPr>
                <w:rFonts w:ascii="Calibri"/>
                <w:w w:val="105"/>
                <w:sz w:val="13"/>
              </w:rPr>
              <w:t>CURSOS OTROS</w:t>
            </w:r>
          </w:p>
        </w:tc>
        <w:tc>
          <w:tcPr>
            <w:tcW w:w="2148" w:type="dxa"/>
          </w:tcPr>
          <w:p>
            <w:pPr>
              <w:pStyle w:val="TableParagraph"/>
              <w:ind w:left="0" w:right="14"/>
              <w:jc w:val="right"/>
              <w:rPr>
                <w:rFonts w:ascii="Calibri"/>
                <w:sz w:val="13"/>
              </w:rPr>
            </w:pPr>
            <w:r>
              <w:rPr>
                <w:rFonts w:ascii="Calibri"/>
                <w:w w:val="105"/>
                <w:sz w:val="13"/>
              </w:rPr>
              <w:t>0.00</w:t>
            </w:r>
          </w:p>
        </w:tc>
      </w:tr>
      <w:tr>
        <w:trPr>
          <w:trHeight w:val="194" w:hRule="exact"/>
        </w:trPr>
        <w:tc>
          <w:tcPr>
            <w:tcW w:w="4807" w:type="dxa"/>
          </w:tcPr>
          <w:p>
            <w:pPr>
              <w:pStyle w:val="TableParagraph"/>
              <w:ind w:left="14"/>
              <w:rPr>
                <w:rFonts w:ascii="Calibri"/>
                <w:sz w:val="13"/>
              </w:rPr>
            </w:pPr>
            <w:r>
              <w:rPr>
                <w:rFonts w:ascii="Calibri"/>
                <w:w w:val="105"/>
                <w:sz w:val="13"/>
              </w:rPr>
              <w:t>PATROCINIOS</w:t>
            </w:r>
          </w:p>
        </w:tc>
        <w:tc>
          <w:tcPr>
            <w:tcW w:w="2148" w:type="dxa"/>
          </w:tcPr>
          <w:p>
            <w:pPr>
              <w:pStyle w:val="TableParagraph"/>
              <w:ind w:left="0" w:right="14"/>
              <w:jc w:val="right"/>
              <w:rPr>
                <w:rFonts w:ascii="Calibri"/>
                <w:sz w:val="13"/>
              </w:rPr>
            </w:pPr>
            <w:r>
              <w:rPr>
                <w:rFonts w:ascii="Calibri"/>
                <w:w w:val="105"/>
                <w:sz w:val="13"/>
              </w:rPr>
              <w:t>0.00</w:t>
            </w:r>
          </w:p>
        </w:tc>
      </w:tr>
      <w:tr>
        <w:trPr>
          <w:trHeight w:val="194" w:hRule="exact"/>
        </w:trPr>
        <w:tc>
          <w:tcPr>
            <w:tcW w:w="4807" w:type="dxa"/>
          </w:tcPr>
          <w:p>
            <w:pPr>
              <w:pStyle w:val="TableParagraph"/>
              <w:ind w:left="14"/>
              <w:rPr>
                <w:rFonts w:ascii="Calibri"/>
                <w:sz w:val="13"/>
              </w:rPr>
            </w:pPr>
            <w:r>
              <w:rPr>
                <w:rFonts w:ascii="Calibri"/>
                <w:w w:val="105"/>
                <w:sz w:val="13"/>
              </w:rPr>
              <w:t>CONGRESOS DEPORTIVOS</w:t>
            </w:r>
          </w:p>
        </w:tc>
        <w:tc>
          <w:tcPr>
            <w:tcW w:w="2148" w:type="dxa"/>
          </w:tcPr>
          <w:p>
            <w:pPr>
              <w:pStyle w:val="TableParagraph"/>
              <w:ind w:left="0" w:right="14"/>
              <w:jc w:val="right"/>
              <w:rPr>
                <w:rFonts w:ascii="Calibri"/>
                <w:sz w:val="13"/>
              </w:rPr>
            </w:pPr>
            <w:r>
              <w:rPr>
                <w:rFonts w:ascii="Calibri"/>
                <w:w w:val="105"/>
                <w:sz w:val="13"/>
              </w:rPr>
              <w:t>0.00</w:t>
            </w:r>
          </w:p>
        </w:tc>
      </w:tr>
      <w:tr>
        <w:trPr>
          <w:trHeight w:val="194" w:hRule="exact"/>
        </w:trPr>
        <w:tc>
          <w:tcPr>
            <w:tcW w:w="4807" w:type="dxa"/>
          </w:tcPr>
          <w:p>
            <w:pPr>
              <w:pStyle w:val="TableParagraph"/>
              <w:ind w:left="14"/>
              <w:rPr>
                <w:rFonts w:ascii="Calibri"/>
                <w:sz w:val="13"/>
              </w:rPr>
            </w:pPr>
            <w:r>
              <w:rPr>
                <w:rFonts w:ascii="Calibri"/>
                <w:w w:val="105"/>
                <w:sz w:val="13"/>
              </w:rPr>
              <w:t>EVENTOS ESPECIALES</w:t>
            </w:r>
          </w:p>
        </w:tc>
        <w:tc>
          <w:tcPr>
            <w:tcW w:w="2148" w:type="dxa"/>
          </w:tcPr>
          <w:p>
            <w:pPr>
              <w:pStyle w:val="TableParagraph"/>
              <w:ind w:left="0" w:right="14"/>
              <w:jc w:val="right"/>
              <w:rPr>
                <w:rFonts w:ascii="Calibri"/>
                <w:sz w:val="13"/>
              </w:rPr>
            </w:pPr>
            <w:r>
              <w:rPr>
                <w:rFonts w:ascii="Calibri"/>
                <w:w w:val="105"/>
                <w:sz w:val="13"/>
              </w:rPr>
              <w:t>101,000.00</w:t>
            </w:r>
          </w:p>
        </w:tc>
      </w:tr>
      <w:tr>
        <w:trPr>
          <w:trHeight w:val="194" w:hRule="exact"/>
        </w:trPr>
        <w:tc>
          <w:tcPr>
            <w:tcW w:w="4807" w:type="dxa"/>
          </w:tcPr>
          <w:p>
            <w:pPr>
              <w:pStyle w:val="TableParagraph"/>
              <w:ind w:left="14"/>
              <w:rPr>
                <w:rFonts w:ascii="Calibri"/>
                <w:sz w:val="13"/>
              </w:rPr>
            </w:pPr>
            <w:r>
              <w:rPr>
                <w:rFonts w:ascii="Calibri"/>
                <w:w w:val="105"/>
                <w:sz w:val="13"/>
              </w:rPr>
              <w:t>INTERESES NORMALES R</w:t>
            </w:r>
          </w:p>
        </w:tc>
        <w:tc>
          <w:tcPr>
            <w:tcW w:w="2148" w:type="dxa"/>
          </w:tcPr>
          <w:p>
            <w:pPr>
              <w:pStyle w:val="TableParagraph"/>
              <w:ind w:left="0" w:right="14"/>
              <w:jc w:val="right"/>
              <w:rPr>
                <w:rFonts w:ascii="Calibri"/>
                <w:sz w:val="13"/>
              </w:rPr>
            </w:pPr>
            <w:r>
              <w:rPr>
                <w:rFonts w:ascii="Calibri"/>
                <w:w w:val="105"/>
                <w:sz w:val="13"/>
              </w:rPr>
              <w:t>1,315,324.05</w:t>
            </w:r>
          </w:p>
        </w:tc>
      </w:tr>
      <w:tr>
        <w:trPr>
          <w:trHeight w:val="194" w:hRule="exact"/>
        </w:trPr>
        <w:tc>
          <w:tcPr>
            <w:tcW w:w="4807" w:type="dxa"/>
          </w:tcPr>
          <w:p>
            <w:pPr>
              <w:pStyle w:val="TableParagraph"/>
              <w:ind w:left="14"/>
              <w:rPr>
                <w:rFonts w:ascii="Calibri"/>
                <w:sz w:val="13"/>
              </w:rPr>
            </w:pPr>
            <w:r>
              <w:rPr>
                <w:rFonts w:ascii="Calibri"/>
                <w:w w:val="105"/>
                <w:sz w:val="13"/>
              </w:rPr>
              <w:t>SISTEMA DE CAP. Y CE</w:t>
            </w:r>
          </w:p>
        </w:tc>
        <w:tc>
          <w:tcPr>
            <w:tcW w:w="2148" w:type="dxa"/>
          </w:tcPr>
          <w:p>
            <w:pPr>
              <w:pStyle w:val="TableParagraph"/>
              <w:ind w:left="0" w:right="14"/>
              <w:jc w:val="right"/>
              <w:rPr>
                <w:rFonts w:ascii="Calibri"/>
                <w:sz w:val="13"/>
              </w:rPr>
            </w:pPr>
            <w:r>
              <w:rPr>
                <w:rFonts w:ascii="Calibri"/>
                <w:w w:val="105"/>
                <w:sz w:val="13"/>
              </w:rPr>
              <w:t>45,858.00</w:t>
            </w:r>
          </w:p>
        </w:tc>
      </w:tr>
      <w:tr>
        <w:trPr>
          <w:trHeight w:val="194" w:hRule="exact"/>
        </w:trPr>
        <w:tc>
          <w:tcPr>
            <w:tcW w:w="4807" w:type="dxa"/>
          </w:tcPr>
          <w:p>
            <w:pPr>
              <w:pStyle w:val="TableParagraph"/>
              <w:ind w:left="14"/>
              <w:rPr>
                <w:rFonts w:ascii="Calibri"/>
                <w:sz w:val="13"/>
              </w:rPr>
            </w:pPr>
            <w:r>
              <w:rPr>
                <w:rFonts w:ascii="Calibri"/>
                <w:w w:val="105"/>
                <w:sz w:val="13"/>
              </w:rPr>
              <w:t>SERVICIOS MEDICOS Y</w:t>
            </w:r>
          </w:p>
        </w:tc>
        <w:tc>
          <w:tcPr>
            <w:tcW w:w="2148" w:type="dxa"/>
          </w:tcPr>
          <w:p>
            <w:pPr>
              <w:pStyle w:val="TableParagraph"/>
              <w:ind w:left="0" w:right="14"/>
              <w:jc w:val="right"/>
              <w:rPr>
                <w:rFonts w:ascii="Calibri"/>
                <w:sz w:val="13"/>
              </w:rPr>
            </w:pPr>
            <w:r>
              <w:rPr>
                <w:rFonts w:ascii="Calibri"/>
                <w:w w:val="105"/>
                <w:sz w:val="13"/>
              </w:rPr>
              <w:t>232,840.00</w:t>
            </w:r>
          </w:p>
        </w:tc>
      </w:tr>
      <w:tr>
        <w:trPr>
          <w:trHeight w:val="194" w:hRule="exact"/>
        </w:trPr>
        <w:tc>
          <w:tcPr>
            <w:tcW w:w="4807" w:type="dxa"/>
          </w:tcPr>
          <w:p>
            <w:pPr>
              <w:pStyle w:val="TableParagraph"/>
              <w:ind w:left="14"/>
              <w:rPr>
                <w:rFonts w:ascii="Calibri"/>
                <w:sz w:val="13"/>
              </w:rPr>
            </w:pPr>
            <w:r>
              <w:rPr>
                <w:rFonts w:ascii="Calibri"/>
                <w:w w:val="105"/>
                <w:sz w:val="13"/>
              </w:rPr>
              <w:t>CUOTAS CENTRO ACUTICO</w:t>
            </w:r>
          </w:p>
        </w:tc>
        <w:tc>
          <w:tcPr>
            <w:tcW w:w="2148" w:type="dxa"/>
          </w:tcPr>
          <w:p>
            <w:pPr>
              <w:pStyle w:val="TableParagraph"/>
              <w:ind w:left="0" w:right="14"/>
              <w:jc w:val="right"/>
              <w:rPr>
                <w:rFonts w:ascii="Calibri"/>
                <w:sz w:val="13"/>
              </w:rPr>
            </w:pPr>
            <w:r>
              <w:rPr>
                <w:rFonts w:ascii="Calibri"/>
                <w:w w:val="105"/>
                <w:sz w:val="13"/>
              </w:rPr>
              <w:t>5,542,462.98</w:t>
            </w:r>
          </w:p>
        </w:tc>
      </w:tr>
      <w:tr>
        <w:trPr>
          <w:trHeight w:val="194" w:hRule="exact"/>
        </w:trPr>
        <w:tc>
          <w:tcPr>
            <w:tcW w:w="4807" w:type="dxa"/>
          </w:tcPr>
          <w:p>
            <w:pPr>
              <w:pStyle w:val="TableParagraph"/>
              <w:ind w:left="14"/>
              <w:rPr>
                <w:rFonts w:ascii="Calibri"/>
                <w:sz w:val="13"/>
              </w:rPr>
            </w:pPr>
            <w:r>
              <w:rPr>
                <w:rFonts w:ascii="Calibri"/>
                <w:w w:val="105"/>
                <w:sz w:val="13"/>
              </w:rPr>
              <w:t>RENTA DE INSTALACION</w:t>
            </w:r>
          </w:p>
        </w:tc>
        <w:tc>
          <w:tcPr>
            <w:tcW w:w="2148" w:type="dxa"/>
          </w:tcPr>
          <w:p>
            <w:pPr>
              <w:pStyle w:val="TableParagraph"/>
              <w:ind w:left="0" w:right="14"/>
              <w:jc w:val="right"/>
              <w:rPr>
                <w:rFonts w:ascii="Calibri"/>
                <w:sz w:val="13"/>
              </w:rPr>
            </w:pPr>
            <w:r>
              <w:rPr>
                <w:rFonts w:ascii="Calibri"/>
                <w:w w:val="105"/>
                <w:sz w:val="13"/>
              </w:rPr>
              <w:t>3,247,605.82</w:t>
            </w:r>
          </w:p>
        </w:tc>
      </w:tr>
      <w:tr>
        <w:trPr>
          <w:trHeight w:val="194" w:hRule="exact"/>
        </w:trPr>
        <w:tc>
          <w:tcPr>
            <w:tcW w:w="4807" w:type="dxa"/>
          </w:tcPr>
          <w:p>
            <w:pPr>
              <w:pStyle w:val="TableParagraph"/>
              <w:ind w:left="14"/>
              <w:rPr>
                <w:rFonts w:ascii="Calibri"/>
                <w:sz w:val="13"/>
              </w:rPr>
            </w:pPr>
            <w:r>
              <w:rPr>
                <w:rFonts w:ascii="Calibri"/>
                <w:w w:val="105"/>
                <w:sz w:val="13"/>
              </w:rPr>
              <w:t>DONATIVOS EN EFECTIVO</w:t>
            </w:r>
          </w:p>
        </w:tc>
        <w:tc>
          <w:tcPr>
            <w:tcW w:w="2148" w:type="dxa"/>
          </w:tcPr>
          <w:p>
            <w:pPr>
              <w:pStyle w:val="TableParagraph"/>
              <w:ind w:left="0" w:right="14"/>
              <w:jc w:val="right"/>
              <w:rPr>
                <w:rFonts w:ascii="Calibri"/>
                <w:sz w:val="13"/>
              </w:rPr>
            </w:pPr>
            <w:r>
              <w:rPr>
                <w:rFonts w:ascii="Calibri"/>
                <w:w w:val="105"/>
                <w:sz w:val="13"/>
              </w:rPr>
              <w:t>0.00</w:t>
            </w:r>
          </w:p>
        </w:tc>
      </w:tr>
      <w:tr>
        <w:trPr>
          <w:trHeight w:val="194" w:hRule="exact"/>
        </w:trPr>
        <w:tc>
          <w:tcPr>
            <w:tcW w:w="4807" w:type="dxa"/>
          </w:tcPr>
          <w:p>
            <w:pPr>
              <w:pStyle w:val="TableParagraph"/>
              <w:ind w:left="14"/>
              <w:rPr>
                <w:rFonts w:ascii="Calibri"/>
                <w:sz w:val="13"/>
              </w:rPr>
            </w:pPr>
            <w:r>
              <w:rPr>
                <w:rFonts w:ascii="Calibri"/>
                <w:w w:val="105"/>
                <w:sz w:val="13"/>
              </w:rPr>
              <w:t>COMISIONES EXENTAS</w:t>
            </w:r>
          </w:p>
        </w:tc>
        <w:tc>
          <w:tcPr>
            <w:tcW w:w="2148" w:type="dxa"/>
          </w:tcPr>
          <w:p>
            <w:pPr>
              <w:pStyle w:val="TableParagraph"/>
              <w:ind w:left="0" w:right="14"/>
              <w:jc w:val="right"/>
              <w:rPr>
                <w:rFonts w:ascii="Calibri"/>
                <w:sz w:val="13"/>
              </w:rPr>
            </w:pPr>
            <w:r>
              <w:rPr>
                <w:rFonts w:ascii="Calibri"/>
                <w:w w:val="105"/>
                <w:sz w:val="13"/>
              </w:rPr>
              <w:t>0.00</w:t>
            </w:r>
          </w:p>
        </w:tc>
      </w:tr>
      <w:tr>
        <w:trPr>
          <w:trHeight w:val="194" w:hRule="exact"/>
        </w:trPr>
        <w:tc>
          <w:tcPr>
            <w:tcW w:w="4807" w:type="dxa"/>
          </w:tcPr>
          <w:p>
            <w:pPr>
              <w:pStyle w:val="TableParagraph"/>
              <w:ind w:left="14"/>
              <w:rPr>
                <w:rFonts w:ascii="Calibri"/>
                <w:sz w:val="13"/>
              </w:rPr>
            </w:pPr>
            <w:r>
              <w:rPr>
                <w:rFonts w:ascii="Calibri"/>
                <w:w w:val="105"/>
                <w:sz w:val="13"/>
              </w:rPr>
              <w:t>INDEMNIZACIONES (REC</w:t>
            </w:r>
          </w:p>
        </w:tc>
        <w:tc>
          <w:tcPr>
            <w:tcW w:w="2148" w:type="dxa"/>
          </w:tcPr>
          <w:p>
            <w:pPr>
              <w:pStyle w:val="TableParagraph"/>
              <w:ind w:left="0" w:right="14"/>
              <w:jc w:val="right"/>
              <w:rPr>
                <w:rFonts w:ascii="Calibri"/>
                <w:sz w:val="13"/>
              </w:rPr>
            </w:pPr>
            <w:r>
              <w:rPr>
                <w:rFonts w:ascii="Calibri"/>
                <w:w w:val="105"/>
                <w:sz w:val="13"/>
              </w:rPr>
              <w:t>0.00</w:t>
            </w:r>
          </w:p>
        </w:tc>
      </w:tr>
      <w:tr>
        <w:trPr>
          <w:trHeight w:val="194" w:hRule="exact"/>
        </w:trPr>
        <w:tc>
          <w:tcPr>
            <w:tcW w:w="4807" w:type="dxa"/>
          </w:tcPr>
          <w:p>
            <w:pPr>
              <w:pStyle w:val="TableParagraph"/>
              <w:ind w:left="14"/>
              <w:rPr>
                <w:rFonts w:ascii="Calibri"/>
                <w:sz w:val="13"/>
              </w:rPr>
            </w:pPr>
            <w:r>
              <w:rPr>
                <w:rFonts w:ascii="Calibri"/>
                <w:w w:val="105"/>
                <w:sz w:val="13"/>
              </w:rPr>
              <w:t>SANCIONES A CONTRATISTAS</w:t>
            </w:r>
          </w:p>
        </w:tc>
        <w:tc>
          <w:tcPr>
            <w:tcW w:w="2148" w:type="dxa"/>
          </w:tcPr>
          <w:p>
            <w:pPr>
              <w:pStyle w:val="TableParagraph"/>
              <w:ind w:left="0" w:right="14"/>
              <w:jc w:val="right"/>
              <w:rPr>
                <w:rFonts w:ascii="Calibri"/>
                <w:sz w:val="13"/>
              </w:rPr>
            </w:pPr>
            <w:r>
              <w:rPr>
                <w:rFonts w:ascii="Calibri"/>
                <w:w w:val="105"/>
                <w:sz w:val="13"/>
              </w:rPr>
              <w:t>0.00</w:t>
            </w:r>
          </w:p>
        </w:tc>
      </w:tr>
      <w:tr>
        <w:trPr>
          <w:trHeight w:val="194" w:hRule="exact"/>
        </w:trPr>
        <w:tc>
          <w:tcPr>
            <w:tcW w:w="4807" w:type="dxa"/>
          </w:tcPr>
          <w:p>
            <w:pPr/>
          </w:p>
        </w:tc>
        <w:tc>
          <w:tcPr>
            <w:tcW w:w="2148" w:type="dxa"/>
          </w:tcPr>
          <w:p>
            <w:pPr/>
          </w:p>
        </w:tc>
      </w:tr>
      <w:tr>
        <w:trPr>
          <w:trHeight w:val="194" w:hRule="exact"/>
        </w:trPr>
        <w:tc>
          <w:tcPr>
            <w:tcW w:w="4807" w:type="dxa"/>
          </w:tcPr>
          <w:p>
            <w:pPr>
              <w:pStyle w:val="TableParagraph"/>
              <w:ind w:left="14"/>
              <w:rPr>
                <w:rFonts w:ascii="Calibri"/>
                <w:b/>
                <w:sz w:val="13"/>
              </w:rPr>
            </w:pPr>
            <w:r>
              <w:rPr>
                <w:rFonts w:ascii="Calibri"/>
                <w:b/>
                <w:w w:val="105"/>
                <w:sz w:val="13"/>
              </w:rPr>
              <w:t>TOTAL</w:t>
            </w:r>
          </w:p>
        </w:tc>
        <w:tc>
          <w:tcPr>
            <w:tcW w:w="2148" w:type="dxa"/>
          </w:tcPr>
          <w:p>
            <w:pPr>
              <w:pStyle w:val="TableParagraph"/>
              <w:ind w:left="0" w:right="14"/>
              <w:jc w:val="right"/>
              <w:rPr>
                <w:rFonts w:ascii="Calibri"/>
                <w:b/>
                <w:sz w:val="13"/>
              </w:rPr>
            </w:pPr>
            <w:r>
              <w:rPr>
                <w:rFonts w:ascii="Calibri"/>
                <w:b/>
                <w:w w:val="105"/>
                <w:sz w:val="13"/>
              </w:rPr>
              <w:t>10,485,090.85</w:t>
            </w:r>
          </w:p>
        </w:tc>
      </w:tr>
    </w:tbl>
    <w:p>
      <w:pPr>
        <w:pStyle w:val="BodyText"/>
        <w:rPr>
          <w:sz w:val="14"/>
        </w:rPr>
      </w:pPr>
    </w:p>
    <w:p>
      <w:pPr>
        <w:pStyle w:val="BodyText"/>
        <w:spacing w:before="7"/>
        <w:rPr>
          <w:sz w:val="20"/>
        </w:rPr>
      </w:pPr>
    </w:p>
    <w:p>
      <w:pPr>
        <w:pStyle w:val="BodyText"/>
        <w:spacing w:before="1"/>
        <w:ind w:left="101"/>
      </w:pPr>
      <w:r>
        <w:rPr>
          <w:w w:val="105"/>
        </w:rPr>
        <w:t>b)   Proyección de la recaudación e ingresos en el mediano plazo.</w:t>
      </w:r>
    </w:p>
    <w:p>
      <w:pPr>
        <w:pStyle w:val="BodyText"/>
        <w:spacing w:before="7"/>
        <w:rPr>
          <w:sz w:val="17"/>
        </w:rPr>
      </w:pPr>
    </w:p>
    <w:tbl>
      <w:tblPr>
        <w:tblW w:w="0" w:type="auto"/>
        <w:jc w:val="left"/>
        <w:tblInd w:w="2379" w:type="dxa"/>
        <w:tblBorders>
          <w:top w:val="single" w:sz="11" w:space="0" w:color="000000"/>
          <w:left w:val="single" w:sz="11" w:space="0" w:color="000000"/>
          <w:bottom w:val="single" w:sz="11" w:space="0" w:color="000000"/>
          <w:right w:val="single" w:sz="11" w:space="0" w:color="000000"/>
          <w:insideH w:val="single" w:sz="11" w:space="0" w:color="000000"/>
          <w:insideV w:val="single" w:sz="11" w:space="0" w:color="000000"/>
        </w:tblBorders>
        <w:tblLayout w:type="fixed"/>
        <w:tblCellMar>
          <w:top w:w="0" w:type="dxa"/>
          <w:left w:w="0" w:type="dxa"/>
          <w:bottom w:w="0" w:type="dxa"/>
          <w:right w:w="0" w:type="dxa"/>
        </w:tblCellMar>
        <w:tblLook w:val="01E0"/>
      </w:tblPr>
      <w:tblGrid>
        <w:gridCol w:w="4807"/>
        <w:gridCol w:w="2148"/>
      </w:tblGrid>
      <w:tr>
        <w:trPr>
          <w:trHeight w:val="194" w:hRule="exact"/>
        </w:trPr>
        <w:tc>
          <w:tcPr>
            <w:tcW w:w="4807" w:type="dxa"/>
          </w:tcPr>
          <w:p>
            <w:pPr>
              <w:pStyle w:val="TableParagraph"/>
              <w:ind w:left="14"/>
              <w:rPr>
                <w:rFonts w:ascii="Calibri"/>
                <w:b/>
                <w:sz w:val="13"/>
              </w:rPr>
            </w:pPr>
            <w:r>
              <w:rPr>
                <w:rFonts w:ascii="Calibri"/>
                <w:b/>
                <w:w w:val="105"/>
                <w:sz w:val="13"/>
              </w:rPr>
              <w:t>MINISTRACIONES ESTATALES</w:t>
            </w:r>
          </w:p>
        </w:tc>
        <w:tc>
          <w:tcPr>
            <w:tcW w:w="2148" w:type="dxa"/>
          </w:tcPr>
          <w:p>
            <w:pPr>
              <w:pStyle w:val="TableParagraph"/>
              <w:ind w:left="614"/>
              <w:rPr>
                <w:rFonts w:ascii="Calibri"/>
                <w:b/>
                <w:sz w:val="13"/>
              </w:rPr>
            </w:pPr>
            <w:r>
              <w:rPr>
                <w:rFonts w:ascii="Calibri"/>
                <w:b/>
                <w:w w:val="105"/>
                <w:sz w:val="13"/>
              </w:rPr>
              <w:t>POR RECAUDAR</w:t>
            </w:r>
          </w:p>
        </w:tc>
      </w:tr>
      <w:tr>
        <w:trPr>
          <w:trHeight w:val="194" w:hRule="exact"/>
        </w:trPr>
        <w:tc>
          <w:tcPr>
            <w:tcW w:w="4807" w:type="dxa"/>
          </w:tcPr>
          <w:p>
            <w:pPr>
              <w:pStyle w:val="TableParagraph"/>
              <w:ind w:left="14"/>
              <w:rPr>
                <w:rFonts w:ascii="Calibri"/>
                <w:sz w:val="13"/>
              </w:rPr>
            </w:pPr>
            <w:r>
              <w:rPr>
                <w:rFonts w:ascii="Calibri"/>
                <w:w w:val="105"/>
                <w:sz w:val="13"/>
              </w:rPr>
              <w:t>COSAINCEG</w:t>
            </w:r>
          </w:p>
        </w:tc>
        <w:tc>
          <w:tcPr>
            <w:tcW w:w="2148" w:type="dxa"/>
          </w:tcPr>
          <w:p>
            <w:pPr>
              <w:pStyle w:val="TableParagraph"/>
              <w:ind w:left="0" w:right="55"/>
              <w:jc w:val="right"/>
              <w:rPr>
                <w:rFonts w:ascii="Calibri"/>
                <w:sz w:val="13"/>
              </w:rPr>
            </w:pPr>
            <w:r>
              <w:rPr>
                <w:rFonts w:ascii="Calibri"/>
                <w:w w:val="105"/>
                <w:sz w:val="13"/>
              </w:rPr>
              <w:t>33,112,301.32</w:t>
            </w:r>
          </w:p>
        </w:tc>
      </w:tr>
      <w:tr>
        <w:trPr>
          <w:trHeight w:val="194" w:hRule="exact"/>
        </w:trPr>
        <w:tc>
          <w:tcPr>
            <w:tcW w:w="4807" w:type="dxa"/>
          </w:tcPr>
          <w:p>
            <w:pPr>
              <w:pStyle w:val="TableParagraph"/>
              <w:ind w:left="14"/>
              <w:rPr>
                <w:rFonts w:ascii="Calibri"/>
                <w:sz w:val="13"/>
              </w:rPr>
            </w:pPr>
            <w:r>
              <w:rPr>
                <w:rFonts w:ascii="Calibri"/>
                <w:w w:val="105"/>
                <w:sz w:val="13"/>
              </w:rPr>
              <w:t>RECURSOS FISCALES SIN ETIQUETA</w:t>
            </w:r>
          </w:p>
        </w:tc>
        <w:tc>
          <w:tcPr>
            <w:tcW w:w="2148" w:type="dxa"/>
          </w:tcPr>
          <w:p>
            <w:pPr>
              <w:pStyle w:val="TableParagraph"/>
              <w:ind w:left="0" w:right="55"/>
              <w:jc w:val="right"/>
              <w:rPr>
                <w:rFonts w:ascii="Calibri"/>
                <w:sz w:val="13"/>
              </w:rPr>
            </w:pPr>
            <w:r>
              <w:rPr>
                <w:rFonts w:ascii="Calibri"/>
                <w:w w:val="105"/>
                <w:sz w:val="13"/>
              </w:rPr>
              <w:t>41,941,643.94</w:t>
            </w:r>
          </w:p>
        </w:tc>
      </w:tr>
      <w:tr>
        <w:trPr>
          <w:trHeight w:val="194" w:hRule="exact"/>
        </w:trPr>
        <w:tc>
          <w:tcPr>
            <w:tcW w:w="4807" w:type="dxa"/>
          </w:tcPr>
          <w:p>
            <w:pPr>
              <w:pStyle w:val="TableParagraph"/>
              <w:ind w:left="14"/>
              <w:rPr>
                <w:rFonts w:ascii="Calibri"/>
                <w:sz w:val="13"/>
              </w:rPr>
            </w:pPr>
            <w:r>
              <w:rPr>
                <w:rFonts w:ascii="Calibri"/>
                <w:w w:val="105"/>
                <w:sz w:val="13"/>
              </w:rPr>
              <w:t>COSAINCEG</w:t>
            </w:r>
          </w:p>
        </w:tc>
        <w:tc>
          <w:tcPr>
            <w:tcW w:w="2148" w:type="dxa"/>
          </w:tcPr>
          <w:p>
            <w:pPr>
              <w:pStyle w:val="TableParagraph"/>
              <w:ind w:left="0" w:right="55"/>
              <w:jc w:val="right"/>
              <w:rPr>
                <w:rFonts w:ascii="Calibri"/>
                <w:sz w:val="13"/>
              </w:rPr>
            </w:pPr>
            <w:r>
              <w:rPr>
                <w:rFonts w:ascii="Calibri"/>
                <w:w w:val="105"/>
                <w:sz w:val="13"/>
              </w:rPr>
              <w:t>111,332,282.24</w:t>
            </w:r>
          </w:p>
        </w:tc>
      </w:tr>
      <w:tr>
        <w:trPr>
          <w:trHeight w:val="194" w:hRule="exact"/>
        </w:trPr>
        <w:tc>
          <w:tcPr>
            <w:tcW w:w="4807" w:type="dxa"/>
          </w:tcPr>
          <w:p>
            <w:pPr>
              <w:pStyle w:val="TableParagraph"/>
              <w:ind w:left="14"/>
              <w:rPr>
                <w:rFonts w:ascii="Calibri"/>
                <w:sz w:val="13"/>
              </w:rPr>
            </w:pPr>
            <w:r>
              <w:rPr>
                <w:rFonts w:ascii="Calibri"/>
                <w:w w:val="105"/>
                <w:sz w:val="13"/>
              </w:rPr>
              <w:t>DEUDA 2023 BANAMEX SFIA-DP01</w:t>
            </w:r>
          </w:p>
        </w:tc>
        <w:tc>
          <w:tcPr>
            <w:tcW w:w="2148" w:type="dxa"/>
          </w:tcPr>
          <w:p>
            <w:pPr>
              <w:pStyle w:val="TableParagraph"/>
              <w:ind w:left="0" w:right="55"/>
              <w:jc w:val="right"/>
              <w:rPr>
                <w:rFonts w:ascii="Calibri"/>
                <w:sz w:val="13"/>
              </w:rPr>
            </w:pPr>
            <w:r>
              <w:rPr>
                <w:rFonts w:ascii="Calibri"/>
                <w:w w:val="105"/>
                <w:sz w:val="13"/>
              </w:rPr>
              <w:t>15,792,056.45</w:t>
            </w:r>
          </w:p>
        </w:tc>
      </w:tr>
      <w:tr>
        <w:trPr>
          <w:trHeight w:val="194" w:hRule="exact"/>
        </w:trPr>
        <w:tc>
          <w:tcPr>
            <w:tcW w:w="4807" w:type="dxa"/>
          </w:tcPr>
          <w:p>
            <w:pPr>
              <w:pStyle w:val="TableParagraph"/>
              <w:ind w:left="14"/>
              <w:rPr>
                <w:rFonts w:ascii="Calibri"/>
                <w:sz w:val="13"/>
              </w:rPr>
            </w:pPr>
            <w:r>
              <w:rPr>
                <w:rFonts w:ascii="Calibri"/>
                <w:w w:val="105"/>
                <w:sz w:val="13"/>
              </w:rPr>
              <w:t>REC FED SIN ETIQ 2013 ASIG 2024</w:t>
            </w:r>
          </w:p>
        </w:tc>
        <w:tc>
          <w:tcPr>
            <w:tcW w:w="2148" w:type="dxa"/>
          </w:tcPr>
          <w:p>
            <w:pPr>
              <w:pStyle w:val="TableParagraph"/>
              <w:ind w:left="0" w:right="55"/>
              <w:jc w:val="right"/>
              <w:rPr>
                <w:rFonts w:ascii="Calibri"/>
                <w:sz w:val="13"/>
              </w:rPr>
            </w:pPr>
            <w:r>
              <w:rPr>
                <w:rFonts w:ascii="Calibri"/>
                <w:w w:val="105"/>
                <w:sz w:val="13"/>
              </w:rPr>
              <w:t>516.50</w:t>
            </w:r>
          </w:p>
        </w:tc>
      </w:tr>
      <w:tr>
        <w:trPr>
          <w:trHeight w:val="194" w:hRule="exact"/>
        </w:trPr>
        <w:tc>
          <w:tcPr>
            <w:tcW w:w="4807" w:type="dxa"/>
          </w:tcPr>
          <w:p>
            <w:pPr>
              <w:pStyle w:val="TableParagraph"/>
              <w:ind w:left="14"/>
              <w:rPr>
                <w:rFonts w:ascii="Calibri"/>
                <w:sz w:val="13"/>
              </w:rPr>
            </w:pPr>
            <w:r>
              <w:rPr>
                <w:rFonts w:ascii="Calibri"/>
                <w:w w:val="105"/>
                <w:sz w:val="13"/>
              </w:rPr>
              <w:t>REC FED SIN ETIQ 2014 ASIG 2024</w:t>
            </w:r>
          </w:p>
        </w:tc>
        <w:tc>
          <w:tcPr>
            <w:tcW w:w="2148" w:type="dxa"/>
          </w:tcPr>
          <w:p>
            <w:pPr>
              <w:pStyle w:val="TableParagraph"/>
              <w:ind w:left="0" w:right="55"/>
              <w:jc w:val="right"/>
              <w:rPr>
                <w:rFonts w:ascii="Calibri"/>
                <w:sz w:val="13"/>
              </w:rPr>
            </w:pPr>
            <w:r>
              <w:rPr>
                <w:rFonts w:ascii="Calibri"/>
                <w:w w:val="105"/>
                <w:sz w:val="13"/>
              </w:rPr>
              <w:t>626.50</w:t>
            </w:r>
          </w:p>
        </w:tc>
      </w:tr>
    </w:tbl>
    <w:p>
      <w:pPr>
        <w:spacing w:after="0"/>
        <w:jc w:val="right"/>
        <w:rPr>
          <w:rFonts w:ascii="Calibri"/>
          <w:sz w:val="13"/>
        </w:rPr>
        <w:sectPr>
          <w:pgSz w:w="16840" w:h="11910" w:orient="landscape"/>
          <w:pgMar w:top="1020" w:bottom="280" w:left="2080" w:right="2420"/>
        </w:sectPr>
      </w:pPr>
    </w:p>
    <w:p>
      <w:pPr>
        <w:pStyle w:val="Heading2"/>
        <w:spacing w:line="312" w:lineRule="auto" w:before="73"/>
      </w:pPr>
      <w:r>
        <w:rPr>
          <w:w w:val="105"/>
        </w:rPr>
        <w:t>Comisión de Deporte del Estado de Guanajuato Notas a los Estados Financieros</w:t>
      </w:r>
    </w:p>
    <w:p>
      <w:pPr>
        <w:spacing w:before="1"/>
        <w:ind w:left="4690" w:right="4537" w:firstLine="0"/>
        <w:jc w:val="center"/>
        <w:rPr>
          <w:b/>
          <w:sz w:val="13"/>
        </w:rPr>
      </w:pPr>
      <w:r>
        <w:rPr>
          <w:b/>
          <w:w w:val="105"/>
          <w:sz w:val="13"/>
        </w:rPr>
        <w:t>Al 31 de Marzo de 2024</w:t>
      </w:r>
    </w:p>
    <w:p>
      <w:pPr>
        <w:pStyle w:val="BodyText"/>
        <w:spacing w:before="45" w:after="30"/>
        <w:ind w:left="5713"/>
      </w:pPr>
      <w:r>
        <w:rPr>
          <w:w w:val="105"/>
        </w:rPr>
        <w:t>(Cifras en Pesos)</w:t>
      </w:r>
    </w:p>
    <w:tbl>
      <w:tblPr>
        <w:tblW w:w="0" w:type="auto"/>
        <w:jc w:val="left"/>
        <w:tblInd w:w="2379" w:type="dxa"/>
        <w:tblBorders>
          <w:top w:val="single" w:sz="11" w:space="0" w:color="000000"/>
          <w:left w:val="single" w:sz="11" w:space="0" w:color="000000"/>
          <w:bottom w:val="single" w:sz="11" w:space="0" w:color="000000"/>
          <w:right w:val="single" w:sz="11" w:space="0" w:color="000000"/>
          <w:insideH w:val="single" w:sz="11" w:space="0" w:color="000000"/>
          <w:insideV w:val="single" w:sz="11" w:space="0" w:color="000000"/>
        </w:tblBorders>
        <w:tblLayout w:type="fixed"/>
        <w:tblCellMar>
          <w:top w:w="0" w:type="dxa"/>
          <w:left w:w="0" w:type="dxa"/>
          <w:bottom w:w="0" w:type="dxa"/>
          <w:right w:w="0" w:type="dxa"/>
        </w:tblCellMar>
        <w:tblLook w:val="01E0"/>
      </w:tblPr>
      <w:tblGrid>
        <w:gridCol w:w="4807"/>
        <w:gridCol w:w="2148"/>
      </w:tblGrid>
      <w:tr>
        <w:trPr>
          <w:trHeight w:val="196" w:hRule="exact"/>
        </w:trPr>
        <w:tc>
          <w:tcPr>
            <w:tcW w:w="4807" w:type="dxa"/>
            <w:tcBorders>
              <w:top w:val="nil"/>
            </w:tcBorders>
          </w:tcPr>
          <w:p>
            <w:pPr>
              <w:pStyle w:val="TableParagraph"/>
              <w:spacing w:before="20"/>
              <w:ind w:left="14"/>
              <w:rPr>
                <w:rFonts w:ascii="Calibri"/>
                <w:sz w:val="13"/>
              </w:rPr>
            </w:pPr>
            <w:r>
              <w:rPr>
                <w:rFonts w:ascii="Calibri"/>
                <w:w w:val="105"/>
                <w:sz w:val="13"/>
              </w:rPr>
              <w:t>REC FED SIN ETIQ 2015 ASIG 2024</w:t>
            </w:r>
          </w:p>
        </w:tc>
        <w:tc>
          <w:tcPr>
            <w:tcW w:w="2148" w:type="dxa"/>
            <w:tcBorders>
              <w:top w:val="nil"/>
            </w:tcBorders>
          </w:tcPr>
          <w:p>
            <w:pPr>
              <w:pStyle w:val="TableParagraph"/>
              <w:spacing w:before="20"/>
              <w:ind w:left="0" w:right="55"/>
              <w:jc w:val="right"/>
              <w:rPr>
                <w:rFonts w:ascii="Calibri"/>
                <w:sz w:val="13"/>
              </w:rPr>
            </w:pPr>
            <w:r>
              <w:rPr>
                <w:rFonts w:ascii="Calibri"/>
                <w:w w:val="105"/>
                <w:sz w:val="13"/>
              </w:rPr>
              <w:t>864.00</w:t>
            </w:r>
          </w:p>
        </w:tc>
      </w:tr>
      <w:tr>
        <w:trPr>
          <w:trHeight w:val="194" w:hRule="exact"/>
        </w:trPr>
        <w:tc>
          <w:tcPr>
            <w:tcW w:w="4807" w:type="dxa"/>
          </w:tcPr>
          <w:p>
            <w:pPr>
              <w:pStyle w:val="TableParagraph"/>
              <w:ind w:left="14"/>
              <w:rPr>
                <w:rFonts w:ascii="Calibri"/>
                <w:sz w:val="13"/>
              </w:rPr>
            </w:pPr>
            <w:r>
              <w:rPr>
                <w:rFonts w:ascii="Calibri"/>
                <w:w w:val="105"/>
                <w:sz w:val="13"/>
              </w:rPr>
              <w:t>REC FED SIN ETIQ 2016 ASIG 2024</w:t>
            </w:r>
          </w:p>
        </w:tc>
        <w:tc>
          <w:tcPr>
            <w:tcW w:w="2148" w:type="dxa"/>
          </w:tcPr>
          <w:p>
            <w:pPr>
              <w:pStyle w:val="TableParagraph"/>
              <w:ind w:left="0" w:right="55"/>
              <w:jc w:val="right"/>
              <w:rPr>
                <w:rFonts w:ascii="Calibri"/>
                <w:sz w:val="13"/>
              </w:rPr>
            </w:pPr>
            <w:r>
              <w:rPr>
                <w:rFonts w:ascii="Calibri"/>
                <w:w w:val="105"/>
                <w:sz w:val="13"/>
              </w:rPr>
              <w:t>944.00</w:t>
            </w:r>
          </w:p>
        </w:tc>
      </w:tr>
      <w:tr>
        <w:trPr>
          <w:trHeight w:val="194" w:hRule="exact"/>
        </w:trPr>
        <w:tc>
          <w:tcPr>
            <w:tcW w:w="4807" w:type="dxa"/>
          </w:tcPr>
          <w:p>
            <w:pPr>
              <w:pStyle w:val="TableParagraph"/>
              <w:ind w:left="14"/>
              <w:rPr>
                <w:rFonts w:ascii="Calibri"/>
                <w:sz w:val="13"/>
              </w:rPr>
            </w:pPr>
            <w:r>
              <w:rPr>
                <w:rFonts w:ascii="Calibri"/>
                <w:w w:val="105"/>
                <w:sz w:val="13"/>
              </w:rPr>
              <w:t>REC FED SIN ETIQ 2017 ASIG 2024</w:t>
            </w:r>
          </w:p>
        </w:tc>
        <w:tc>
          <w:tcPr>
            <w:tcW w:w="2148" w:type="dxa"/>
          </w:tcPr>
          <w:p>
            <w:pPr>
              <w:pStyle w:val="TableParagraph"/>
              <w:ind w:left="0" w:right="55"/>
              <w:jc w:val="right"/>
              <w:rPr>
                <w:rFonts w:ascii="Calibri"/>
                <w:sz w:val="13"/>
              </w:rPr>
            </w:pPr>
            <w:r>
              <w:rPr>
                <w:rFonts w:ascii="Calibri"/>
                <w:w w:val="105"/>
                <w:sz w:val="13"/>
              </w:rPr>
              <w:t>936.00</w:t>
            </w:r>
          </w:p>
        </w:tc>
      </w:tr>
      <w:tr>
        <w:trPr>
          <w:trHeight w:val="194" w:hRule="exact"/>
        </w:trPr>
        <w:tc>
          <w:tcPr>
            <w:tcW w:w="4807" w:type="dxa"/>
          </w:tcPr>
          <w:p>
            <w:pPr>
              <w:pStyle w:val="TableParagraph"/>
              <w:ind w:left="14"/>
              <w:rPr>
                <w:rFonts w:ascii="Calibri"/>
                <w:sz w:val="13"/>
              </w:rPr>
            </w:pPr>
            <w:r>
              <w:rPr>
                <w:rFonts w:ascii="Calibri"/>
                <w:w w:val="105"/>
                <w:sz w:val="13"/>
              </w:rPr>
              <w:t>REC FED SIN ETIQ 2018 ASIG 2024</w:t>
            </w:r>
          </w:p>
        </w:tc>
        <w:tc>
          <w:tcPr>
            <w:tcW w:w="2148" w:type="dxa"/>
          </w:tcPr>
          <w:p>
            <w:pPr>
              <w:pStyle w:val="TableParagraph"/>
              <w:ind w:left="0" w:right="55"/>
              <w:jc w:val="right"/>
              <w:rPr>
                <w:rFonts w:ascii="Calibri"/>
                <w:sz w:val="13"/>
              </w:rPr>
            </w:pPr>
            <w:r>
              <w:rPr>
                <w:rFonts w:ascii="Calibri"/>
                <w:w w:val="105"/>
                <w:sz w:val="13"/>
              </w:rPr>
              <w:t>21,550.45</w:t>
            </w:r>
          </w:p>
        </w:tc>
      </w:tr>
      <w:tr>
        <w:trPr>
          <w:trHeight w:val="194" w:hRule="exact"/>
        </w:trPr>
        <w:tc>
          <w:tcPr>
            <w:tcW w:w="4807" w:type="dxa"/>
          </w:tcPr>
          <w:p>
            <w:pPr>
              <w:pStyle w:val="TableParagraph"/>
              <w:ind w:left="14"/>
              <w:rPr>
                <w:rFonts w:ascii="Calibri"/>
                <w:sz w:val="13"/>
              </w:rPr>
            </w:pPr>
            <w:r>
              <w:rPr>
                <w:rFonts w:ascii="Calibri"/>
                <w:w w:val="105"/>
                <w:sz w:val="13"/>
              </w:rPr>
              <w:t>REC FED SIN ETIQ 2019 ASIG 2024</w:t>
            </w:r>
          </w:p>
        </w:tc>
        <w:tc>
          <w:tcPr>
            <w:tcW w:w="2148" w:type="dxa"/>
          </w:tcPr>
          <w:p>
            <w:pPr>
              <w:pStyle w:val="TableParagraph"/>
              <w:ind w:left="0" w:right="55"/>
              <w:jc w:val="right"/>
              <w:rPr>
                <w:rFonts w:ascii="Calibri"/>
                <w:sz w:val="13"/>
              </w:rPr>
            </w:pPr>
            <w:r>
              <w:rPr>
                <w:rFonts w:ascii="Calibri"/>
                <w:w w:val="105"/>
                <w:sz w:val="13"/>
              </w:rPr>
              <w:t>65,023.97</w:t>
            </w:r>
          </w:p>
        </w:tc>
      </w:tr>
      <w:tr>
        <w:trPr>
          <w:trHeight w:val="194" w:hRule="exact"/>
        </w:trPr>
        <w:tc>
          <w:tcPr>
            <w:tcW w:w="4807" w:type="dxa"/>
          </w:tcPr>
          <w:p>
            <w:pPr>
              <w:pStyle w:val="TableParagraph"/>
              <w:ind w:left="14"/>
              <w:rPr>
                <w:rFonts w:ascii="Calibri"/>
                <w:sz w:val="13"/>
              </w:rPr>
            </w:pPr>
            <w:r>
              <w:rPr>
                <w:rFonts w:ascii="Calibri"/>
                <w:w w:val="105"/>
                <w:sz w:val="13"/>
              </w:rPr>
              <w:t>REC FED SIN ETIQ 2020 ASIG 2024</w:t>
            </w:r>
          </w:p>
        </w:tc>
        <w:tc>
          <w:tcPr>
            <w:tcW w:w="2148" w:type="dxa"/>
          </w:tcPr>
          <w:p>
            <w:pPr>
              <w:pStyle w:val="TableParagraph"/>
              <w:ind w:left="0" w:right="55"/>
              <w:jc w:val="right"/>
              <w:rPr>
                <w:rFonts w:ascii="Calibri"/>
                <w:sz w:val="13"/>
              </w:rPr>
            </w:pPr>
            <w:r>
              <w:rPr>
                <w:rFonts w:ascii="Calibri"/>
                <w:w w:val="105"/>
                <w:sz w:val="13"/>
              </w:rPr>
              <w:t>2,021,517.48</w:t>
            </w:r>
          </w:p>
        </w:tc>
      </w:tr>
      <w:tr>
        <w:trPr>
          <w:trHeight w:val="194" w:hRule="exact"/>
        </w:trPr>
        <w:tc>
          <w:tcPr>
            <w:tcW w:w="4807" w:type="dxa"/>
          </w:tcPr>
          <w:p>
            <w:pPr>
              <w:pStyle w:val="TableParagraph"/>
              <w:ind w:left="14"/>
              <w:rPr>
                <w:rFonts w:ascii="Calibri"/>
                <w:sz w:val="13"/>
              </w:rPr>
            </w:pPr>
            <w:r>
              <w:rPr>
                <w:rFonts w:ascii="Calibri"/>
                <w:w w:val="105"/>
                <w:sz w:val="13"/>
              </w:rPr>
              <w:t>REC FED SIN ETIQ 2021 ASIG 2024</w:t>
            </w:r>
          </w:p>
        </w:tc>
        <w:tc>
          <w:tcPr>
            <w:tcW w:w="2148" w:type="dxa"/>
          </w:tcPr>
          <w:p>
            <w:pPr>
              <w:pStyle w:val="TableParagraph"/>
              <w:ind w:left="0" w:right="55"/>
              <w:jc w:val="right"/>
              <w:rPr>
                <w:rFonts w:ascii="Calibri"/>
                <w:sz w:val="13"/>
              </w:rPr>
            </w:pPr>
            <w:r>
              <w:rPr>
                <w:rFonts w:ascii="Calibri"/>
                <w:w w:val="105"/>
                <w:sz w:val="13"/>
              </w:rPr>
              <w:t>17,936,316.56</w:t>
            </w:r>
          </w:p>
        </w:tc>
      </w:tr>
      <w:tr>
        <w:trPr>
          <w:trHeight w:val="194" w:hRule="exact"/>
        </w:trPr>
        <w:tc>
          <w:tcPr>
            <w:tcW w:w="4807" w:type="dxa"/>
          </w:tcPr>
          <w:p>
            <w:pPr>
              <w:pStyle w:val="TableParagraph"/>
              <w:ind w:left="14"/>
              <w:rPr>
                <w:rFonts w:ascii="Calibri"/>
                <w:sz w:val="13"/>
              </w:rPr>
            </w:pPr>
            <w:r>
              <w:rPr>
                <w:rFonts w:ascii="Calibri"/>
                <w:w w:val="105"/>
                <w:sz w:val="13"/>
              </w:rPr>
              <w:t>REC FED SIN ETIQ 2022 ASIG 2023</w:t>
            </w:r>
          </w:p>
        </w:tc>
        <w:tc>
          <w:tcPr>
            <w:tcW w:w="2148" w:type="dxa"/>
          </w:tcPr>
          <w:p>
            <w:pPr>
              <w:pStyle w:val="TableParagraph"/>
              <w:ind w:left="0" w:right="55"/>
              <w:jc w:val="right"/>
              <w:rPr>
                <w:rFonts w:ascii="Calibri"/>
                <w:sz w:val="13"/>
              </w:rPr>
            </w:pPr>
            <w:r>
              <w:rPr>
                <w:rFonts w:ascii="Calibri"/>
                <w:w w:val="105"/>
                <w:sz w:val="13"/>
              </w:rPr>
              <w:t>703,413.32</w:t>
            </w:r>
          </w:p>
        </w:tc>
      </w:tr>
      <w:tr>
        <w:trPr>
          <w:trHeight w:val="194" w:hRule="exact"/>
        </w:trPr>
        <w:tc>
          <w:tcPr>
            <w:tcW w:w="4807" w:type="dxa"/>
          </w:tcPr>
          <w:p>
            <w:pPr>
              <w:pStyle w:val="TableParagraph"/>
              <w:ind w:left="14"/>
              <w:rPr>
                <w:rFonts w:ascii="Calibri"/>
                <w:sz w:val="13"/>
              </w:rPr>
            </w:pPr>
            <w:r>
              <w:rPr>
                <w:rFonts w:ascii="Calibri"/>
                <w:w w:val="105"/>
                <w:sz w:val="13"/>
              </w:rPr>
              <w:t>REC FED SIN ETIQ 2022 ASIG 2024</w:t>
            </w:r>
          </w:p>
        </w:tc>
        <w:tc>
          <w:tcPr>
            <w:tcW w:w="2148" w:type="dxa"/>
          </w:tcPr>
          <w:p>
            <w:pPr>
              <w:pStyle w:val="TableParagraph"/>
              <w:ind w:left="0" w:right="193"/>
              <w:jc w:val="right"/>
              <w:rPr>
                <w:rFonts w:ascii="Calibri"/>
                <w:sz w:val="13"/>
              </w:rPr>
            </w:pPr>
            <w:r>
              <w:rPr>
                <w:rFonts w:ascii="Calibri"/>
                <w:w w:val="105"/>
                <w:sz w:val="13"/>
              </w:rPr>
              <w:t>-</w:t>
            </w:r>
          </w:p>
        </w:tc>
      </w:tr>
      <w:tr>
        <w:trPr>
          <w:trHeight w:val="194" w:hRule="exact"/>
        </w:trPr>
        <w:tc>
          <w:tcPr>
            <w:tcW w:w="4807" w:type="dxa"/>
          </w:tcPr>
          <w:p>
            <w:pPr>
              <w:pStyle w:val="TableParagraph"/>
              <w:ind w:left="14"/>
              <w:rPr>
                <w:rFonts w:ascii="Calibri"/>
                <w:sz w:val="13"/>
              </w:rPr>
            </w:pPr>
            <w:r>
              <w:rPr>
                <w:rFonts w:ascii="Calibri"/>
                <w:w w:val="105"/>
                <w:sz w:val="13"/>
              </w:rPr>
              <w:t>REC FED SIN ETIQ 2023 ASIG 2024</w:t>
            </w:r>
          </w:p>
        </w:tc>
        <w:tc>
          <w:tcPr>
            <w:tcW w:w="2148" w:type="dxa"/>
          </w:tcPr>
          <w:p>
            <w:pPr>
              <w:pStyle w:val="TableParagraph"/>
              <w:ind w:left="0" w:right="55"/>
              <w:jc w:val="right"/>
              <w:rPr>
                <w:rFonts w:ascii="Calibri"/>
                <w:sz w:val="13"/>
              </w:rPr>
            </w:pPr>
            <w:r>
              <w:rPr>
                <w:rFonts w:ascii="Calibri"/>
                <w:w w:val="105"/>
                <w:sz w:val="13"/>
              </w:rPr>
              <w:t>910,852.54</w:t>
            </w:r>
          </w:p>
        </w:tc>
      </w:tr>
      <w:tr>
        <w:trPr>
          <w:trHeight w:val="194" w:hRule="exact"/>
        </w:trPr>
        <w:tc>
          <w:tcPr>
            <w:tcW w:w="4807" w:type="dxa"/>
          </w:tcPr>
          <w:p>
            <w:pPr>
              <w:pStyle w:val="TableParagraph"/>
              <w:ind w:left="14"/>
              <w:rPr>
                <w:rFonts w:ascii="Calibri"/>
                <w:sz w:val="13"/>
              </w:rPr>
            </w:pPr>
            <w:r>
              <w:rPr>
                <w:rFonts w:ascii="Calibri"/>
                <w:w w:val="105"/>
                <w:sz w:val="13"/>
              </w:rPr>
              <w:t>RECURSOS FEDERALES SIN ETIQUETA</w:t>
            </w:r>
          </w:p>
        </w:tc>
        <w:tc>
          <w:tcPr>
            <w:tcW w:w="2148" w:type="dxa"/>
          </w:tcPr>
          <w:p>
            <w:pPr>
              <w:pStyle w:val="TableParagraph"/>
              <w:ind w:left="0" w:right="55"/>
              <w:jc w:val="right"/>
              <w:rPr>
                <w:rFonts w:ascii="Calibri"/>
                <w:sz w:val="13"/>
              </w:rPr>
            </w:pPr>
            <w:r>
              <w:rPr>
                <w:rFonts w:ascii="Calibri"/>
                <w:w w:val="105"/>
                <w:sz w:val="13"/>
              </w:rPr>
              <w:t>86,597,258.57</w:t>
            </w:r>
          </w:p>
        </w:tc>
      </w:tr>
      <w:tr>
        <w:trPr>
          <w:trHeight w:val="194" w:hRule="exact"/>
        </w:trPr>
        <w:tc>
          <w:tcPr>
            <w:tcW w:w="4807" w:type="dxa"/>
          </w:tcPr>
          <w:p>
            <w:pPr>
              <w:pStyle w:val="TableParagraph"/>
              <w:ind w:left="14"/>
              <w:rPr>
                <w:rFonts w:ascii="Calibri"/>
                <w:b/>
                <w:sz w:val="13"/>
              </w:rPr>
            </w:pPr>
            <w:r>
              <w:rPr>
                <w:rFonts w:ascii="Calibri"/>
                <w:b/>
                <w:w w:val="105"/>
                <w:sz w:val="13"/>
              </w:rPr>
              <w:t>TOTAL</w:t>
            </w:r>
          </w:p>
        </w:tc>
        <w:tc>
          <w:tcPr>
            <w:tcW w:w="2148" w:type="dxa"/>
          </w:tcPr>
          <w:p>
            <w:pPr>
              <w:pStyle w:val="TableParagraph"/>
              <w:ind w:left="0" w:right="55"/>
              <w:jc w:val="right"/>
              <w:rPr>
                <w:rFonts w:ascii="Calibri"/>
                <w:b/>
                <w:sz w:val="13"/>
              </w:rPr>
            </w:pPr>
            <w:r>
              <w:rPr>
                <w:rFonts w:ascii="Calibri"/>
                <w:b/>
                <w:w w:val="105"/>
                <w:sz w:val="13"/>
              </w:rPr>
              <w:t>310,438,103.84</w:t>
            </w:r>
          </w:p>
        </w:tc>
      </w:tr>
      <w:tr>
        <w:trPr>
          <w:trHeight w:val="194" w:hRule="exact"/>
        </w:trPr>
        <w:tc>
          <w:tcPr>
            <w:tcW w:w="4807" w:type="dxa"/>
          </w:tcPr>
          <w:p>
            <w:pPr/>
          </w:p>
        </w:tc>
        <w:tc>
          <w:tcPr>
            <w:tcW w:w="2148" w:type="dxa"/>
          </w:tcPr>
          <w:p>
            <w:pPr/>
          </w:p>
        </w:tc>
      </w:tr>
      <w:tr>
        <w:trPr>
          <w:trHeight w:val="194" w:hRule="exact"/>
        </w:trPr>
        <w:tc>
          <w:tcPr>
            <w:tcW w:w="4807" w:type="dxa"/>
          </w:tcPr>
          <w:p>
            <w:pPr>
              <w:pStyle w:val="TableParagraph"/>
              <w:ind w:left="14"/>
              <w:rPr>
                <w:rFonts w:ascii="Calibri"/>
                <w:b/>
                <w:sz w:val="13"/>
              </w:rPr>
            </w:pPr>
            <w:r>
              <w:rPr>
                <w:rFonts w:ascii="Calibri"/>
                <w:b/>
                <w:w w:val="105"/>
                <w:sz w:val="13"/>
              </w:rPr>
              <w:t>RECURSOS PROPIOS</w:t>
            </w:r>
          </w:p>
        </w:tc>
        <w:tc>
          <w:tcPr>
            <w:tcW w:w="2148" w:type="dxa"/>
          </w:tcPr>
          <w:p>
            <w:pPr>
              <w:pStyle w:val="TableParagraph"/>
              <w:ind w:left="614"/>
              <w:rPr>
                <w:rFonts w:ascii="Calibri"/>
                <w:b/>
                <w:sz w:val="13"/>
              </w:rPr>
            </w:pPr>
            <w:r>
              <w:rPr>
                <w:rFonts w:ascii="Calibri"/>
                <w:b/>
                <w:w w:val="105"/>
                <w:sz w:val="13"/>
              </w:rPr>
              <w:t>POR RECAUDAR</w:t>
            </w:r>
          </w:p>
        </w:tc>
      </w:tr>
      <w:tr>
        <w:trPr>
          <w:trHeight w:val="194" w:hRule="exact"/>
        </w:trPr>
        <w:tc>
          <w:tcPr>
            <w:tcW w:w="4807" w:type="dxa"/>
          </w:tcPr>
          <w:p>
            <w:pPr>
              <w:pStyle w:val="TableParagraph"/>
              <w:ind w:left="14"/>
              <w:rPr>
                <w:rFonts w:ascii="Calibri"/>
                <w:sz w:val="13"/>
              </w:rPr>
            </w:pPr>
            <w:r>
              <w:rPr>
                <w:rFonts w:ascii="Calibri"/>
                <w:w w:val="105"/>
                <w:sz w:val="13"/>
              </w:rPr>
              <w:t>CURSOS OTROS</w:t>
            </w:r>
          </w:p>
        </w:tc>
        <w:tc>
          <w:tcPr>
            <w:tcW w:w="2148" w:type="dxa"/>
          </w:tcPr>
          <w:p>
            <w:pPr>
              <w:pStyle w:val="TableParagraph"/>
              <w:ind w:left="0" w:right="14"/>
              <w:jc w:val="right"/>
              <w:rPr>
                <w:rFonts w:ascii="Calibri"/>
                <w:sz w:val="13"/>
              </w:rPr>
            </w:pPr>
            <w:r>
              <w:rPr>
                <w:rFonts w:ascii="Calibri"/>
                <w:w w:val="105"/>
                <w:sz w:val="13"/>
              </w:rPr>
              <w:t>120,000.00</w:t>
            </w:r>
          </w:p>
        </w:tc>
      </w:tr>
      <w:tr>
        <w:trPr>
          <w:trHeight w:val="194" w:hRule="exact"/>
        </w:trPr>
        <w:tc>
          <w:tcPr>
            <w:tcW w:w="4807" w:type="dxa"/>
          </w:tcPr>
          <w:p>
            <w:pPr>
              <w:pStyle w:val="TableParagraph"/>
              <w:ind w:left="14"/>
              <w:rPr>
                <w:rFonts w:ascii="Calibri"/>
                <w:sz w:val="13"/>
              </w:rPr>
            </w:pPr>
            <w:r>
              <w:rPr>
                <w:rFonts w:ascii="Calibri"/>
                <w:w w:val="105"/>
                <w:sz w:val="13"/>
              </w:rPr>
              <w:t>PATROCINIOS</w:t>
            </w:r>
          </w:p>
        </w:tc>
        <w:tc>
          <w:tcPr>
            <w:tcW w:w="2148" w:type="dxa"/>
          </w:tcPr>
          <w:p>
            <w:pPr>
              <w:pStyle w:val="TableParagraph"/>
              <w:ind w:left="0" w:right="14"/>
              <w:jc w:val="right"/>
              <w:rPr>
                <w:rFonts w:ascii="Calibri"/>
                <w:sz w:val="13"/>
              </w:rPr>
            </w:pPr>
            <w:r>
              <w:rPr>
                <w:rFonts w:ascii="Calibri"/>
                <w:w w:val="105"/>
                <w:sz w:val="13"/>
              </w:rPr>
              <w:t>2,000,000.00</w:t>
            </w:r>
          </w:p>
        </w:tc>
      </w:tr>
      <w:tr>
        <w:trPr>
          <w:trHeight w:val="194" w:hRule="exact"/>
        </w:trPr>
        <w:tc>
          <w:tcPr>
            <w:tcW w:w="4807" w:type="dxa"/>
          </w:tcPr>
          <w:p>
            <w:pPr>
              <w:pStyle w:val="TableParagraph"/>
              <w:ind w:left="14"/>
              <w:rPr>
                <w:rFonts w:ascii="Calibri"/>
                <w:sz w:val="13"/>
              </w:rPr>
            </w:pPr>
            <w:r>
              <w:rPr>
                <w:rFonts w:ascii="Calibri"/>
                <w:w w:val="105"/>
                <w:sz w:val="13"/>
              </w:rPr>
              <w:t>CONGRESOS DEPORTIVOS</w:t>
            </w:r>
          </w:p>
        </w:tc>
        <w:tc>
          <w:tcPr>
            <w:tcW w:w="2148" w:type="dxa"/>
          </w:tcPr>
          <w:p>
            <w:pPr>
              <w:pStyle w:val="TableParagraph"/>
              <w:ind w:left="0" w:right="14"/>
              <w:jc w:val="right"/>
              <w:rPr>
                <w:rFonts w:ascii="Calibri"/>
                <w:sz w:val="13"/>
              </w:rPr>
            </w:pPr>
            <w:r>
              <w:rPr>
                <w:rFonts w:ascii="Calibri"/>
                <w:w w:val="105"/>
                <w:sz w:val="13"/>
              </w:rPr>
              <w:t>200,000.00</w:t>
            </w:r>
          </w:p>
        </w:tc>
      </w:tr>
      <w:tr>
        <w:trPr>
          <w:trHeight w:val="194" w:hRule="exact"/>
        </w:trPr>
        <w:tc>
          <w:tcPr>
            <w:tcW w:w="4807" w:type="dxa"/>
          </w:tcPr>
          <w:p>
            <w:pPr>
              <w:pStyle w:val="TableParagraph"/>
              <w:ind w:left="14"/>
              <w:rPr>
                <w:rFonts w:ascii="Calibri"/>
                <w:sz w:val="13"/>
              </w:rPr>
            </w:pPr>
            <w:r>
              <w:rPr>
                <w:rFonts w:ascii="Calibri"/>
                <w:w w:val="105"/>
                <w:sz w:val="13"/>
              </w:rPr>
              <w:t>EVENTOS ESPECIALES</w:t>
            </w:r>
          </w:p>
        </w:tc>
        <w:tc>
          <w:tcPr>
            <w:tcW w:w="2148" w:type="dxa"/>
          </w:tcPr>
          <w:p>
            <w:pPr>
              <w:pStyle w:val="TableParagraph"/>
              <w:ind w:left="0" w:right="14"/>
              <w:jc w:val="right"/>
              <w:rPr>
                <w:rFonts w:ascii="Calibri"/>
                <w:sz w:val="13"/>
              </w:rPr>
            </w:pPr>
            <w:r>
              <w:rPr>
                <w:rFonts w:ascii="Calibri"/>
                <w:w w:val="105"/>
                <w:sz w:val="13"/>
              </w:rPr>
              <w:t>4,899,000.00</w:t>
            </w:r>
          </w:p>
        </w:tc>
      </w:tr>
      <w:tr>
        <w:trPr>
          <w:trHeight w:val="194" w:hRule="exact"/>
        </w:trPr>
        <w:tc>
          <w:tcPr>
            <w:tcW w:w="4807" w:type="dxa"/>
          </w:tcPr>
          <w:p>
            <w:pPr>
              <w:pStyle w:val="TableParagraph"/>
              <w:ind w:left="14"/>
              <w:rPr>
                <w:rFonts w:ascii="Calibri"/>
                <w:sz w:val="13"/>
              </w:rPr>
            </w:pPr>
            <w:r>
              <w:rPr>
                <w:rFonts w:ascii="Calibri"/>
                <w:w w:val="105"/>
                <w:sz w:val="13"/>
              </w:rPr>
              <w:t>INTERESES NORMALES R</w:t>
            </w:r>
          </w:p>
        </w:tc>
        <w:tc>
          <w:tcPr>
            <w:tcW w:w="2148" w:type="dxa"/>
          </w:tcPr>
          <w:p>
            <w:pPr>
              <w:pStyle w:val="TableParagraph"/>
              <w:ind w:left="0" w:right="14"/>
              <w:jc w:val="right"/>
              <w:rPr>
                <w:rFonts w:ascii="Calibri"/>
                <w:sz w:val="13"/>
              </w:rPr>
            </w:pPr>
            <w:r>
              <w:rPr>
                <w:rFonts w:ascii="Calibri"/>
                <w:w w:val="105"/>
                <w:sz w:val="13"/>
              </w:rPr>
              <w:t>1,184,675.95</w:t>
            </w:r>
          </w:p>
        </w:tc>
      </w:tr>
      <w:tr>
        <w:trPr>
          <w:trHeight w:val="194" w:hRule="exact"/>
        </w:trPr>
        <w:tc>
          <w:tcPr>
            <w:tcW w:w="4807" w:type="dxa"/>
          </w:tcPr>
          <w:p>
            <w:pPr>
              <w:pStyle w:val="TableParagraph"/>
              <w:ind w:left="14"/>
              <w:rPr>
                <w:rFonts w:ascii="Calibri"/>
                <w:sz w:val="13"/>
              </w:rPr>
            </w:pPr>
            <w:r>
              <w:rPr>
                <w:rFonts w:ascii="Calibri"/>
                <w:w w:val="105"/>
                <w:sz w:val="13"/>
              </w:rPr>
              <w:t>SISTEMA DE CAP. Y CE</w:t>
            </w:r>
          </w:p>
        </w:tc>
        <w:tc>
          <w:tcPr>
            <w:tcW w:w="2148" w:type="dxa"/>
          </w:tcPr>
          <w:p>
            <w:pPr>
              <w:pStyle w:val="TableParagraph"/>
              <w:ind w:left="0" w:right="14"/>
              <w:jc w:val="right"/>
              <w:rPr>
                <w:rFonts w:ascii="Calibri"/>
                <w:sz w:val="13"/>
              </w:rPr>
            </w:pPr>
            <w:r>
              <w:rPr>
                <w:rFonts w:ascii="Calibri"/>
                <w:w w:val="105"/>
                <w:sz w:val="13"/>
              </w:rPr>
              <w:t>154,142.00</w:t>
            </w:r>
          </w:p>
        </w:tc>
      </w:tr>
      <w:tr>
        <w:trPr>
          <w:trHeight w:val="194" w:hRule="exact"/>
        </w:trPr>
        <w:tc>
          <w:tcPr>
            <w:tcW w:w="4807" w:type="dxa"/>
          </w:tcPr>
          <w:p>
            <w:pPr>
              <w:pStyle w:val="TableParagraph"/>
              <w:ind w:left="14"/>
              <w:rPr>
                <w:rFonts w:ascii="Calibri"/>
                <w:sz w:val="13"/>
              </w:rPr>
            </w:pPr>
            <w:r>
              <w:rPr>
                <w:rFonts w:ascii="Calibri"/>
                <w:w w:val="105"/>
                <w:sz w:val="13"/>
              </w:rPr>
              <w:t>SERVICIOS MEDICOS Y</w:t>
            </w:r>
          </w:p>
        </w:tc>
        <w:tc>
          <w:tcPr>
            <w:tcW w:w="2148" w:type="dxa"/>
          </w:tcPr>
          <w:p>
            <w:pPr>
              <w:pStyle w:val="TableParagraph"/>
              <w:ind w:left="0" w:right="14"/>
              <w:jc w:val="right"/>
              <w:rPr>
                <w:rFonts w:ascii="Calibri"/>
                <w:sz w:val="13"/>
              </w:rPr>
            </w:pPr>
            <w:r>
              <w:rPr>
                <w:rFonts w:ascii="Calibri"/>
                <w:w w:val="105"/>
                <w:sz w:val="13"/>
              </w:rPr>
              <w:t>1,267,160.00</w:t>
            </w:r>
          </w:p>
        </w:tc>
      </w:tr>
      <w:tr>
        <w:trPr>
          <w:trHeight w:val="194" w:hRule="exact"/>
        </w:trPr>
        <w:tc>
          <w:tcPr>
            <w:tcW w:w="4807" w:type="dxa"/>
          </w:tcPr>
          <w:p>
            <w:pPr>
              <w:pStyle w:val="TableParagraph"/>
              <w:ind w:left="14"/>
              <w:rPr>
                <w:rFonts w:ascii="Calibri"/>
                <w:sz w:val="13"/>
              </w:rPr>
            </w:pPr>
            <w:r>
              <w:rPr>
                <w:rFonts w:ascii="Calibri"/>
                <w:w w:val="105"/>
                <w:sz w:val="13"/>
              </w:rPr>
              <w:t>CUOTAS CENTRO ACUTICO</w:t>
            </w:r>
          </w:p>
        </w:tc>
        <w:tc>
          <w:tcPr>
            <w:tcW w:w="2148" w:type="dxa"/>
          </w:tcPr>
          <w:p>
            <w:pPr>
              <w:pStyle w:val="TableParagraph"/>
              <w:ind w:left="0" w:right="14"/>
              <w:jc w:val="right"/>
              <w:rPr>
                <w:rFonts w:ascii="Calibri"/>
                <w:sz w:val="13"/>
              </w:rPr>
            </w:pPr>
            <w:r>
              <w:rPr>
                <w:rFonts w:ascii="Calibri"/>
                <w:w w:val="105"/>
                <w:sz w:val="13"/>
              </w:rPr>
              <w:t>19,457,537.02</w:t>
            </w:r>
          </w:p>
        </w:tc>
      </w:tr>
      <w:tr>
        <w:trPr>
          <w:trHeight w:val="194" w:hRule="exact"/>
        </w:trPr>
        <w:tc>
          <w:tcPr>
            <w:tcW w:w="4807" w:type="dxa"/>
          </w:tcPr>
          <w:p>
            <w:pPr>
              <w:pStyle w:val="TableParagraph"/>
              <w:ind w:left="14"/>
              <w:rPr>
                <w:rFonts w:ascii="Calibri"/>
                <w:sz w:val="13"/>
              </w:rPr>
            </w:pPr>
            <w:r>
              <w:rPr>
                <w:rFonts w:ascii="Calibri"/>
                <w:w w:val="105"/>
                <w:sz w:val="13"/>
              </w:rPr>
              <w:t>RENTA DE INSTALACION</w:t>
            </w:r>
          </w:p>
        </w:tc>
        <w:tc>
          <w:tcPr>
            <w:tcW w:w="2148" w:type="dxa"/>
          </w:tcPr>
          <w:p>
            <w:pPr>
              <w:pStyle w:val="TableParagraph"/>
              <w:ind w:left="0" w:right="14"/>
              <w:jc w:val="right"/>
              <w:rPr>
                <w:rFonts w:ascii="Calibri"/>
                <w:sz w:val="13"/>
              </w:rPr>
            </w:pPr>
            <w:r>
              <w:rPr>
                <w:rFonts w:ascii="Calibri"/>
                <w:w w:val="105"/>
                <w:sz w:val="13"/>
              </w:rPr>
              <w:t>10,252,394.18</w:t>
            </w:r>
          </w:p>
        </w:tc>
      </w:tr>
      <w:tr>
        <w:trPr>
          <w:trHeight w:val="194" w:hRule="exact"/>
        </w:trPr>
        <w:tc>
          <w:tcPr>
            <w:tcW w:w="4807" w:type="dxa"/>
          </w:tcPr>
          <w:p>
            <w:pPr>
              <w:pStyle w:val="TableParagraph"/>
              <w:ind w:left="14"/>
              <w:rPr>
                <w:rFonts w:ascii="Calibri"/>
                <w:sz w:val="13"/>
              </w:rPr>
            </w:pPr>
            <w:r>
              <w:rPr>
                <w:rFonts w:ascii="Calibri"/>
                <w:w w:val="105"/>
                <w:sz w:val="13"/>
              </w:rPr>
              <w:t>DONATIVOS EN EFECTIVO</w:t>
            </w:r>
          </w:p>
        </w:tc>
        <w:tc>
          <w:tcPr>
            <w:tcW w:w="2148" w:type="dxa"/>
          </w:tcPr>
          <w:p>
            <w:pPr>
              <w:pStyle w:val="TableParagraph"/>
              <w:ind w:left="0" w:right="14"/>
              <w:jc w:val="right"/>
              <w:rPr>
                <w:rFonts w:ascii="Calibri"/>
                <w:sz w:val="13"/>
              </w:rPr>
            </w:pPr>
            <w:r>
              <w:rPr>
                <w:rFonts w:ascii="Calibri"/>
                <w:w w:val="105"/>
                <w:sz w:val="13"/>
              </w:rPr>
              <w:t>3,000,000.00</w:t>
            </w:r>
          </w:p>
        </w:tc>
      </w:tr>
      <w:tr>
        <w:trPr>
          <w:trHeight w:val="194" w:hRule="exact"/>
        </w:trPr>
        <w:tc>
          <w:tcPr>
            <w:tcW w:w="4807" w:type="dxa"/>
          </w:tcPr>
          <w:p>
            <w:pPr>
              <w:pStyle w:val="TableParagraph"/>
              <w:ind w:left="14"/>
              <w:rPr>
                <w:rFonts w:ascii="Calibri"/>
                <w:sz w:val="13"/>
              </w:rPr>
            </w:pPr>
            <w:r>
              <w:rPr>
                <w:rFonts w:ascii="Calibri"/>
                <w:w w:val="105"/>
                <w:sz w:val="13"/>
              </w:rPr>
              <w:t>COMISIONES EXENTAS</w:t>
            </w:r>
          </w:p>
        </w:tc>
        <w:tc>
          <w:tcPr>
            <w:tcW w:w="2148" w:type="dxa"/>
          </w:tcPr>
          <w:p>
            <w:pPr>
              <w:pStyle w:val="TableParagraph"/>
              <w:ind w:left="0" w:right="14"/>
              <w:jc w:val="right"/>
              <w:rPr>
                <w:rFonts w:ascii="Calibri"/>
                <w:sz w:val="13"/>
              </w:rPr>
            </w:pPr>
            <w:r>
              <w:rPr>
                <w:rFonts w:ascii="Calibri"/>
                <w:w w:val="105"/>
                <w:sz w:val="13"/>
              </w:rPr>
              <w:t>5,000.00</w:t>
            </w:r>
          </w:p>
        </w:tc>
      </w:tr>
      <w:tr>
        <w:trPr>
          <w:trHeight w:val="194" w:hRule="exact"/>
        </w:trPr>
        <w:tc>
          <w:tcPr>
            <w:tcW w:w="4807" w:type="dxa"/>
          </w:tcPr>
          <w:p>
            <w:pPr>
              <w:pStyle w:val="TableParagraph"/>
              <w:ind w:left="14"/>
              <w:rPr>
                <w:rFonts w:ascii="Calibri"/>
                <w:sz w:val="13"/>
              </w:rPr>
            </w:pPr>
            <w:r>
              <w:rPr>
                <w:rFonts w:ascii="Calibri"/>
                <w:w w:val="105"/>
                <w:sz w:val="13"/>
              </w:rPr>
              <w:t>INDEMNIZACIONES (REC</w:t>
            </w:r>
          </w:p>
        </w:tc>
        <w:tc>
          <w:tcPr>
            <w:tcW w:w="2148" w:type="dxa"/>
          </w:tcPr>
          <w:p>
            <w:pPr>
              <w:pStyle w:val="TableParagraph"/>
              <w:ind w:left="0" w:right="14"/>
              <w:jc w:val="right"/>
              <w:rPr>
                <w:rFonts w:ascii="Calibri"/>
                <w:sz w:val="13"/>
              </w:rPr>
            </w:pPr>
            <w:r>
              <w:rPr>
                <w:rFonts w:ascii="Calibri"/>
                <w:w w:val="105"/>
                <w:sz w:val="13"/>
              </w:rPr>
              <w:t>100,000.00</w:t>
            </w:r>
          </w:p>
        </w:tc>
      </w:tr>
      <w:tr>
        <w:trPr>
          <w:trHeight w:val="194" w:hRule="exact"/>
        </w:trPr>
        <w:tc>
          <w:tcPr>
            <w:tcW w:w="4807" w:type="dxa"/>
          </w:tcPr>
          <w:p>
            <w:pPr>
              <w:pStyle w:val="TableParagraph"/>
              <w:ind w:left="14"/>
              <w:rPr>
                <w:rFonts w:ascii="Calibri"/>
                <w:sz w:val="13"/>
              </w:rPr>
            </w:pPr>
            <w:r>
              <w:rPr>
                <w:rFonts w:ascii="Calibri"/>
                <w:w w:val="105"/>
                <w:sz w:val="13"/>
              </w:rPr>
              <w:t>SANCIONES A CONTRATISTAS</w:t>
            </w:r>
          </w:p>
        </w:tc>
        <w:tc>
          <w:tcPr>
            <w:tcW w:w="2148" w:type="dxa"/>
          </w:tcPr>
          <w:p>
            <w:pPr>
              <w:pStyle w:val="TableParagraph"/>
              <w:ind w:left="0" w:right="14"/>
              <w:jc w:val="right"/>
              <w:rPr>
                <w:rFonts w:ascii="Calibri"/>
                <w:sz w:val="13"/>
              </w:rPr>
            </w:pPr>
            <w:r>
              <w:rPr>
                <w:rFonts w:ascii="Calibri"/>
                <w:w w:val="105"/>
                <w:sz w:val="13"/>
              </w:rPr>
              <w:t>120,000.00</w:t>
            </w:r>
          </w:p>
        </w:tc>
      </w:tr>
      <w:tr>
        <w:trPr>
          <w:trHeight w:val="194" w:hRule="exact"/>
        </w:trPr>
        <w:tc>
          <w:tcPr>
            <w:tcW w:w="4807" w:type="dxa"/>
          </w:tcPr>
          <w:p>
            <w:pPr/>
          </w:p>
        </w:tc>
        <w:tc>
          <w:tcPr>
            <w:tcW w:w="2148" w:type="dxa"/>
          </w:tcPr>
          <w:p>
            <w:pPr/>
          </w:p>
        </w:tc>
      </w:tr>
      <w:tr>
        <w:trPr>
          <w:trHeight w:val="194" w:hRule="exact"/>
        </w:trPr>
        <w:tc>
          <w:tcPr>
            <w:tcW w:w="4807" w:type="dxa"/>
          </w:tcPr>
          <w:p>
            <w:pPr>
              <w:pStyle w:val="TableParagraph"/>
              <w:ind w:left="14"/>
              <w:rPr>
                <w:rFonts w:ascii="Calibri"/>
                <w:b/>
                <w:sz w:val="13"/>
              </w:rPr>
            </w:pPr>
            <w:r>
              <w:rPr>
                <w:rFonts w:ascii="Calibri"/>
                <w:b/>
                <w:w w:val="105"/>
                <w:sz w:val="13"/>
              </w:rPr>
              <w:t>TOTAL</w:t>
            </w:r>
          </w:p>
        </w:tc>
        <w:tc>
          <w:tcPr>
            <w:tcW w:w="2148" w:type="dxa"/>
          </w:tcPr>
          <w:p>
            <w:pPr>
              <w:pStyle w:val="TableParagraph"/>
              <w:ind w:left="0" w:right="14"/>
              <w:jc w:val="right"/>
              <w:rPr>
                <w:rFonts w:ascii="Calibri"/>
                <w:b/>
                <w:sz w:val="13"/>
              </w:rPr>
            </w:pPr>
            <w:r>
              <w:rPr>
                <w:rFonts w:ascii="Calibri"/>
                <w:b/>
                <w:w w:val="105"/>
                <w:sz w:val="13"/>
              </w:rPr>
              <w:t>42,759,909.15</w:t>
            </w:r>
          </w:p>
        </w:tc>
      </w:tr>
    </w:tbl>
    <w:p>
      <w:pPr>
        <w:pStyle w:val="BodyText"/>
        <w:rPr>
          <w:sz w:val="14"/>
        </w:rPr>
      </w:pPr>
    </w:p>
    <w:p>
      <w:pPr>
        <w:pStyle w:val="BodyText"/>
        <w:spacing w:before="7"/>
        <w:rPr>
          <w:sz w:val="20"/>
        </w:rPr>
      </w:pPr>
    </w:p>
    <w:p>
      <w:pPr>
        <w:pStyle w:val="BodyText"/>
        <w:spacing w:line="297" w:lineRule="auto" w:before="1"/>
        <w:ind w:left="101" w:right="8090" w:firstLine="26"/>
      </w:pPr>
      <w:r>
        <w:rPr>
          <w:w w:val="105"/>
        </w:rPr>
        <w:t>11 Información sobre la Deuda y el Reporte Analítico de la Deuda Se informará lo siguiente:</w:t>
      </w:r>
    </w:p>
    <w:p>
      <w:pPr>
        <w:pStyle w:val="ListParagraph"/>
        <w:numPr>
          <w:ilvl w:val="0"/>
          <w:numId w:val="1"/>
        </w:numPr>
        <w:tabs>
          <w:tab w:pos="340" w:val="left" w:leader="none"/>
        </w:tabs>
        <w:spacing w:line="240" w:lineRule="auto" w:before="19" w:after="0"/>
        <w:ind w:left="339" w:right="0" w:hanging="238"/>
        <w:jc w:val="left"/>
        <w:rPr>
          <w:sz w:val="13"/>
        </w:rPr>
      </w:pPr>
      <w:r>
        <w:rPr>
          <w:w w:val="105"/>
          <w:sz w:val="13"/>
        </w:rPr>
        <w:t>Utilizar al menos los siguientes indicadores: deuda respecto al PIB y deuda respecto a la recaudación tomando, como mínimo, un período igual o menor a 5 </w:t>
      </w:r>
      <w:r>
        <w:rPr>
          <w:spacing w:val="21"/>
          <w:w w:val="105"/>
          <w:sz w:val="13"/>
        </w:rPr>
        <w:t> </w:t>
      </w:r>
      <w:r>
        <w:rPr>
          <w:w w:val="105"/>
          <w:sz w:val="13"/>
        </w:rPr>
        <w:t>años.</w:t>
      </w:r>
    </w:p>
    <w:p>
      <w:pPr>
        <w:pStyle w:val="BodyText"/>
        <w:spacing w:before="2"/>
        <w:rPr>
          <w:sz w:val="10"/>
        </w:rPr>
      </w:pPr>
    </w:p>
    <w:p>
      <w:pPr>
        <w:pStyle w:val="ListParagraph"/>
        <w:numPr>
          <w:ilvl w:val="0"/>
          <w:numId w:val="1"/>
        </w:numPr>
        <w:tabs>
          <w:tab w:pos="302" w:val="left" w:leader="none"/>
        </w:tabs>
        <w:spacing w:line="240" w:lineRule="auto" w:before="102" w:after="0"/>
        <w:ind w:left="301" w:right="0" w:hanging="200"/>
        <w:jc w:val="left"/>
        <w:rPr>
          <w:sz w:val="13"/>
        </w:rPr>
      </w:pPr>
      <w:r>
        <w:rPr>
          <w:w w:val="105"/>
          <w:sz w:val="13"/>
        </w:rPr>
        <w:t>Información de manera agrupada por tipo de valor gubernamental o instrumento financiero en la que se considere intereses, comisiones, tasa, perfil de vencimiento y otros gastos de la </w:t>
      </w:r>
      <w:r>
        <w:rPr>
          <w:spacing w:val="37"/>
          <w:w w:val="105"/>
          <w:sz w:val="13"/>
        </w:rPr>
        <w:t> </w:t>
      </w:r>
      <w:r>
        <w:rPr>
          <w:w w:val="105"/>
          <w:sz w:val="13"/>
        </w:rPr>
        <w:t>deuda.</w:t>
      </w:r>
    </w:p>
    <w:p>
      <w:pPr>
        <w:pStyle w:val="BodyText"/>
        <w:spacing w:before="10"/>
        <w:rPr>
          <w:sz w:val="19"/>
        </w:rPr>
      </w:pPr>
    </w:p>
    <w:p>
      <w:pPr>
        <w:pStyle w:val="BodyText"/>
        <w:spacing w:before="1"/>
        <w:ind w:left="101"/>
      </w:pPr>
      <w:r>
        <w:rPr>
          <w:color w:val="44546A"/>
          <w:w w:val="105"/>
        </w:rPr>
        <w:t>Esta nota no le aplica al ente público</w:t>
      </w:r>
    </w:p>
    <w:p>
      <w:pPr>
        <w:pStyle w:val="BodyText"/>
        <w:spacing w:before="9"/>
        <w:rPr>
          <w:sz w:val="20"/>
        </w:rPr>
      </w:pPr>
    </w:p>
    <w:p>
      <w:pPr>
        <w:pStyle w:val="BodyText"/>
        <w:ind w:left="101"/>
      </w:pPr>
      <w:r>
        <w:rPr>
          <w:w w:val="105"/>
        </w:rPr>
        <w:t>12. Calificaciones otorgadas</w:t>
      </w:r>
    </w:p>
    <w:p>
      <w:pPr>
        <w:pStyle w:val="BodyText"/>
        <w:spacing w:line="312" w:lineRule="auto" w:before="44"/>
        <w:ind w:left="101" w:right="4785"/>
      </w:pPr>
      <w:r>
        <w:rPr>
          <w:w w:val="105"/>
        </w:rPr>
        <w:t>Informar, tanto del ente público como cualquier transacción realizada, que haya sido sujeta a una calificación crediticia. </w:t>
      </w:r>
      <w:r>
        <w:rPr>
          <w:color w:val="44546A"/>
          <w:w w:val="105"/>
        </w:rPr>
        <w:t>Esta nota no le aplica al ente público</w:t>
      </w:r>
    </w:p>
    <w:p>
      <w:pPr>
        <w:pStyle w:val="BodyText"/>
        <w:spacing w:line="297" w:lineRule="auto" w:before="10"/>
        <w:ind w:left="101" w:right="10730" w:firstLine="26"/>
      </w:pPr>
      <w:r>
        <w:rPr>
          <w:w w:val="105"/>
        </w:rPr>
        <w:t>13 Proceso de Mejora Se informará de:</w:t>
      </w:r>
    </w:p>
    <w:p>
      <w:pPr>
        <w:pStyle w:val="ListParagraph"/>
        <w:numPr>
          <w:ilvl w:val="0"/>
          <w:numId w:val="2"/>
        </w:numPr>
        <w:tabs>
          <w:tab w:pos="340" w:val="left" w:leader="none"/>
        </w:tabs>
        <w:spacing w:line="240" w:lineRule="auto" w:before="19" w:after="0"/>
        <w:ind w:left="339" w:right="0" w:hanging="238"/>
        <w:jc w:val="left"/>
        <w:rPr>
          <w:sz w:val="13"/>
        </w:rPr>
      </w:pPr>
      <w:r>
        <w:rPr>
          <w:w w:val="105"/>
          <w:sz w:val="13"/>
        </w:rPr>
        <w:t>Principales Políticas de control</w:t>
      </w:r>
      <w:r>
        <w:rPr>
          <w:spacing w:val="10"/>
          <w:w w:val="105"/>
          <w:sz w:val="13"/>
        </w:rPr>
        <w:t> </w:t>
      </w:r>
      <w:r>
        <w:rPr>
          <w:w w:val="105"/>
          <w:sz w:val="13"/>
        </w:rPr>
        <w:t>interno</w:t>
      </w:r>
    </w:p>
    <w:p>
      <w:pPr>
        <w:pStyle w:val="ListParagraph"/>
        <w:numPr>
          <w:ilvl w:val="0"/>
          <w:numId w:val="2"/>
        </w:numPr>
        <w:tabs>
          <w:tab w:pos="340" w:val="left" w:leader="none"/>
        </w:tabs>
        <w:spacing w:line="240" w:lineRule="auto" w:before="44" w:after="0"/>
        <w:ind w:left="339" w:right="0" w:hanging="238"/>
        <w:jc w:val="left"/>
        <w:rPr>
          <w:sz w:val="13"/>
        </w:rPr>
      </w:pPr>
      <w:r>
        <w:rPr>
          <w:w w:val="105"/>
          <w:sz w:val="13"/>
        </w:rPr>
        <w:t>Medidas de desempeño financiero, metas y</w:t>
      </w:r>
      <w:r>
        <w:rPr>
          <w:spacing w:val="15"/>
          <w:w w:val="105"/>
          <w:sz w:val="13"/>
        </w:rPr>
        <w:t> </w:t>
      </w:r>
      <w:r>
        <w:rPr>
          <w:w w:val="105"/>
          <w:sz w:val="13"/>
        </w:rPr>
        <w:t>alcance.</w:t>
      </w:r>
    </w:p>
    <w:p>
      <w:pPr>
        <w:spacing w:after="0" w:line="240" w:lineRule="auto"/>
        <w:jc w:val="left"/>
        <w:rPr>
          <w:sz w:val="13"/>
        </w:rPr>
        <w:sectPr>
          <w:pgSz w:w="16840" w:h="11910" w:orient="landscape"/>
          <w:pgMar w:top="1020" w:bottom="280" w:left="2080" w:right="2420"/>
        </w:sectPr>
      </w:pPr>
    </w:p>
    <w:tbl>
      <w:tblPr>
        <w:tblW w:w="0" w:type="auto"/>
        <w:jc w:val="left"/>
        <w:tblInd w:w="105"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45"/>
        <w:gridCol w:w="12115"/>
      </w:tblGrid>
      <w:tr>
        <w:trPr>
          <w:trHeight w:val="174" w:hRule="exact"/>
        </w:trPr>
        <w:tc>
          <w:tcPr>
            <w:tcW w:w="345" w:type="dxa"/>
          </w:tcPr>
          <w:p>
            <w:pPr/>
          </w:p>
        </w:tc>
        <w:tc>
          <w:tcPr>
            <w:tcW w:w="12115" w:type="dxa"/>
          </w:tcPr>
          <w:p>
            <w:pPr>
              <w:pStyle w:val="TableParagraph"/>
              <w:spacing w:line="143" w:lineRule="exact" w:before="0"/>
              <w:ind w:left="4371" w:right="4616"/>
              <w:jc w:val="center"/>
              <w:rPr>
                <w:b/>
                <w:sz w:val="13"/>
              </w:rPr>
            </w:pPr>
            <w:r>
              <w:rPr>
                <w:b/>
                <w:w w:val="105"/>
                <w:sz w:val="13"/>
              </w:rPr>
              <w:t>Comisión de Deporte del Estado de Guanajuato</w:t>
            </w:r>
          </w:p>
        </w:tc>
      </w:tr>
      <w:tr>
        <w:trPr>
          <w:trHeight w:val="194" w:hRule="exact"/>
        </w:trPr>
        <w:tc>
          <w:tcPr>
            <w:tcW w:w="345" w:type="dxa"/>
          </w:tcPr>
          <w:p>
            <w:pPr/>
          </w:p>
        </w:tc>
        <w:tc>
          <w:tcPr>
            <w:tcW w:w="12115" w:type="dxa"/>
          </w:tcPr>
          <w:p>
            <w:pPr>
              <w:pStyle w:val="TableParagraph"/>
              <w:spacing w:before="14"/>
              <w:ind w:left="4370" w:right="4616"/>
              <w:jc w:val="center"/>
              <w:rPr>
                <w:b/>
                <w:sz w:val="13"/>
              </w:rPr>
            </w:pPr>
            <w:r>
              <w:rPr>
                <w:b/>
                <w:w w:val="105"/>
                <w:sz w:val="13"/>
              </w:rPr>
              <w:t>Notas a los Estados Financieros</w:t>
            </w:r>
          </w:p>
        </w:tc>
      </w:tr>
      <w:tr>
        <w:trPr>
          <w:trHeight w:val="194" w:hRule="exact"/>
        </w:trPr>
        <w:tc>
          <w:tcPr>
            <w:tcW w:w="345" w:type="dxa"/>
          </w:tcPr>
          <w:p>
            <w:pPr/>
          </w:p>
        </w:tc>
        <w:tc>
          <w:tcPr>
            <w:tcW w:w="12115" w:type="dxa"/>
          </w:tcPr>
          <w:p>
            <w:pPr>
              <w:pStyle w:val="TableParagraph"/>
              <w:spacing w:before="14"/>
              <w:ind w:left="4371" w:right="4613"/>
              <w:jc w:val="center"/>
              <w:rPr>
                <w:b/>
                <w:sz w:val="13"/>
              </w:rPr>
            </w:pPr>
            <w:r>
              <w:rPr>
                <w:b/>
                <w:w w:val="105"/>
                <w:sz w:val="13"/>
              </w:rPr>
              <w:t>Al 31 de Marzo de 2024</w:t>
            </w:r>
          </w:p>
        </w:tc>
      </w:tr>
      <w:tr>
        <w:trPr>
          <w:trHeight w:val="292" w:hRule="exact"/>
        </w:trPr>
        <w:tc>
          <w:tcPr>
            <w:tcW w:w="345" w:type="dxa"/>
          </w:tcPr>
          <w:p>
            <w:pPr/>
          </w:p>
        </w:tc>
        <w:tc>
          <w:tcPr>
            <w:tcW w:w="12115" w:type="dxa"/>
          </w:tcPr>
          <w:p>
            <w:pPr>
              <w:pStyle w:val="TableParagraph"/>
              <w:spacing w:before="14"/>
              <w:ind w:left="4371" w:right="4613"/>
              <w:jc w:val="center"/>
              <w:rPr>
                <w:sz w:val="13"/>
              </w:rPr>
            </w:pPr>
            <w:r>
              <w:rPr>
                <w:w w:val="105"/>
                <w:sz w:val="13"/>
              </w:rPr>
              <w:t>(Cifras en Pesos)</w:t>
            </w:r>
          </w:p>
        </w:tc>
      </w:tr>
      <w:tr>
        <w:trPr>
          <w:trHeight w:val="394" w:hRule="exact"/>
        </w:trPr>
        <w:tc>
          <w:tcPr>
            <w:tcW w:w="12460" w:type="dxa"/>
            <w:gridSpan w:val="2"/>
          </w:tcPr>
          <w:p>
            <w:pPr>
              <w:pStyle w:val="TableParagraph"/>
              <w:spacing w:before="111"/>
              <w:rPr>
                <w:sz w:val="13"/>
              </w:rPr>
            </w:pPr>
            <w:r>
              <w:rPr>
                <w:color w:val="44546A"/>
                <w:w w:val="105"/>
                <w:sz w:val="13"/>
              </w:rPr>
              <w:t>Esta nota no le aplica al ente público</w:t>
            </w:r>
          </w:p>
        </w:tc>
      </w:tr>
      <w:tr>
        <w:trPr>
          <w:trHeight w:val="334" w:hRule="exact"/>
        </w:trPr>
        <w:tc>
          <w:tcPr>
            <w:tcW w:w="345" w:type="dxa"/>
          </w:tcPr>
          <w:p>
            <w:pPr>
              <w:pStyle w:val="TableParagraph"/>
              <w:spacing w:before="116"/>
              <w:ind w:left="0" w:right="26"/>
              <w:jc w:val="right"/>
              <w:rPr>
                <w:sz w:val="13"/>
              </w:rPr>
            </w:pPr>
            <w:r>
              <w:rPr>
                <w:w w:val="105"/>
                <w:sz w:val="13"/>
              </w:rPr>
              <w:t>14</w:t>
            </w:r>
          </w:p>
        </w:tc>
        <w:tc>
          <w:tcPr>
            <w:tcW w:w="12115" w:type="dxa"/>
          </w:tcPr>
          <w:p>
            <w:pPr>
              <w:pStyle w:val="TableParagraph"/>
              <w:spacing w:before="116"/>
              <w:ind w:left="28"/>
              <w:rPr>
                <w:sz w:val="13"/>
              </w:rPr>
            </w:pPr>
            <w:r>
              <w:rPr>
                <w:w w:val="105"/>
                <w:sz w:val="13"/>
              </w:rPr>
              <w:t>Información por Segmentos</w:t>
            </w:r>
          </w:p>
        </w:tc>
      </w:tr>
      <w:tr>
        <w:trPr>
          <w:trHeight w:val="707" w:hRule="exact"/>
        </w:trPr>
        <w:tc>
          <w:tcPr>
            <w:tcW w:w="12460" w:type="dxa"/>
            <w:gridSpan w:val="2"/>
          </w:tcPr>
          <w:p>
            <w:pPr>
              <w:pStyle w:val="TableParagraph"/>
              <w:spacing w:line="268" w:lineRule="auto" w:before="51"/>
              <w:rPr>
                <w:sz w:val="13"/>
              </w:rPr>
            </w:pPr>
            <w:r>
              <w:rPr>
                <w:w w:val="105"/>
                <w:sz w:val="13"/>
              </w:rPr>
              <w:t>Cuando se considere necesario se podrá revelar la información financiera de manera segmentada debido a la diversidad de las actividades y operaciones que se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tc>
      </w:tr>
      <w:tr>
        <w:trPr>
          <w:trHeight w:val="431" w:hRule="exact"/>
        </w:trPr>
        <w:tc>
          <w:tcPr>
            <w:tcW w:w="12460" w:type="dxa"/>
            <w:gridSpan w:val="2"/>
          </w:tcPr>
          <w:p>
            <w:pPr>
              <w:pStyle w:val="TableParagraph"/>
              <w:spacing w:before="3"/>
              <w:ind w:left="0"/>
              <w:rPr>
                <w:sz w:val="13"/>
              </w:rPr>
            </w:pPr>
          </w:p>
          <w:p>
            <w:pPr>
              <w:pStyle w:val="TableParagraph"/>
              <w:spacing w:before="0"/>
              <w:rPr>
                <w:sz w:val="13"/>
              </w:rPr>
            </w:pPr>
            <w:r>
              <w:rPr>
                <w:w w:val="105"/>
                <w:sz w:val="13"/>
              </w:rPr>
              <w:t>Consecuentemente, esta información contribuye al análisis más preciso de la situación financiera, grados y fuentes de  riesgo.</w:t>
            </w:r>
          </w:p>
        </w:tc>
      </w:tr>
      <w:tr>
        <w:trPr>
          <w:trHeight w:val="394" w:hRule="exact"/>
        </w:trPr>
        <w:tc>
          <w:tcPr>
            <w:tcW w:w="12460" w:type="dxa"/>
            <w:gridSpan w:val="2"/>
          </w:tcPr>
          <w:p>
            <w:pPr>
              <w:pStyle w:val="TableParagraph"/>
              <w:spacing w:before="111"/>
              <w:rPr>
                <w:sz w:val="13"/>
              </w:rPr>
            </w:pPr>
            <w:r>
              <w:rPr>
                <w:color w:val="44546A"/>
                <w:w w:val="105"/>
                <w:sz w:val="13"/>
              </w:rPr>
              <w:t>Esta nota no le aplica al ente público</w:t>
            </w:r>
          </w:p>
        </w:tc>
      </w:tr>
      <w:tr>
        <w:trPr>
          <w:trHeight w:val="312" w:hRule="exact"/>
        </w:trPr>
        <w:tc>
          <w:tcPr>
            <w:tcW w:w="345" w:type="dxa"/>
          </w:tcPr>
          <w:p>
            <w:pPr>
              <w:pStyle w:val="TableParagraph"/>
              <w:spacing w:before="116"/>
              <w:ind w:left="0" w:right="26"/>
              <w:jc w:val="right"/>
              <w:rPr>
                <w:sz w:val="13"/>
              </w:rPr>
            </w:pPr>
            <w:r>
              <w:rPr>
                <w:w w:val="105"/>
                <w:sz w:val="13"/>
              </w:rPr>
              <w:t>15</w:t>
            </w:r>
          </w:p>
        </w:tc>
        <w:tc>
          <w:tcPr>
            <w:tcW w:w="12115" w:type="dxa"/>
          </w:tcPr>
          <w:p>
            <w:pPr>
              <w:pStyle w:val="TableParagraph"/>
              <w:spacing w:before="116"/>
              <w:ind w:left="28"/>
              <w:rPr>
                <w:sz w:val="13"/>
              </w:rPr>
            </w:pPr>
            <w:r>
              <w:rPr>
                <w:w w:val="105"/>
                <w:sz w:val="13"/>
              </w:rPr>
              <w:t>Eventos Posteriores al Cierre</w:t>
            </w:r>
          </w:p>
        </w:tc>
      </w:tr>
      <w:tr>
        <w:trPr>
          <w:trHeight w:val="494" w:hRule="exact"/>
        </w:trPr>
        <w:tc>
          <w:tcPr>
            <w:tcW w:w="12460" w:type="dxa"/>
            <w:gridSpan w:val="2"/>
          </w:tcPr>
          <w:p>
            <w:pPr>
              <w:pStyle w:val="TableParagraph"/>
              <w:spacing w:line="268" w:lineRule="auto" w:before="29"/>
              <w:rPr>
                <w:sz w:val="13"/>
              </w:rPr>
            </w:pPr>
            <w:r>
              <w:rPr>
                <w:w w:val="105"/>
                <w:sz w:val="13"/>
              </w:rPr>
              <w:t>El ente público informará el efecto en sus estados financieros de aquellos hechos ocurridos en el período posterior al que informa, que proporcionan mayor evidencia sobre eventos que le afectan económicamente y que no se conocían a la fecha de cierre.</w:t>
            </w:r>
          </w:p>
        </w:tc>
      </w:tr>
      <w:tr>
        <w:trPr>
          <w:trHeight w:val="413" w:hRule="exact"/>
        </w:trPr>
        <w:tc>
          <w:tcPr>
            <w:tcW w:w="12460" w:type="dxa"/>
            <w:gridSpan w:val="2"/>
          </w:tcPr>
          <w:p>
            <w:pPr>
              <w:pStyle w:val="TableParagraph"/>
              <w:spacing w:before="3"/>
              <w:ind w:left="0"/>
              <w:rPr>
                <w:sz w:val="11"/>
              </w:rPr>
            </w:pPr>
          </w:p>
          <w:p>
            <w:pPr>
              <w:pStyle w:val="TableParagraph"/>
              <w:spacing w:before="1"/>
              <w:rPr>
                <w:sz w:val="13"/>
              </w:rPr>
            </w:pPr>
            <w:r>
              <w:rPr>
                <w:color w:val="44546A"/>
                <w:w w:val="105"/>
                <w:sz w:val="13"/>
              </w:rPr>
              <w:t>Esta nota no le aplica al ente público</w:t>
            </w:r>
          </w:p>
        </w:tc>
      </w:tr>
      <w:tr>
        <w:trPr>
          <w:trHeight w:val="292" w:hRule="exact"/>
        </w:trPr>
        <w:tc>
          <w:tcPr>
            <w:tcW w:w="345" w:type="dxa"/>
          </w:tcPr>
          <w:p>
            <w:pPr>
              <w:pStyle w:val="TableParagraph"/>
              <w:spacing w:before="116"/>
              <w:ind w:left="0" w:right="26"/>
              <w:jc w:val="right"/>
              <w:rPr>
                <w:sz w:val="13"/>
              </w:rPr>
            </w:pPr>
            <w:r>
              <w:rPr>
                <w:w w:val="105"/>
                <w:sz w:val="13"/>
              </w:rPr>
              <w:t>16</w:t>
            </w:r>
          </w:p>
        </w:tc>
        <w:tc>
          <w:tcPr>
            <w:tcW w:w="12115" w:type="dxa"/>
          </w:tcPr>
          <w:p>
            <w:pPr>
              <w:pStyle w:val="TableParagraph"/>
              <w:spacing w:before="116"/>
              <w:ind w:left="28"/>
              <w:rPr>
                <w:sz w:val="13"/>
              </w:rPr>
            </w:pPr>
            <w:r>
              <w:rPr>
                <w:w w:val="105"/>
                <w:sz w:val="13"/>
              </w:rPr>
              <w:t>Partes Relacionadas</w:t>
            </w:r>
          </w:p>
        </w:tc>
      </w:tr>
      <w:tr>
        <w:trPr>
          <w:trHeight w:val="287" w:hRule="exact"/>
        </w:trPr>
        <w:tc>
          <w:tcPr>
            <w:tcW w:w="12460" w:type="dxa"/>
            <w:gridSpan w:val="2"/>
          </w:tcPr>
          <w:p>
            <w:pPr>
              <w:pStyle w:val="TableParagraph"/>
              <w:spacing w:before="9"/>
              <w:rPr>
                <w:sz w:val="13"/>
              </w:rPr>
            </w:pPr>
            <w:r>
              <w:rPr>
                <w:w w:val="105"/>
                <w:sz w:val="13"/>
              </w:rPr>
              <w:t>Se debe establecer por escrito que no existen partes relacionadas que pudieran ejercer influencia significativa sobre la toma de decisiones financieras y  operativas.</w:t>
            </w:r>
          </w:p>
        </w:tc>
      </w:tr>
      <w:tr>
        <w:trPr>
          <w:trHeight w:val="491" w:hRule="exact"/>
        </w:trPr>
        <w:tc>
          <w:tcPr>
            <w:tcW w:w="12460" w:type="dxa"/>
            <w:gridSpan w:val="2"/>
          </w:tcPr>
          <w:p>
            <w:pPr>
              <w:pStyle w:val="TableParagraph"/>
              <w:spacing w:before="111"/>
              <w:rPr>
                <w:sz w:val="13"/>
              </w:rPr>
            </w:pPr>
            <w:r>
              <w:rPr>
                <w:color w:val="44546A"/>
                <w:w w:val="105"/>
                <w:sz w:val="13"/>
              </w:rPr>
              <w:t>Esta nota no le aplica al ente público</w:t>
            </w:r>
          </w:p>
        </w:tc>
      </w:tr>
      <w:tr>
        <w:trPr>
          <w:trHeight w:val="389" w:hRule="exact"/>
        </w:trPr>
        <w:tc>
          <w:tcPr>
            <w:tcW w:w="345" w:type="dxa"/>
          </w:tcPr>
          <w:p>
            <w:pPr>
              <w:pStyle w:val="TableParagraph"/>
              <w:ind w:left="0"/>
              <w:rPr>
                <w:sz w:val="18"/>
              </w:rPr>
            </w:pPr>
          </w:p>
          <w:p>
            <w:pPr>
              <w:pStyle w:val="TableParagraph"/>
              <w:spacing w:before="0"/>
              <w:ind w:left="0" w:right="26"/>
              <w:jc w:val="right"/>
              <w:rPr>
                <w:sz w:val="13"/>
              </w:rPr>
            </w:pPr>
            <w:r>
              <w:rPr>
                <w:w w:val="105"/>
                <w:sz w:val="13"/>
              </w:rPr>
              <w:t>17</w:t>
            </w:r>
          </w:p>
        </w:tc>
        <w:tc>
          <w:tcPr>
            <w:tcW w:w="12115" w:type="dxa"/>
          </w:tcPr>
          <w:p>
            <w:pPr>
              <w:pStyle w:val="TableParagraph"/>
              <w:ind w:left="0"/>
              <w:rPr>
                <w:sz w:val="18"/>
              </w:rPr>
            </w:pPr>
          </w:p>
          <w:p>
            <w:pPr>
              <w:pStyle w:val="TableParagraph"/>
              <w:spacing w:before="0"/>
              <w:ind w:left="28"/>
              <w:rPr>
                <w:sz w:val="13"/>
              </w:rPr>
            </w:pPr>
            <w:r>
              <w:rPr>
                <w:w w:val="105"/>
                <w:sz w:val="13"/>
              </w:rPr>
              <w:t>Responsabilidad Sobre la Presentación Razonable de la Información Contable</w:t>
            </w:r>
          </w:p>
        </w:tc>
      </w:tr>
      <w:tr>
        <w:trPr>
          <w:trHeight w:val="337" w:hRule="exact"/>
        </w:trPr>
        <w:tc>
          <w:tcPr>
            <w:tcW w:w="12460" w:type="dxa"/>
            <w:gridSpan w:val="2"/>
          </w:tcPr>
          <w:p>
            <w:pPr>
              <w:pStyle w:val="TableParagraph"/>
              <w:spacing w:line="268" w:lineRule="auto" w:before="9"/>
              <w:ind w:right="242"/>
              <w:rPr>
                <w:sz w:val="13"/>
              </w:rPr>
            </w:pPr>
            <w:r>
              <w:rPr>
                <w:w w:val="105"/>
                <w:sz w:val="13"/>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tc>
      </w:tr>
    </w:tbl>
    <w:p>
      <w:pPr>
        <w:pStyle w:val="BodyText"/>
        <w:rPr>
          <w:sz w:val="20"/>
        </w:rPr>
      </w:pPr>
    </w:p>
    <w:p>
      <w:pPr>
        <w:pStyle w:val="BodyText"/>
        <w:rPr>
          <w:sz w:val="20"/>
        </w:rPr>
      </w:pPr>
    </w:p>
    <w:p>
      <w:pPr>
        <w:pStyle w:val="BodyText"/>
        <w:rPr>
          <w:sz w:val="20"/>
        </w:rPr>
      </w:pPr>
    </w:p>
    <w:p>
      <w:pPr>
        <w:pStyle w:val="BodyText"/>
        <w:spacing w:before="5"/>
        <w:rPr>
          <w:sz w:val="28"/>
        </w:rPr>
      </w:pPr>
    </w:p>
    <w:p>
      <w:pPr>
        <w:tabs>
          <w:tab w:pos="5074" w:val="left" w:leader="none"/>
        </w:tabs>
        <w:spacing w:line="24" w:lineRule="exact"/>
        <w:ind w:left="1531" w:right="0" w:firstLine="0"/>
        <w:rPr>
          <w:sz w:val="2"/>
        </w:rPr>
      </w:pPr>
      <w:r>
        <w:rPr>
          <w:sz w:val="2"/>
        </w:rPr>
        <w:pict>
          <v:group style="width:107.95pt;height:1.2pt;mso-position-horizontal-relative:char;mso-position-vertical-relative:line" coordorigin="0,0" coordsize="2159,24">
            <v:line style="position:absolute" from="12,12" to="2147,12" stroked="true" strokeweight="1.181755pt" strokecolor="#000000">
              <v:stroke dashstyle="solid"/>
            </v:line>
          </v:group>
        </w:pict>
      </w:r>
      <w:r>
        <w:rPr>
          <w:sz w:val="2"/>
        </w:rPr>
      </w:r>
      <w:r>
        <w:rPr>
          <w:sz w:val="2"/>
        </w:rPr>
        <w:tab/>
      </w:r>
      <w:r>
        <w:rPr>
          <w:sz w:val="2"/>
        </w:rPr>
        <w:pict>
          <v:group style="width:107.95pt;height:1.2pt;mso-position-horizontal-relative:char;mso-position-vertical-relative:line" coordorigin="0,0" coordsize="2159,24">
            <v:line style="position:absolute" from="12,12" to="2147,12" stroked="true" strokeweight="1.181755pt" strokecolor="#000000">
              <v:stroke dashstyle="solid"/>
            </v:line>
          </v:group>
        </w:pict>
      </w:r>
      <w:r>
        <w:rPr>
          <w:sz w:val="2"/>
        </w:rPr>
      </w:r>
    </w:p>
    <w:p>
      <w:pPr>
        <w:spacing w:after="0" w:line="24" w:lineRule="exact"/>
        <w:rPr>
          <w:sz w:val="2"/>
        </w:rPr>
        <w:sectPr>
          <w:pgSz w:w="16840" w:h="11910" w:orient="landscape"/>
          <w:pgMar w:top="1100" w:bottom="280" w:left="1940" w:right="2220"/>
        </w:sectPr>
      </w:pPr>
    </w:p>
    <w:p>
      <w:pPr>
        <w:pStyle w:val="Heading1"/>
        <w:spacing w:line="273" w:lineRule="auto"/>
        <w:ind w:firstLine="186"/>
      </w:pPr>
      <w:r>
        <w:rPr>
          <w:w w:val="85"/>
        </w:rPr>
        <w:t>C.P. J. Felipe Sánchez Martínez </w:t>
      </w:r>
      <w:r>
        <w:rPr>
          <w:w w:val="75"/>
        </w:rPr>
        <w:t>Director de Finanzas y Administración</w:t>
      </w:r>
    </w:p>
    <w:p>
      <w:pPr>
        <w:spacing w:line="273" w:lineRule="auto" w:before="15"/>
        <w:ind w:left="2014" w:right="5535" w:hanging="452"/>
        <w:jc w:val="left"/>
        <w:rPr>
          <w:rFonts w:ascii="Calibri" w:hAnsi="Calibri"/>
          <w:b/>
          <w:sz w:val="17"/>
        </w:rPr>
      </w:pPr>
      <w:r>
        <w:rPr/>
        <w:br w:type="column"/>
      </w:r>
      <w:r>
        <w:rPr>
          <w:rFonts w:ascii="Calibri" w:hAnsi="Calibri"/>
          <w:b/>
          <w:w w:val="80"/>
          <w:sz w:val="17"/>
        </w:rPr>
        <w:t>Lic. Christian Enríquez Hernández </w:t>
      </w:r>
      <w:r>
        <w:rPr>
          <w:rFonts w:ascii="Calibri" w:hAnsi="Calibri"/>
          <w:b/>
          <w:w w:val="75"/>
          <w:sz w:val="17"/>
        </w:rPr>
        <w:t>Director General</w:t>
      </w:r>
    </w:p>
    <w:sectPr>
      <w:type w:val="continuous"/>
      <w:pgSz w:w="16840" w:h="11910" w:orient="landscape"/>
      <w:pgMar w:top="1100" w:bottom="280" w:left="1940" w:right="2220"/>
      <w:cols w:num="2" w:equalWidth="0">
        <w:col w:w="3644" w:space="40"/>
        <w:col w:w="8996"/>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lowerLetter"/>
      <w:lvlText w:val="%1)"/>
      <w:lvlJc w:val="left"/>
      <w:pPr>
        <w:ind w:left="339" w:hanging="238"/>
        <w:jc w:val="left"/>
      </w:pPr>
      <w:rPr>
        <w:rFonts w:hint="default" w:ascii="Arial" w:hAnsi="Arial" w:eastAsia="Arial" w:cs="Arial"/>
        <w:w w:val="105"/>
        <w:sz w:val="13"/>
        <w:szCs w:val="13"/>
      </w:rPr>
    </w:lvl>
    <w:lvl w:ilvl="1">
      <w:start w:val="0"/>
      <w:numFmt w:val="bullet"/>
      <w:lvlText w:val="•"/>
      <w:lvlJc w:val="left"/>
      <w:pPr>
        <w:ind w:left="1539" w:hanging="238"/>
      </w:pPr>
      <w:rPr>
        <w:rFonts w:hint="default"/>
      </w:rPr>
    </w:lvl>
    <w:lvl w:ilvl="2">
      <w:start w:val="0"/>
      <w:numFmt w:val="bullet"/>
      <w:lvlText w:val="•"/>
      <w:lvlJc w:val="left"/>
      <w:pPr>
        <w:ind w:left="2739" w:hanging="238"/>
      </w:pPr>
      <w:rPr>
        <w:rFonts w:hint="default"/>
      </w:rPr>
    </w:lvl>
    <w:lvl w:ilvl="3">
      <w:start w:val="0"/>
      <w:numFmt w:val="bullet"/>
      <w:lvlText w:val="•"/>
      <w:lvlJc w:val="left"/>
      <w:pPr>
        <w:ind w:left="3939" w:hanging="238"/>
      </w:pPr>
      <w:rPr>
        <w:rFonts w:hint="default"/>
      </w:rPr>
    </w:lvl>
    <w:lvl w:ilvl="4">
      <w:start w:val="0"/>
      <w:numFmt w:val="bullet"/>
      <w:lvlText w:val="•"/>
      <w:lvlJc w:val="left"/>
      <w:pPr>
        <w:ind w:left="5139" w:hanging="238"/>
      </w:pPr>
      <w:rPr>
        <w:rFonts w:hint="default"/>
      </w:rPr>
    </w:lvl>
    <w:lvl w:ilvl="5">
      <w:start w:val="0"/>
      <w:numFmt w:val="bullet"/>
      <w:lvlText w:val="•"/>
      <w:lvlJc w:val="left"/>
      <w:pPr>
        <w:ind w:left="6339" w:hanging="238"/>
      </w:pPr>
      <w:rPr>
        <w:rFonts w:hint="default"/>
      </w:rPr>
    </w:lvl>
    <w:lvl w:ilvl="6">
      <w:start w:val="0"/>
      <w:numFmt w:val="bullet"/>
      <w:lvlText w:val="•"/>
      <w:lvlJc w:val="left"/>
      <w:pPr>
        <w:ind w:left="7539" w:hanging="238"/>
      </w:pPr>
      <w:rPr>
        <w:rFonts w:hint="default"/>
      </w:rPr>
    </w:lvl>
    <w:lvl w:ilvl="7">
      <w:start w:val="0"/>
      <w:numFmt w:val="bullet"/>
      <w:lvlText w:val="•"/>
      <w:lvlJc w:val="left"/>
      <w:pPr>
        <w:ind w:left="8738" w:hanging="238"/>
      </w:pPr>
      <w:rPr>
        <w:rFonts w:hint="default"/>
      </w:rPr>
    </w:lvl>
    <w:lvl w:ilvl="8">
      <w:start w:val="0"/>
      <w:numFmt w:val="bullet"/>
      <w:lvlText w:val="•"/>
      <w:lvlJc w:val="left"/>
      <w:pPr>
        <w:ind w:left="9938" w:hanging="238"/>
      </w:pPr>
      <w:rPr>
        <w:rFonts w:hint="default"/>
      </w:rPr>
    </w:lvl>
  </w:abstractNum>
  <w:abstractNum w:abstractNumId="0">
    <w:multiLevelType w:val="hybridMultilevel"/>
    <w:lvl w:ilvl="0">
      <w:start w:val="1"/>
      <w:numFmt w:val="lowerLetter"/>
      <w:lvlText w:val="%1)"/>
      <w:lvlJc w:val="left"/>
      <w:pPr>
        <w:ind w:left="339" w:hanging="238"/>
        <w:jc w:val="left"/>
      </w:pPr>
      <w:rPr>
        <w:rFonts w:hint="default" w:ascii="Arial" w:hAnsi="Arial" w:eastAsia="Arial" w:cs="Arial"/>
        <w:w w:val="105"/>
        <w:sz w:val="13"/>
        <w:szCs w:val="13"/>
      </w:rPr>
    </w:lvl>
    <w:lvl w:ilvl="1">
      <w:start w:val="0"/>
      <w:numFmt w:val="bullet"/>
      <w:lvlText w:val="•"/>
      <w:lvlJc w:val="left"/>
      <w:pPr>
        <w:ind w:left="1539" w:hanging="238"/>
      </w:pPr>
      <w:rPr>
        <w:rFonts w:hint="default"/>
      </w:rPr>
    </w:lvl>
    <w:lvl w:ilvl="2">
      <w:start w:val="0"/>
      <w:numFmt w:val="bullet"/>
      <w:lvlText w:val="•"/>
      <w:lvlJc w:val="left"/>
      <w:pPr>
        <w:ind w:left="2739" w:hanging="238"/>
      </w:pPr>
      <w:rPr>
        <w:rFonts w:hint="default"/>
      </w:rPr>
    </w:lvl>
    <w:lvl w:ilvl="3">
      <w:start w:val="0"/>
      <w:numFmt w:val="bullet"/>
      <w:lvlText w:val="•"/>
      <w:lvlJc w:val="left"/>
      <w:pPr>
        <w:ind w:left="3939" w:hanging="238"/>
      </w:pPr>
      <w:rPr>
        <w:rFonts w:hint="default"/>
      </w:rPr>
    </w:lvl>
    <w:lvl w:ilvl="4">
      <w:start w:val="0"/>
      <w:numFmt w:val="bullet"/>
      <w:lvlText w:val="•"/>
      <w:lvlJc w:val="left"/>
      <w:pPr>
        <w:ind w:left="5139" w:hanging="238"/>
      </w:pPr>
      <w:rPr>
        <w:rFonts w:hint="default"/>
      </w:rPr>
    </w:lvl>
    <w:lvl w:ilvl="5">
      <w:start w:val="0"/>
      <w:numFmt w:val="bullet"/>
      <w:lvlText w:val="•"/>
      <w:lvlJc w:val="left"/>
      <w:pPr>
        <w:ind w:left="6339" w:hanging="238"/>
      </w:pPr>
      <w:rPr>
        <w:rFonts w:hint="default"/>
      </w:rPr>
    </w:lvl>
    <w:lvl w:ilvl="6">
      <w:start w:val="0"/>
      <w:numFmt w:val="bullet"/>
      <w:lvlText w:val="•"/>
      <w:lvlJc w:val="left"/>
      <w:pPr>
        <w:ind w:left="7539" w:hanging="238"/>
      </w:pPr>
      <w:rPr>
        <w:rFonts w:hint="default"/>
      </w:rPr>
    </w:lvl>
    <w:lvl w:ilvl="7">
      <w:start w:val="0"/>
      <w:numFmt w:val="bullet"/>
      <w:lvlText w:val="•"/>
      <w:lvlJc w:val="left"/>
      <w:pPr>
        <w:ind w:left="8738" w:hanging="238"/>
      </w:pPr>
      <w:rPr>
        <w:rFonts w:hint="default"/>
      </w:rPr>
    </w:lvl>
    <w:lvl w:ilvl="8">
      <w:start w:val="0"/>
      <w:numFmt w:val="bullet"/>
      <w:lvlText w:val="•"/>
      <w:lvlJc w:val="left"/>
      <w:pPr>
        <w:ind w:left="9938" w:hanging="238"/>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3"/>
      <w:szCs w:val="13"/>
    </w:rPr>
  </w:style>
  <w:style w:styleId="Heading1" w:type="paragraph">
    <w:name w:val="Heading 1"/>
    <w:basedOn w:val="Normal"/>
    <w:uiPriority w:val="1"/>
    <w:qFormat/>
    <w:pPr>
      <w:spacing w:before="15"/>
      <w:ind w:left="1587" w:hanging="452"/>
      <w:outlineLvl w:val="1"/>
    </w:pPr>
    <w:rPr>
      <w:rFonts w:ascii="Calibri" w:hAnsi="Calibri" w:eastAsia="Calibri" w:cs="Calibri"/>
      <w:b/>
      <w:bCs/>
      <w:sz w:val="17"/>
      <w:szCs w:val="17"/>
    </w:rPr>
  </w:style>
  <w:style w:styleId="Heading2" w:type="paragraph">
    <w:name w:val="Heading 2"/>
    <w:basedOn w:val="Normal"/>
    <w:uiPriority w:val="1"/>
    <w:qFormat/>
    <w:pPr>
      <w:spacing w:before="1"/>
      <w:ind w:left="4690" w:right="4537"/>
      <w:jc w:val="center"/>
      <w:outlineLvl w:val="2"/>
    </w:pPr>
    <w:rPr>
      <w:rFonts w:ascii="Arial" w:hAnsi="Arial" w:eastAsia="Arial" w:cs="Arial"/>
      <w:b/>
      <w:bCs/>
      <w:sz w:val="13"/>
      <w:szCs w:val="13"/>
    </w:rPr>
  </w:style>
  <w:style w:styleId="ListParagraph" w:type="paragraph">
    <w:name w:val="List Paragraph"/>
    <w:basedOn w:val="Normal"/>
    <w:uiPriority w:val="1"/>
    <w:qFormat/>
    <w:pPr>
      <w:spacing w:before="19"/>
      <w:ind w:left="339" w:hanging="238"/>
    </w:pPr>
    <w:rPr>
      <w:rFonts w:ascii="Arial" w:hAnsi="Arial" w:eastAsia="Arial" w:cs="Arial"/>
    </w:rPr>
  </w:style>
  <w:style w:styleId="TableParagraph" w:type="paragraph">
    <w:name w:val="Table Paragraph"/>
    <w:basedOn w:val="Normal"/>
    <w:uiPriority w:val="1"/>
    <w:qFormat/>
    <w:pPr>
      <w:spacing w:before="6"/>
      <w:ind w:left="136"/>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dcterms:created xsi:type="dcterms:W3CDTF">2024-04-25T15:07:10Z</dcterms:created>
  <dcterms:modified xsi:type="dcterms:W3CDTF">2024-04-25T15:07:10Z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2024-04-25T00:00:00Z</vt:filetime>
  </property>
  <property fmtid="{D5CDD505-2E9C-101B-9397-08002B2CF9AE}" pid="3" name="Creator">
    <vt:lpwstr>Acrobat PDFMaker 15 para Excel</vt:lpwstr>
  </property>
  <property fmtid="{D5CDD505-2E9C-101B-9397-08002B2CF9AE}" pid="4" name="LastSaved">
    <vt:filetime>2024-04-25T00:00:00Z</vt:filetime>
  </property>
</Properties>
</file>