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F26A" w14:textId="77777777" w:rsidR="000A0EE1" w:rsidRPr="00356E3D" w:rsidRDefault="005F295D" w:rsidP="001B34C7">
      <w:pPr>
        <w:spacing w:after="0" w:line="240" w:lineRule="auto"/>
        <w:jc w:val="center"/>
        <w:rPr>
          <w:rFonts w:ascii="Arial" w:eastAsia="Times New Roman" w:hAnsi="Arial" w:cs="Arial"/>
          <w:b/>
          <w:bCs/>
          <w:sz w:val="20"/>
          <w:szCs w:val="20"/>
        </w:rPr>
      </w:pPr>
      <w:bookmarkStart w:id="0" w:name="_Hlk189050019"/>
      <w:r>
        <w:rPr>
          <w:rFonts w:ascii="Arial" w:eastAsia="Times New Roman" w:hAnsi="Arial" w:cs="Arial"/>
          <w:b/>
          <w:bCs/>
          <w:sz w:val="20"/>
          <w:szCs w:val="20"/>
        </w:rPr>
        <w:tab/>
      </w:r>
    </w:p>
    <w:p w14:paraId="7526149D" w14:textId="1654D316" w:rsidR="00393DBD" w:rsidRPr="004F4796" w:rsidRDefault="000C0AB9" w:rsidP="004F479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c) </w:t>
      </w:r>
      <w:r w:rsidR="00F437BC" w:rsidRPr="00356E3D">
        <w:rPr>
          <w:rFonts w:ascii="Arial" w:eastAsia="Times New Roman" w:hAnsi="Arial" w:cs="Arial"/>
          <w:b/>
          <w:bCs/>
          <w:sz w:val="20"/>
          <w:szCs w:val="20"/>
        </w:rPr>
        <w:t>N</w:t>
      </w:r>
      <w:r>
        <w:rPr>
          <w:rFonts w:ascii="Arial" w:eastAsia="Times New Roman" w:hAnsi="Arial" w:cs="Arial"/>
          <w:b/>
          <w:bCs/>
          <w:sz w:val="20"/>
          <w:szCs w:val="20"/>
        </w:rPr>
        <w:t>otas de Gestión Administrativa</w:t>
      </w:r>
    </w:p>
    <w:p w14:paraId="50F1C4CB" w14:textId="77777777" w:rsidR="00393DBD" w:rsidRPr="00356E3D" w:rsidRDefault="006414EF" w:rsidP="000B0D49">
      <w:pPr>
        <w:spacing w:after="0" w:line="240" w:lineRule="auto"/>
        <w:jc w:val="both"/>
        <w:rPr>
          <w:rFonts w:ascii="Arial" w:hAnsi="Arial" w:cs="Arial"/>
          <w:b/>
          <w:sz w:val="20"/>
          <w:szCs w:val="20"/>
        </w:rPr>
      </w:pPr>
      <w:r>
        <w:rPr>
          <w:rFonts w:ascii="Arial" w:hAnsi="Arial" w:cs="Arial"/>
          <w:b/>
          <w:sz w:val="20"/>
          <w:szCs w:val="20"/>
        </w:rPr>
        <w:t>1</w:t>
      </w:r>
      <w:r w:rsidR="000B0D49" w:rsidRPr="00356E3D">
        <w:rPr>
          <w:rFonts w:ascii="Arial" w:hAnsi="Arial" w:cs="Arial"/>
          <w:b/>
          <w:sz w:val="20"/>
          <w:szCs w:val="20"/>
        </w:rPr>
        <w:t xml:space="preserve">. </w:t>
      </w:r>
      <w:r w:rsidR="00393DBD" w:rsidRPr="00356E3D">
        <w:rPr>
          <w:rFonts w:ascii="Arial" w:hAnsi="Arial" w:cs="Arial"/>
          <w:b/>
          <w:sz w:val="20"/>
          <w:szCs w:val="20"/>
        </w:rPr>
        <w:t>Autorización e Historia</w:t>
      </w:r>
    </w:p>
    <w:p w14:paraId="66178007" w14:textId="77777777" w:rsidR="00393DBD" w:rsidRPr="00356E3D" w:rsidRDefault="00393DBD" w:rsidP="000B0D49">
      <w:pPr>
        <w:spacing w:after="0" w:line="240" w:lineRule="auto"/>
        <w:jc w:val="both"/>
        <w:rPr>
          <w:rFonts w:ascii="Arial" w:hAnsi="Arial" w:cs="Arial"/>
          <w:b/>
          <w:sz w:val="20"/>
          <w:szCs w:val="20"/>
        </w:rPr>
      </w:pPr>
    </w:p>
    <w:p w14:paraId="2E97760B" w14:textId="77777777"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Fonts w:ascii="Arial" w:hAnsi="Arial" w:cs="Arial"/>
          <w:sz w:val="20"/>
          <w:szCs w:val="20"/>
        </w:rPr>
        <w:t xml:space="preserve">La Ley de Fomento a la Cultura para el Estado de Guanajuato, publicada en el Periódico Oficial del Gobierno del Estado Número 98, del 8 de diciembre de 1992, fue creado el Instituto Estatal de la Cultura. Organismo Descentralizado con personalidad jurídica y patrimonio propio, Sectorizado con la Secretaría de Educación de Guanajuato, con el objeto de ejercitar acciones encaminadas a rescatar, conservar, difundir y preservar el patrimonio cultural de la Entidad, conforme a la Ley Orgánica del Poder Ejecutivo del Estado de Guanajuato, el IEC, es un organismo descentralizado de la Administración Pública Paraestatal. </w:t>
      </w:r>
      <w:r w:rsidRPr="00356E3D">
        <w:rPr>
          <w:rStyle w:val="nfasis"/>
          <w:rFonts w:ascii="Arial" w:eastAsia="Adobe Gothic Std B" w:hAnsi="Arial" w:cs="Arial"/>
          <w:iCs/>
          <w:sz w:val="20"/>
          <w:szCs w:val="20"/>
        </w:rPr>
        <w:t xml:space="preserve">Para ofrecer un desarrollo cultural sustentable, el </w:t>
      </w:r>
      <w:r w:rsidRPr="00356E3D">
        <w:rPr>
          <w:rStyle w:val="nfasis"/>
          <w:rFonts w:ascii="Arial" w:eastAsia="Adobe Gothic Std B" w:hAnsi="Arial" w:cs="Arial"/>
          <w:b/>
          <w:iCs/>
          <w:sz w:val="20"/>
          <w:szCs w:val="20"/>
        </w:rPr>
        <w:t>Instituto Estatal de la Cultura de Guanajuato</w:t>
      </w:r>
      <w:r w:rsidRPr="00356E3D">
        <w:rPr>
          <w:rStyle w:val="nfasis"/>
          <w:rFonts w:ascii="Arial" w:eastAsia="Adobe Gothic Std B" w:hAnsi="Arial" w:cs="Arial"/>
          <w:iCs/>
          <w:sz w:val="20"/>
          <w:szCs w:val="20"/>
        </w:rPr>
        <w:t xml:space="preserve"> implementó actividades públicas basadas en tres líneas de acción principales: </w:t>
      </w:r>
    </w:p>
    <w:p w14:paraId="03985440" w14:textId="77777777" w:rsidR="000B0D49" w:rsidRPr="00356E3D" w:rsidRDefault="000B0D49" w:rsidP="000B0D49">
      <w:pPr>
        <w:spacing w:after="0" w:line="240" w:lineRule="auto"/>
        <w:jc w:val="both"/>
        <w:rPr>
          <w:rStyle w:val="nfasis"/>
          <w:rFonts w:ascii="Arial" w:eastAsia="Adobe Gothic Std B" w:hAnsi="Arial" w:cs="Arial"/>
          <w:iCs/>
          <w:sz w:val="20"/>
          <w:szCs w:val="20"/>
        </w:rPr>
      </w:pPr>
    </w:p>
    <w:p w14:paraId="05E4BCF9" w14:textId="21CB2A3C"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xml:space="preserve">- Investigación, formación y difusión, </w:t>
      </w:r>
      <w:r w:rsidR="00FF3E58" w:rsidRPr="00356E3D">
        <w:rPr>
          <w:rStyle w:val="nfasis"/>
          <w:rFonts w:ascii="Arial" w:eastAsia="Adobe Gothic Std B" w:hAnsi="Arial" w:cs="Arial"/>
          <w:iCs/>
          <w:sz w:val="20"/>
          <w:szCs w:val="20"/>
        </w:rPr>
        <w:t>cuyos frutos</w:t>
      </w:r>
      <w:r w:rsidRPr="00356E3D">
        <w:rPr>
          <w:rStyle w:val="nfasis"/>
          <w:rFonts w:ascii="Arial" w:eastAsia="Adobe Gothic Std B" w:hAnsi="Arial" w:cs="Arial"/>
          <w:iCs/>
          <w:sz w:val="20"/>
          <w:szCs w:val="20"/>
        </w:rPr>
        <w:t xml:space="preserve"> en conjunto que se derivan de esta cadena de acciones, dotan al Instituto de</w:t>
      </w:r>
      <w:r w:rsidR="00AE11D6" w:rsidRPr="00356E3D">
        <w:rPr>
          <w:rStyle w:val="nfasis"/>
          <w:rFonts w:ascii="Arial" w:eastAsia="Adobe Gothic Std B" w:hAnsi="Arial" w:cs="Arial"/>
          <w:iCs/>
          <w:sz w:val="20"/>
          <w:szCs w:val="20"/>
        </w:rPr>
        <w:t xml:space="preserve"> cimientos que le </w:t>
      </w:r>
      <w:r w:rsidR="00FF3E58" w:rsidRPr="00356E3D">
        <w:rPr>
          <w:rStyle w:val="nfasis"/>
          <w:rFonts w:ascii="Arial" w:eastAsia="Adobe Gothic Std B" w:hAnsi="Arial" w:cs="Arial"/>
          <w:iCs/>
          <w:sz w:val="20"/>
          <w:szCs w:val="20"/>
        </w:rPr>
        <w:t>dan la</w:t>
      </w:r>
      <w:r w:rsidR="00AE11D6" w:rsidRPr="00356E3D">
        <w:rPr>
          <w:rStyle w:val="nfasis"/>
          <w:rFonts w:ascii="Arial" w:eastAsia="Adobe Gothic Std B" w:hAnsi="Arial" w:cs="Arial"/>
          <w:iCs/>
          <w:sz w:val="20"/>
          <w:szCs w:val="20"/>
        </w:rPr>
        <w:t xml:space="preserve"> solide</w:t>
      </w:r>
      <w:r w:rsidRPr="00356E3D">
        <w:rPr>
          <w:rStyle w:val="nfasis"/>
          <w:rFonts w:ascii="Arial" w:eastAsia="Adobe Gothic Std B" w:hAnsi="Arial" w:cs="Arial"/>
          <w:iCs/>
          <w:sz w:val="20"/>
          <w:szCs w:val="20"/>
        </w:rPr>
        <w:t>z necesaria para definir y orientar la totalidad de su quehacer.</w:t>
      </w:r>
    </w:p>
    <w:p w14:paraId="333245E5" w14:textId="46289D7B"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xml:space="preserve"> - Los programas de investigación del patrimonio cultural, tangible e intangible, base que rige la programación de </w:t>
      </w:r>
      <w:r w:rsidR="00FF3E58" w:rsidRPr="00356E3D">
        <w:rPr>
          <w:rStyle w:val="nfasis"/>
          <w:rFonts w:ascii="Arial" w:eastAsia="Adobe Gothic Std B" w:hAnsi="Arial" w:cs="Arial"/>
          <w:iCs/>
          <w:sz w:val="20"/>
          <w:szCs w:val="20"/>
        </w:rPr>
        <w:t>sus actividades</w:t>
      </w:r>
      <w:r w:rsidRPr="00356E3D">
        <w:rPr>
          <w:rStyle w:val="nfasis"/>
          <w:rFonts w:ascii="Arial" w:eastAsia="Adobe Gothic Std B" w:hAnsi="Arial" w:cs="Arial"/>
          <w:iCs/>
          <w:sz w:val="20"/>
          <w:szCs w:val="20"/>
        </w:rPr>
        <w:t xml:space="preserve">. </w:t>
      </w:r>
    </w:p>
    <w:p w14:paraId="2AB026D4" w14:textId="7E9CF59F"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La formación se refiere   precisamente, a las actividades y/</w:t>
      </w:r>
      <w:r w:rsidR="00FF3E58" w:rsidRPr="00356E3D">
        <w:rPr>
          <w:rStyle w:val="nfasis"/>
          <w:rFonts w:ascii="Arial" w:eastAsia="Adobe Gothic Std B" w:hAnsi="Arial" w:cs="Arial"/>
          <w:iCs/>
          <w:sz w:val="20"/>
          <w:szCs w:val="20"/>
        </w:rPr>
        <w:t>o programas</w:t>
      </w:r>
      <w:r w:rsidRPr="00356E3D">
        <w:rPr>
          <w:rStyle w:val="nfasis"/>
          <w:rFonts w:ascii="Arial" w:eastAsia="Adobe Gothic Std B" w:hAnsi="Arial" w:cs="Arial"/>
          <w:iCs/>
          <w:sz w:val="20"/>
          <w:szCs w:val="20"/>
        </w:rPr>
        <w:t xml:space="preserve"> formativos, y cada uno de ellos está dirigido a explorar y reconocer la identidad de los habitantes de Guanajuato. La difusión de estas actividades y/o planes, representan el mecanismo que promueve los valores que identifican a los guanajuatenses.</w:t>
      </w:r>
    </w:p>
    <w:p w14:paraId="42CE552D" w14:textId="77777777" w:rsidR="000B0D49" w:rsidRPr="00356E3D" w:rsidRDefault="000B0D49" w:rsidP="000B0D49">
      <w:pPr>
        <w:spacing w:after="0" w:line="240" w:lineRule="auto"/>
        <w:jc w:val="both"/>
        <w:rPr>
          <w:rStyle w:val="nfasis"/>
          <w:rFonts w:ascii="Arial" w:eastAsia="Adobe Gothic Std B" w:hAnsi="Arial" w:cs="Arial"/>
          <w:iCs/>
          <w:sz w:val="20"/>
          <w:szCs w:val="20"/>
        </w:rPr>
      </w:pPr>
    </w:p>
    <w:p w14:paraId="00A6881A" w14:textId="77777777"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xml:space="preserve">Bajo estos principios, el IEC promueve estrategias en las cuales, el ser humano es el elemento básico y ha centrado parte de sus esfuerzos en proyectos que buscan cambiar la vida de las personas. </w:t>
      </w:r>
    </w:p>
    <w:p w14:paraId="0FBFFE60" w14:textId="77777777" w:rsidR="000B0D49" w:rsidRPr="00356E3D" w:rsidRDefault="000B0D49" w:rsidP="000B0D49">
      <w:pPr>
        <w:spacing w:after="0" w:line="240" w:lineRule="auto"/>
        <w:jc w:val="both"/>
        <w:rPr>
          <w:rStyle w:val="nfasis"/>
          <w:rFonts w:ascii="Arial" w:eastAsia="Adobe Gothic Std B" w:hAnsi="Arial" w:cs="Arial"/>
          <w:iCs/>
          <w:sz w:val="20"/>
          <w:szCs w:val="20"/>
        </w:rPr>
      </w:pPr>
    </w:p>
    <w:p w14:paraId="1AFD7D64" w14:textId="5AC2A778" w:rsidR="006414EF" w:rsidRDefault="000B0D49" w:rsidP="004F4796">
      <w:pPr>
        <w:spacing w:after="0" w:line="240" w:lineRule="auto"/>
        <w:jc w:val="both"/>
        <w:rPr>
          <w:rFonts w:ascii="Arial" w:eastAsia="Adobe Gothic Std B" w:hAnsi="Arial" w:cs="Arial"/>
          <w:sz w:val="20"/>
          <w:szCs w:val="20"/>
        </w:rPr>
      </w:pPr>
      <w:r w:rsidRPr="00356E3D">
        <w:rPr>
          <w:rStyle w:val="nfasis"/>
          <w:rFonts w:ascii="Arial" w:eastAsia="Adobe Gothic Std B" w:hAnsi="Arial" w:cs="Arial"/>
          <w:iCs/>
          <w:sz w:val="20"/>
          <w:szCs w:val="20"/>
        </w:rPr>
        <w:t xml:space="preserve">Actualmente en el Estado, se operan proyectos como el </w:t>
      </w:r>
      <w:r w:rsidRPr="00356E3D">
        <w:rPr>
          <w:rFonts w:ascii="Arial" w:eastAsia="Adobe Gothic Std B" w:hAnsi="Arial" w:cs="Arial"/>
          <w:sz w:val="20"/>
          <w:szCs w:val="20"/>
        </w:rPr>
        <w:t>programa de Bandas de Viento, de Fomento a la Lectura Leer Provoca, Proyectos Arqueológicos de Guanajuato, Proyectos de Conservación y Restauración del Patrimonio Edificado, Proyecto Modernización de los Museos, se promueven los valores necesarios para que el guanajuatense recobre el sentido de pertenencia y valore los rasgos de su identidad, a la vez que promueve el desarrollo humano en su aspecto general.</w:t>
      </w:r>
    </w:p>
    <w:p w14:paraId="789F9B1B" w14:textId="77777777" w:rsidR="004F4796" w:rsidRPr="004F4796" w:rsidRDefault="004F4796" w:rsidP="004F4796">
      <w:pPr>
        <w:spacing w:after="0" w:line="240" w:lineRule="auto"/>
        <w:jc w:val="both"/>
        <w:rPr>
          <w:rFonts w:ascii="Arial" w:eastAsia="Adobe Gothic Std B" w:hAnsi="Arial" w:cs="Arial"/>
          <w:sz w:val="20"/>
          <w:szCs w:val="20"/>
        </w:rPr>
      </w:pPr>
    </w:p>
    <w:p w14:paraId="09C03581" w14:textId="77777777" w:rsidR="006414EF" w:rsidRPr="00356E3D" w:rsidRDefault="006414EF" w:rsidP="006414EF">
      <w:pPr>
        <w:tabs>
          <w:tab w:val="left" w:pos="720"/>
        </w:tabs>
        <w:autoSpaceDE w:val="0"/>
        <w:autoSpaceDN w:val="0"/>
        <w:adjustRightInd w:val="0"/>
        <w:ind w:right="18"/>
        <w:jc w:val="both"/>
        <w:rPr>
          <w:rFonts w:ascii="Arial" w:hAnsi="Arial" w:cs="Arial"/>
          <w:b/>
          <w:sz w:val="20"/>
          <w:szCs w:val="20"/>
        </w:rPr>
      </w:pPr>
      <w:r w:rsidRPr="00356E3D">
        <w:rPr>
          <w:rFonts w:ascii="Arial" w:hAnsi="Arial" w:cs="Arial"/>
          <w:b/>
          <w:sz w:val="20"/>
          <w:szCs w:val="20"/>
        </w:rPr>
        <w:t xml:space="preserve">2. Panorama Económico y Financiero: </w:t>
      </w:r>
    </w:p>
    <w:p w14:paraId="2344A549" w14:textId="0702E07B" w:rsidR="00393DBD" w:rsidRPr="004F4796" w:rsidRDefault="006414EF" w:rsidP="004F4796">
      <w:pPr>
        <w:tabs>
          <w:tab w:val="left" w:pos="720"/>
        </w:tabs>
        <w:autoSpaceDE w:val="0"/>
        <w:autoSpaceDN w:val="0"/>
        <w:adjustRightInd w:val="0"/>
        <w:ind w:right="18"/>
        <w:jc w:val="both"/>
        <w:rPr>
          <w:rFonts w:ascii="Arial" w:hAnsi="Arial" w:cs="Arial"/>
          <w:sz w:val="20"/>
          <w:szCs w:val="20"/>
        </w:rPr>
      </w:pPr>
      <w:r w:rsidRPr="00356E3D">
        <w:rPr>
          <w:rFonts w:ascii="Arial" w:hAnsi="Arial" w:cs="Arial"/>
          <w:sz w:val="20"/>
          <w:szCs w:val="20"/>
        </w:rPr>
        <w:t>La fortaleza de nuestras políticas es la transversalidad, de esta manera hemos podido atenuar la limitante de un 0.45% del presupuesto estatal que se nos asigna, así como las limitantes propias de la institución.</w:t>
      </w:r>
      <w:r w:rsidRPr="00356E3D">
        <w:rPr>
          <w:rFonts w:ascii="Arial" w:hAnsi="Arial" w:cs="Arial"/>
          <w:sz w:val="20"/>
          <w:szCs w:val="20"/>
        </w:rPr>
        <w:tab/>
      </w:r>
    </w:p>
    <w:p w14:paraId="1B85A735" w14:textId="77777777" w:rsidR="008E2688" w:rsidRPr="00356E3D" w:rsidRDefault="006414EF" w:rsidP="008E2688">
      <w:pPr>
        <w:spacing w:after="0" w:line="240" w:lineRule="auto"/>
        <w:jc w:val="both"/>
        <w:rPr>
          <w:rFonts w:ascii="Arial" w:hAnsi="Arial" w:cs="Arial"/>
          <w:b/>
          <w:sz w:val="20"/>
          <w:szCs w:val="20"/>
        </w:rPr>
      </w:pPr>
      <w:r>
        <w:rPr>
          <w:rFonts w:ascii="Arial" w:hAnsi="Arial" w:cs="Arial"/>
          <w:b/>
          <w:sz w:val="20"/>
          <w:szCs w:val="20"/>
        </w:rPr>
        <w:t>3</w:t>
      </w:r>
      <w:r w:rsidR="008E2688" w:rsidRPr="00356E3D">
        <w:rPr>
          <w:rFonts w:ascii="Arial" w:hAnsi="Arial" w:cs="Arial"/>
          <w:b/>
          <w:sz w:val="20"/>
          <w:szCs w:val="20"/>
        </w:rPr>
        <w:t>. Organización y Objeto Social</w:t>
      </w:r>
    </w:p>
    <w:p w14:paraId="716C4CE1" w14:textId="77777777" w:rsidR="000B0D49" w:rsidRPr="00356E3D" w:rsidRDefault="000B0D49" w:rsidP="008E2688">
      <w:pPr>
        <w:spacing w:after="0" w:line="240" w:lineRule="auto"/>
        <w:jc w:val="both"/>
        <w:rPr>
          <w:rFonts w:ascii="Arial" w:hAnsi="Arial" w:cs="Arial"/>
          <w:b/>
          <w:sz w:val="20"/>
          <w:szCs w:val="20"/>
        </w:rPr>
      </w:pPr>
      <w:r w:rsidRPr="00356E3D">
        <w:rPr>
          <w:rFonts w:ascii="Arial" w:hAnsi="Arial" w:cs="Arial"/>
          <w:b/>
          <w:sz w:val="20"/>
          <w:szCs w:val="20"/>
        </w:rPr>
        <w:tab/>
      </w:r>
    </w:p>
    <w:p w14:paraId="62CE4F85" w14:textId="77777777" w:rsidR="000B0D49" w:rsidRPr="00356E3D" w:rsidRDefault="000B0D49" w:rsidP="000B0D49">
      <w:pPr>
        <w:jc w:val="both"/>
        <w:rPr>
          <w:rFonts w:ascii="Arial" w:hAnsi="Arial" w:cs="Arial"/>
          <w:sz w:val="20"/>
          <w:szCs w:val="20"/>
          <w:lang w:val="es-ES"/>
        </w:rPr>
      </w:pPr>
      <w:r w:rsidRPr="00356E3D">
        <w:rPr>
          <w:rFonts w:ascii="Arial" w:hAnsi="Arial" w:cs="Arial"/>
          <w:sz w:val="20"/>
          <w:szCs w:val="20"/>
        </w:rPr>
        <w:t xml:space="preserve">a) El objeto social del instituto se establece en la Ley de Fomento </w:t>
      </w:r>
      <w:r w:rsidR="00393DBD" w:rsidRPr="00356E3D">
        <w:rPr>
          <w:rFonts w:ascii="Arial" w:hAnsi="Arial" w:cs="Arial"/>
          <w:sz w:val="20"/>
          <w:szCs w:val="20"/>
        </w:rPr>
        <w:t xml:space="preserve">y Difusión de la </w:t>
      </w:r>
      <w:r w:rsidRPr="00356E3D">
        <w:rPr>
          <w:rFonts w:ascii="Arial" w:hAnsi="Arial" w:cs="Arial"/>
          <w:sz w:val="20"/>
          <w:szCs w:val="20"/>
        </w:rPr>
        <w:t>Cultura para el Estado de Guanajuato</w:t>
      </w:r>
      <w:r w:rsidR="00393DBD" w:rsidRPr="00356E3D">
        <w:rPr>
          <w:rFonts w:ascii="Arial" w:hAnsi="Arial" w:cs="Arial"/>
          <w:sz w:val="20"/>
          <w:szCs w:val="20"/>
        </w:rPr>
        <w:t xml:space="preserve"> y sus Municipios</w:t>
      </w:r>
      <w:r w:rsidR="00BE3E62" w:rsidRPr="00356E3D">
        <w:rPr>
          <w:rFonts w:ascii="Arial" w:hAnsi="Arial" w:cs="Arial"/>
          <w:sz w:val="20"/>
          <w:szCs w:val="20"/>
        </w:rPr>
        <w:t xml:space="preserve"> publicada el 21 de abril de 2015,</w:t>
      </w:r>
      <w:r w:rsidR="00393DBD" w:rsidRPr="00356E3D">
        <w:rPr>
          <w:rFonts w:ascii="Arial" w:hAnsi="Arial" w:cs="Arial"/>
          <w:sz w:val="20"/>
          <w:szCs w:val="20"/>
        </w:rPr>
        <w:t xml:space="preserve"> en su artículo 13</w:t>
      </w:r>
      <w:r w:rsidRPr="00356E3D">
        <w:rPr>
          <w:rFonts w:ascii="Arial" w:hAnsi="Arial" w:cs="Arial"/>
          <w:sz w:val="20"/>
          <w:szCs w:val="20"/>
        </w:rPr>
        <w:t xml:space="preserve">º, que cita entre algunos: </w:t>
      </w:r>
    </w:p>
    <w:p w14:paraId="1FCD7DDB"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xml:space="preserve">- </w:t>
      </w:r>
      <w:r w:rsidR="00393DBD" w:rsidRPr="00356E3D">
        <w:rPr>
          <w:rFonts w:ascii="Arial" w:hAnsi="Arial" w:cs="Arial"/>
          <w:sz w:val="20"/>
          <w:szCs w:val="20"/>
          <w:lang w:val="es-ES"/>
        </w:rPr>
        <w:t>G</w:t>
      </w:r>
      <w:r w:rsidRPr="00356E3D">
        <w:rPr>
          <w:rFonts w:ascii="Arial" w:hAnsi="Arial" w:cs="Arial"/>
          <w:sz w:val="20"/>
          <w:szCs w:val="20"/>
          <w:lang w:val="es-ES"/>
        </w:rPr>
        <w:t>arantizar el derecho</w:t>
      </w:r>
      <w:r w:rsidR="00393DBD" w:rsidRPr="00356E3D">
        <w:rPr>
          <w:rFonts w:ascii="Arial" w:hAnsi="Arial" w:cs="Arial"/>
          <w:sz w:val="20"/>
          <w:szCs w:val="20"/>
          <w:lang w:val="es-ES"/>
        </w:rPr>
        <w:t xml:space="preserve"> de acceso</w:t>
      </w:r>
      <w:r w:rsidRPr="00356E3D">
        <w:rPr>
          <w:rFonts w:ascii="Arial" w:hAnsi="Arial" w:cs="Arial"/>
          <w:sz w:val="20"/>
          <w:szCs w:val="20"/>
          <w:lang w:val="es-ES"/>
        </w:rPr>
        <w:t xml:space="preserve"> a la cultura.</w:t>
      </w:r>
    </w:p>
    <w:p w14:paraId="2961FA8D"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Promover y difundir el conocimiento de las diversas manifestaciones culturales del estado y sus municipios.</w:t>
      </w:r>
    </w:p>
    <w:p w14:paraId="2ED5AB58"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xml:space="preserve">- </w:t>
      </w:r>
      <w:r w:rsidR="00393DBD" w:rsidRPr="00356E3D">
        <w:rPr>
          <w:rFonts w:ascii="Arial" w:hAnsi="Arial" w:cs="Arial"/>
          <w:sz w:val="20"/>
          <w:szCs w:val="20"/>
          <w:lang w:val="es-ES"/>
        </w:rPr>
        <w:t>Integrar el Programa Estatal y coordinar su ejecución y seguimiento, con aprobación del Consejo</w:t>
      </w:r>
      <w:r w:rsidRPr="00356E3D">
        <w:rPr>
          <w:rFonts w:ascii="Arial" w:hAnsi="Arial" w:cs="Arial"/>
          <w:sz w:val="20"/>
          <w:szCs w:val="20"/>
          <w:lang w:val="es-ES"/>
        </w:rPr>
        <w:t>.</w:t>
      </w:r>
    </w:p>
    <w:p w14:paraId="561B2AAE"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xml:space="preserve">- </w:t>
      </w:r>
      <w:r w:rsidR="007C4446" w:rsidRPr="00356E3D">
        <w:rPr>
          <w:rFonts w:ascii="Arial" w:hAnsi="Arial" w:cs="Arial"/>
          <w:sz w:val="20"/>
          <w:szCs w:val="20"/>
          <w:lang w:val="es-ES"/>
        </w:rPr>
        <w:t>Suscribir</w:t>
      </w:r>
      <w:r w:rsidRPr="00356E3D">
        <w:rPr>
          <w:rFonts w:ascii="Arial" w:hAnsi="Arial" w:cs="Arial"/>
          <w:sz w:val="20"/>
          <w:szCs w:val="20"/>
          <w:lang w:val="es-ES"/>
        </w:rPr>
        <w:t xml:space="preserve"> convenios</w:t>
      </w:r>
      <w:r w:rsidR="007C4446" w:rsidRPr="00356E3D">
        <w:rPr>
          <w:rFonts w:ascii="Arial" w:hAnsi="Arial" w:cs="Arial"/>
          <w:sz w:val="20"/>
          <w:szCs w:val="20"/>
          <w:lang w:val="es-ES"/>
        </w:rPr>
        <w:t xml:space="preserve"> para cumplir con las atribuciones que esta Ley y demás ordenamientos le establezcan</w:t>
      </w:r>
      <w:r w:rsidRPr="00356E3D">
        <w:rPr>
          <w:rFonts w:ascii="Arial" w:hAnsi="Arial" w:cs="Arial"/>
          <w:sz w:val="20"/>
          <w:szCs w:val="20"/>
          <w:lang w:val="es-ES"/>
        </w:rPr>
        <w:t>.</w:t>
      </w:r>
    </w:p>
    <w:p w14:paraId="6B413BA3" w14:textId="77777777" w:rsidR="007C4446" w:rsidRPr="00356E3D" w:rsidRDefault="000B0D49" w:rsidP="000B0D49">
      <w:pPr>
        <w:spacing w:after="0"/>
        <w:jc w:val="both"/>
        <w:rPr>
          <w:rFonts w:ascii="Arial" w:hAnsi="Arial" w:cs="Arial"/>
          <w:sz w:val="20"/>
          <w:szCs w:val="20"/>
          <w:lang w:val="es-ES"/>
        </w:rPr>
      </w:pPr>
      <w:r w:rsidRPr="00356E3D">
        <w:rPr>
          <w:rFonts w:ascii="Arial" w:hAnsi="Arial" w:cs="Arial"/>
          <w:sz w:val="20"/>
          <w:szCs w:val="20"/>
          <w:lang w:val="es-ES"/>
        </w:rPr>
        <w:t xml:space="preserve">- </w:t>
      </w:r>
      <w:r w:rsidR="007C4446" w:rsidRPr="00356E3D">
        <w:rPr>
          <w:rFonts w:ascii="Arial" w:hAnsi="Arial" w:cs="Arial"/>
          <w:sz w:val="20"/>
          <w:szCs w:val="20"/>
          <w:lang w:val="es-ES"/>
        </w:rPr>
        <w:t>Preservar, promocionar, difundir e investigar la cultura indígena y local.</w:t>
      </w:r>
    </w:p>
    <w:p w14:paraId="4099C1AB" w14:textId="77777777" w:rsidR="000B0D49" w:rsidRPr="00356E3D" w:rsidRDefault="000B0D49" w:rsidP="000B0D49">
      <w:pPr>
        <w:spacing w:after="0"/>
        <w:jc w:val="both"/>
        <w:rPr>
          <w:rFonts w:ascii="Arial" w:hAnsi="Arial" w:cs="Arial"/>
          <w:sz w:val="20"/>
          <w:szCs w:val="20"/>
          <w:lang w:val="es-ES"/>
        </w:rPr>
      </w:pPr>
      <w:r w:rsidRPr="00356E3D">
        <w:rPr>
          <w:rFonts w:ascii="Arial" w:hAnsi="Arial" w:cs="Arial"/>
          <w:sz w:val="20"/>
          <w:szCs w:val="20"/>
          <w:lang w:val="es-ES"/>
        </w:rPr>
        <w:t xml:space="preserve">- </w:t>
      </w:r>
      <w:r w:rsidR="007C4446" w:rsidRPr="00356E3D">
        <w:rPr>
          <w:rFonts w:ascii="Arial" w:hAnsi="Arial" w:cs="Arial"/>
          <w:sz w:val="20"/>
          <w:szCs w:val="20"/>
          <w:lang w:val="es-ES"/>
        </w:rPr>
        <w:t>Coordinar, junto con otras instituciones y organismos públicos y privados, la celebración de los festivales culturales que se efectúen en la jurisdicción del estado.</w:t>
      </w:r>
    </w:p>
    <w:p w14:paraId="65A794DC" w14:textId="77777777" w:rsidR="007C4446" w:rsidRPr="00356E3D" w:rsidRDefault="007C4446" w:rsidP="000B0D49">
      <w:pPr>
        <w:spacing w:after="0"/>
        <w:jc w:val="both"/>
        <w:rPr>
          <w:rFonts w:ascii="Arial" w:hAnsi="Arial" w:cs="Arial"/>
          <w:sz w:val="20"/>
          <w:szCs w:val="20"/>
          <w:lang w:val="es-ES"/>
        </w:rPr>
      </w:pPr>
      <w:r w:rsidRPr="00356E3D">
        <w:rPr>
          <w:rFonts w:ascii="Arial" w:hAnsi="Arial" w:cs="Arial"/>
          <w:sz w:val="20"/>
          <w:szCs w:val="20"/>
          <w:lang w:val="es-ES"/>
        </w:rPr>
        <w:t>- Promover la conservación y construcción de teatros, auditorios y demás espacios, en donde se puedan realizar actividades culturales.</w:t>
      </w:r>
    </w:p>
    <w:p w14:paraId="6906B0A8" w14:textId="77777777" w:rsidR="000B0D49" w:rsidRPr="00356E3D" w:rsidRDefault="000B0D49" w:rsidP="000B0D49">
      <w:pPr>
        <w:spacing w:after="0"/>
        <w:jc w:val="both"/>
        <w:rPr>
          <w:rFonts w:ascii="Arial" w:hAnsi="Arial" w:cs="Arial"/>
          <w:sz w:val="20"/>
          <w:szCs w:val="20"/>
        </w:rPr>
      </w:pPr>
    </w:p>
    <w:p w14:paraId="40B41D15" w14:textId="77777777" w:rsidR="007A29D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b) </w:t>
      </w:r>
      <w:r w:rsidR="007A29D9" w:rsidRPr="00356E3D">
        <w:rPr>
          <w:rFonts w:ascii="Arial" w:hAnsi="Arial" w:cs="Arial"/>
          <w:sz w:val="20"/>
          <w:szCs w:val="20"/>
        </w:rPr>
        <w:t>La principal actividad del Instituto es</w:t>
      </w:r>
      <w:r w:rsidR="008E2688" w:rsidRPr="00356E3D">
        <w:rPr>
          <w:rFonts w:ascii="Arial" w:hAnsi="Arial" w:cs="Arial"/>
          <w:sz w:val="20"/>
          <w:szCs w:val="20"/>
        </w:rPr>
        <w:t xml:space="preserve"> formular, coordinar, ejecutar y supervisar las políticas culturales.</w:t>
      </w:r>
    </w:p>
    <w:p w14:paraId="58CC98BA" w14:textId="77777777" w:rsidR="007A29D9" w:rsidRPr="00356E3D" w:rsidRDefault="007A29D9" w:rsidP="000B0D49">
      <w:pPr>
        <w:spacing w:after="0"/>
        <w:jc w:val="both"/>
        <w:rPr>
          <w:rFonts w:ascii="Arial" w:hAnsi="Arial" w:cs="Arial"/>
          <w:sz w:val="20"/>
          <w:szCs w:val="20"/>
        </w:rPr>
      </w:pPr>
    </w:p>
    <w:p w14:paraId="32640D5E" w14:textId="52DB4F8D" w:rsidR="007A29D9" w:rsidRDefault="007A29D9" w:rsidP="000B0D49">
      <w:pPr>
        <w:spacing w:after="0"/>
        <w:jc w:val="both"/>
        <w:rPr>
          <w:rFonts w:ascii="Arial" w:hAnsi="Arial" w:cs="Arial"/>
          <w:sz w:val="20"/>
          <w:szCs w:val="20"/>
        </w:rPr>
      </w:pPr>
      <w:r w:rsidRPr="00356E3D">
        <w:rPr>
          <w:rFonts w:ascii="Arial" w:hAnsi="Arial" w:cs="Arial"/>
          <w:sz w:val="20"/>
          <w:szCs w:val="20"/>
        </w:rPr>
        <w:t>c) Ejercicio fiscal: Enero</w:t>
      </w:r>
      <w:r w:rsidR="008465EA">
        <w:rPr>
          <w:rFonts w:ascii="Arial" w:hAnsi="Arial" w:cs="Arial"/>
          <w:sz w:val="20"/>
          <w:szCs w:val="20"/>
        </w:rPr>
        <w:t xml:space="preserve"> - Septiembre</w:t>
      </w:r>
      <w:r w:rsidR="00B91C08">
        <w:rPr>
          <w:rFonts w:ascii="Arial" w:hAnsi="Arial" w:cs="Arial"/>
          <w:sz w:val="20"/>
          <w:szCs w:val="20"/>
        </w:rPr>
        <w:t xml:space="preserve"> 2025</w:t>
      </w:r>
    </w:p>
    <w:p w14:paraId="3D3B45E5" w14:textId="77777777" w:rsidR="004F4796" w:rsidRPr="00356E3D" w:rsidRDefault="004F4796" w:rsidP="000B0D49">
      <w:pPr>
        <w:spacing w:after="0"/>
        <w:jc w:val="both"/>
        <w:rPr>
          <w:rFonts w:ascii="Arial" w:hAnsi="Arial" w:cs="Arial"/>
          <w:sz w:val="20"/>
          <w:szCs w:val="20"/>
        </w:rPr>
      </w:pPr>
    </w:p>
    <w:p w14:paraId="4361A1F2" w14:textId="0D23AC2F" w:rsidR="008E2688" w:rsidRPr="00356E3D" w:rsidRDefault="007A29D9" w:rsidP="000B0D49">
      <w:pPr>
        <w:spacing w:after="0"/>
        <w:jc w:val="both"/>
        <w:rPr>
          <w:rFonts w:ascii="Arial" w:hAnsi="Arial" w:cs="Arial"/>
          <w:sz w:val="20"/>
          <w:szCs w:val="20"/>
        </w:rPr>
      </w:pPr>
      <w:r w:rsidRPr="00356E3D">
        <w:rPr>
          <w:rFonts w:ascii="Arial" w:hAnsi="Arial" w:cs="Arial"/>
          <w:sz w:val="20"/>
          <w:szCs w:val="20"/>
        </w:rPr>
        <w:t xml:space="preserve">d) </w:t>
      </w:r>
      <w:r w:rsidR="00BE3E62" w:rsidRPr="00356E3D">
        <w:rPr>
          <w:rFonts w:ascii="Arial" w:hAnsi="Arial" w:cs="Arial"/>
          <w:sz w:val="20"/>
          <w:szCs w:val="20"/>
        </w:rPr>
        <w:t>R</w:t>
      </w:r>
      <w:r w:rsidR="000B0D49" w:rsidRPr="00356E3D">
        <w:rPr>
          <w:rFonts w:ascii="Arial" w:hAnsi="Arial" w:cs="Arial"/>
          <w:sz w:val="20"/>
          <w:szCs w:val="20"/>
        </w:rPr>
        <w:t xml:space="preserve">égimen </w:t>
      </w:r>
      <w:r w:rsidR="00415CF5" w:rsidRPr="00356E3D">
        <w:rPr>
          <w:rFonts w:ascii="Arial" w:hAnsi="Arial" w:cs="Arial"/>
          <w:sz w:val="20"/>
          <w:szCs w:val="20"/>
        </w:rPr>
        <w:t>jurídico:</w:t>
      </w:r>
      <w:r w:rsidR="00026D24">
        <w:rPr>
          <w:rFonts w:ascii="Arial" w:hAnsi="Arial" w:cs="Arial"/>
          <w:sz w:val="20"/>
          <w:szCs w:val="20"/>
        </w:rPr>
        <w:t xml:space="preserve"> </w:t>
      </w:r>
      <w:r w:rsidR="00BE3E62" w:rsidRPr="00356E3D">
        <w:rPr>
          <w:rFonts w:ascii="Arial" w:hAnsi="Arial" w:cs="Arial"/>
          <w:sz w:val="20"/>
          <w:szCs w:val="20"/>
        </w:rPr>
        <w:t>El IEC e</w:t>
      </w:r>
      <w:r w:rsidR="008E2688" w:rsidRPr="00356E3D">
        <w:rPr>
          <w:rFonts w:ascii="Arial" w:hAnsi="Arial" w:cs="Arial"/>
          <w:sz w:val="20"/>
          <w:szCs w:val="20"/>
        </w:rPr>
        <w:t>s un Organismo Público Descentralizado del Poder Ejecutivo del Estado de Guanajuato</w:t>
      </w:r>
      <w:r w:rsidR="00BE3E62" w:rsidRPr="00356E3D">
        <w:rPr>
          <w:rFonts w:ascii="Arial" w:hAnsi="Arial" w:cs="Arial"/>
          <w:sz w:val="20"/>
          <w:szCs w:val="20"/>
        </w:rPr>
        <w:t xml:space="preserve">, </w:t>
      </w:r>
      <w:r w:rsidR="000B0D49" w:rsidRPr="00356E3D">
        <w:rPr>
          <w:rFonts w:ascii="Arial" w:hAnsi="Arial" w:cs="Arial"/>
          <w:sz w:val="20"/>
          <w:szCs w:val="20"/>
        </w:rPr>
        <w:t xml:space="preserve">está dado de </w:t>
      </w:r>
      <w:r w:rsidR="00026D24" w:rsidRPr="00356E3D">
        <w:rPr>
          <w:rFonts w:ascii="Arial" w:hAnsi="Arial" w:cs="Arial"/>
          <w:sz w:val="20"/>
          <w:szCs w:val="20"/>
        </w:rPr>
        <w:t>alta ante</w:t>
      </w:r>
      <w:r w:rsidR="000B0D49" w:rsidRPr="00356E3D">
        <w:rPr>
          <w:rFonts w:ascii="Arial" w:hAnsi="Arial" w:cs="Arial"/>
          <w:sz w:val="20"/>
          <w:szCs w:val="20"/>
        </w:rPr>
        <w:t xml:space="preserve"> la S.H.C.P </w:t>
      </w:r>
      <w:r w:rsidR="00026D24" w:rsidRPr="00356E3D">
        <w:rPr>
          <w:rFonts w:ascii="Arial" w:hAnsi="Arial" w:cs="Arial"/>
          <w:sz w:val="20"/>
          <w:szCs w:val="20"/>
        </w:rPr>
        <w:t xml:space="preserve">como </w:t>
      </w:r>
      <w:r w:rsidR="00FF3E58" w:rsidRPr="00356E3D">
        <w:rPr>
          <w:rFonts w:ascii="Arial" w:hAnsi="Arial" w:cs="Arial"/>
          <w:sz w:val="20"/>
          <w:szCs w:val="20"/>
        </w:rPr>
        <w:t>Persona moral</w:t>
      </w:r>
      <w:r w:rsidR="000B0D49" w:rsidRPr="00356E3D">
        <w:rPr>
          <w:rFonts w:ascii="Arial" w:hAnsi="Arial" w:cs="Arial"/>
          <w:sz w:val="20"/>
          <w:szCs w:val="20"/>
        </w:rPr>
        <w:t xml:space="preserve"> sin fines de lucro, con RFC IEC940202G46</w:t>
      </w:r>
      <w:r w:rsidR="008E2688" w:rsidRPr="00356E3D">
        <w:rPr>
          <w:rFonts w:ascii="Arial" w:hAnsi="Arial" w:cs="Arial"/>
          <w:sz w:val="20"/>
          <w:szCs w:val="20"/>
        </w:rPr>
        <w:t>.</w:t>
      </w:r>
    </w:p>
    <w:p w14:paraId="138E8FBE" w14:textId="77777777" w:rsidR="008E2688" w:rsidRPr="00356E3D" w:rsidRDefault="008E2688" w:rsidP="000B0D49">
      <w:pPr>
        <w:spacing w:after="0"/>
        <w:jc w:val="both"/>
        <w:rPr>
          <w:rFonts w:ascii="Arial" w:hAnsi="Arial" w:cs="Arial"/>
          <w:sz w:val="20"/>
          <w:szCs w:val="20"/>
        </w:rPr>
      </w:pPr>
    </w:p>
    <w:p w14:paraId="5F2D22CB" w14:textId="77777777" w:rsidR="008E2688" w:rsidRPr="00356E3D" w:rsidRDefault="008E2688" w:rsidP="000B0D49">
      <w:pPr>
        <w:spacing w:after="0"/>
        <w:jc w:val="both"/>
        <w:rPr>
          <w:rFonts w:ascii="Arial" w:hAnsi="Arial" w:cs="Arial"/>
          <w:sz w:val="20"/>
          <w:szCs w:val="20"/>
        </w:rPr>
      </w:pPr>
      <w:r w:rsidRPr="00356E3D">
        <w:rPr>
          <w:rFonts w:ascii="Arial" w:hAnsi="Arial" w:cs="Arial"/>
          <w:sz w:val="20"/>
          <w:szCs w:val="20"/>
        </w:rPr>
        <w:t>e) C</w:t>
      </w:r>
      <w:r w:rsidR="000B0D49" w:rsidRPr="00356E3D">
        <w:rPr>
          <w:rFonts w:ascii="Arial" w:hAnsi="Arial" w:cs="Arial"/>
          <w:sz w:val="20"/>
          <w:szCs w:val="20"/>
        </w:rPr>
        <w:t xml:space="preserve">onsideraciones fiscales: </w:t>
      </w:r>
    </w:p>
    <w:p w14:paraId="619CBD7B"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Retenedor puro: Salarios, Asimilados, Honorarios, Arrendamientos</w:t>
      </w:r>
      <w:r w:rsidR="00026D24">
        <w:rPr>
          <w:rFonts w:ascii="Arial" w:hAnsi="Arial" w:cs="Arial"/>
          <w:sz w:val="20"/>
          <w:szCs w:val="20"/>
        </w:rPr>
        <w:t xml:space="preserve">, </w:t>
      </w:r>
      <w:proofErr w:type="spellStart"/>
      <w:r w:rsidR="00026D24">
        <w:rPr>
          <w:rFonts w:ascii="Arial" w:hAnsi="Arial" w:cs="Arial"/>
          <w:sz w:val="20"/>
          <w:szCs w:val="20"/>
        </w:rPr>
        <w:t>Resico</w:t>
      </w:r>
      <w:proofErr w:type="spellEnd"/>
      <w:r w:rsidRPr="00356E3D">
        <w:rPr>
          <w:rFonts w:ascii="Arial" w:hAnsi="Arial" w:cs="Arial"/>
          <w:sz w:val="20"/>
          <w:szCs w:val="20"/>
        </w:rPr>
        <w:t xml:space="preserve">. </w:t>
      </w:r>
    </w:p>
    <w:p w14:paraId="295F0EA5" w14:textId="77777777" w:rsidR="004F4796" w:rsidRDefault="000B0D49" w:rsidP="004F4796">
      <w:pPr>
        <w:spacing w:after="0"/>
        <w:jc w:val="both"/>
        <w:rPr>
          <w:rFonts w:ascii="Arial" w:hAnsi="Arial" w:cs="Arial"/>
          <w:sz w:val="20"/>
          <w:szCs w:val="20"/>
        </w:rPr>
      </w:pPr>
      <w:r w:rsidRPr="00356E3D">
        <w:rPr>
          <w:rFonts w:ascii="Arial" w:hAnsi="Arial" w:cs="Arial"/>
          <w:sz w:val="20"/>
          <w:szCs w:val="20"/>
        </w:rPr>
        <w:t>Declaración de IVA por las actividades gravadas, Declaraciones informativas: Federales y Estatales.</w:t>
      </w:r>
    </w:p>
    <w:p w14:paraId="4F7C8A6F" w14:textId="29E3F5F2" w:rsidR="008E2688" w:rsidRPr="00356E3D" w:rsidRDefault="008E2688" w:rsidP="004F4796">
      <w:pPr>
        <w:spacing w:after="0"/>
        <w:jc w:val="both"/>
        <w:rPr>
          <w:rFonts w:ascii="Arial" w:hAnsi="Arial" w:cs="Arial"/>
          <w:sz w:val="20"/>
          <w:szCs w:val="20"/>
        </w:rPr>
      </w:pPr>
      <w:r w:rsidRPr="00356E3D">
        <w:rPr>
          <w:rFonts w:ascii="Arial" w:hAnsi="Arial" w:cs="Arial"/>
          <w:sz w:val="20"/>
          <w:szCs w:val="20"/>
        </w:rPr>
        <w:lastRenderedPageBreak/>
        <w:t xml:space="preserve">f) El Instituto Estatal de la Cultura se encuentra integrado conforme a su Reglamento </w:t>
      </w:r>
      <w:r w:rsidR="003713AB">
        <w:rPr>
          <w:rFonts w:ascii="Arial" w:hAnsi="Arial" w:cs="Arial"/>
          <w:sz w:val="20"/>
          <w:szCs w:val="20"/>
        </w:rPr>
        <w:t>Interior como sigue: Artículo 31</w:t>
      </w:r>
      <w:r w:rsidRPr="00356E3D">
        <w:rPr>
          <w:rFonts w:ascii="Arial" w:hAnsi="Arial" w:cs="Arial"/>
          <w:sz w:val="20"/>
          <w:szCs w:val="20"/>
        </w:rPr>
        <w:t>.- Para el adecuado despacho de los asuntos a su cargo y para el ejercicio de sus funciones, el Instituto Estatal de la Cultura, contará con unidades administrativas donde se destacan:</w:t>
      </w:r>
    </w:p>
    <w:p w14:paraId="77D79E76" w14:textId="77777777" w:rsidR="008E2688" w:rsidRPr="00356E3D" w:rsidRDefault="008E2688" w:rsidP="008E2688">
      <w:pPr>
        <w:spacing w:after="0" w:line="240" w:lineRule="auto"/>
        <w:jc w:val="both"/>
        <w:rPr>
          <w:rFonts w:ascii="Arial" w:hAnsi="Arial" w:cs="Arial"/>
          <w:sz w:val="20"/>
          <w:szCs w:val="20"/>
        </w:rPr>
      </w:pPr>
    </w:p>
    <w:p w14:paraId="25E7026A" w14:textId="77777777" w:rsidR="008E2688" w:rsidRPr="003713AB" w:rsidRDefault="008E2688" w:rsidP="008E2688">
      <w:pPr>
        <w:spacing w:after="0" w:line="240" w:lineRule="auto"/>
        <w:rPr>
          <w:rFonts w:ascii="Arial" w:hAnsi="Arial" w:cs="Arial"/>
          <w:bCs/>
          <w:sz w:val="20"/>
          <w:szCs w:val="20"/>
        </w:rPr>
      </w:pPr>
      <w:r w:rsidRPr="00356E3D">
        <w:rPr>
          <w:rFonts w:ascii="Arial" w:hAnsi="Arial" w:cs="Arial"/>
          <w:sz w:val="20"/>
          <w:szCs w:val="20"/>
        </w:rPr>
        <w:t xml:space="preserve">              I</w:t>
      </w:r>
      <w:r w:rsidRPr="003713AB">
        <w:rPr>
          <w:rFonts w:ascii="Arial" w:hAnsi="Arial" w:cs="Arial"/>
          <w:bCs/>
          <w:sz w:val="20"/>
          <w:szCs w:val="20"/>
        </w:rPr>
        <w:t xml:space="preserve">. </w:t>
      </w:r>
      <w:r w:rsidR="003713AB" w:rsidRPr="003713AB">
        <w:rPr>
          <w:rFonts w:ascii="Arial" w:hAnsi="Arial" w:cs="Arial"/>
          <w:bCs/>
          <w:sz w:val="20"/>
          <w:szCs w:val="20"/>
        </w:rPr>
        <w:t>Dirección General</w:t>
      </w:r>
      <w:r w:rsidRPr="003713AB">
        <w:rPr>
          <w:rFonts w:ascii="Arial" w:hAnsi="Arial" w:cs="Arial"/>
          <w:bCs/>
          <w:sz w:val="20"/>
          <w:szCs w:val="20"/>
        </w:rPr>
        <w:t>;</w:t>
      </w:r>
    </w:p>
    <w:p w14:paraId="2A546591"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II. </w:t>
      </w:r>
      <w:r w:rsidR="003713AB" w:rsidRPr="003713AB">
        <w:rPr>
          <w:rFonts w:ascii="Arial" w:hAnsi="Arial" w:cs="Arial"/>
          <w:bCs/>
          <w:sz w:val="20"/>
          <w:szCs w:val="20"/>
        </w:rPr>
        <w:t>Dirección de Administración</w:t>
      </w:r>
      <w:r w:rsidRPr="003713AB">
        <w:rPr>
          <w:rFonts w:ascii="Arial" w:hAnsi="Arial" w:cs="Arial"/>
          <w:bCs/>
          <w:sz w:val="20"/>
          <w:szCs w:val="20"/>
        </w:rPr>
        <w:t xml:space="preserve">; </w:t>
      </w:r>
    </w:p>
    <w:p w14:paraId="02C922FA"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III. </w:t>
      </w:r>
      <w:r w:rsidR="003713AB" w:rsidRPr="003713AB">
        <w:rPr>
          <w:rFonts w:ascii="Arial" w:hAnsi="Arial" w:cs="Arial"/>
          <w:bCs/>
          <w:sz w:val="20"/>
          <w:szCs w:val="20"/>
        </w:rPr>
        <w:t>Dirección de Vinculación y Desarrollo Cultural</w:t>
      </w:r>
      <w:r w:rsidRPr="003713AB">
        <w:rPr>
          <w:rFonts w:ascii="Arial" w:hAnsi="Arial" w:cs="Arial"/>
          <w:bCs/>
          <w:sz w:val="20"/>
          <w:szCs w:val="20"/>
        </w:rPr>
        <w:t xml:space="preserve">; </w:t>
      </w:r>
    </w:p>
    <w:p w14:paraId="794F863E"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IV. </w:t>
      </w:r>
      <w:r w:rsidR="003713AB" w:rsidRPr="003713AB">
        <w:rPr>
          <w:rFonts w:ascii="Arial" w:hAnsi="Arial" w:cs="Arial"/>
          <w:bCs/>
          <w:sz w:val="20"/>
          <w:szCs w:val="20"/>
        </w:rPr>
        <w:t>Dirección de Formación e Investigación</w:t>
      </w:r>
      <w:r w:rsidRPr="003713AB">
        <w:rPr>
          <w:rFonts w:ascii="Arial" w:hAnsi="Arial" w:cs="Arial"/>
          <w:bCs/>
          <w:sz w:val="20"/>
          <w:szCs w:val="20"/>
        </w:rPr>
        <w:t xml:space="preserve">; </w:t>
      </w:r>
    </w:p>
    <w:p w14:paraId="7ADDE5EB"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V. </w:t>
      </w:r>
      <w:r w:rsidR="003713AB" w:rsidRPr="003713AB">
        <w:rPr>
          <w:rFonts w:ascii="Arial" w:hAnsi="Arial" w:cs="Arial"/>
          <w:bCs/>
          <w:sz w:val="20"/>
          <w:szCs w:val="20"/>
        </w:rPr>
        <w:t>Dirección de Patrimonio Cultura</w:t>
      </w:r>
      <w:r w:rsidRPr="003713AB">
        <w:rPr>
          <w:rFonts w:ascii="Arial" w:hAnsi="Arial" w:cs="Arial"/>
          <w:bCs/>
          <w:sz w:val="20"/>
          <w:szCs w:val="20"/>
        </w:rPr>
        <w:t xml:space="preserve">; </w:t>
      </w:r>
    </w:p>
    <w:p w14:paraId="2DCA60C8"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VI. </w:t>
      </w:r>
      <w:r w:rsidR="003713AB" w:rsidRPr="003713AB">
        <w:rPr>
          <w:rFonts w:ascii="Arial" w:hAnsi="Arial" w:cs="Arial"/>
          <w:bCs/>
          <w:sz w:val="20"/>
          <w:szCs w:val="20"/>
        </w:rPr>
        <w:t>Dirección de Producción y Programación Cultural</w:t>
      </w:r>
      <w:r w:rsidRPr="003713AB">
        <w:rPr>
          <w:rFonts w:ascii="Arial" w:hAnsi="Arial" w:cs="Arial"/>
          <w:bCs/>
          <w:sz w:val="20"/>
          <w:szCs w:val="20"/>
        </w:rPr>
        <w:t xml:space="preserve">; </w:t>
      </w:r>
    </w:p>
    <w:p w14:paraId="47EFAE99"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VII. </w:t>
      </w:r>
      <w:r w:rsidR="003713AB" w:rsidRPr="003713AB">
        <w:rPr>
          <w:rFonts w:ascii="Arial" w:hAnsi="Arial" w:cs="Arial"/>
          <w:bCs/>
          <w:sz w:val="20"/>
          <w:szCs w:val="20"/>
        </w:rPr>
        <w:t>Dirección Editorial</w:t>
      </w:r>
      <w:r w:rsidRPr="003713AB">
        <w:rPr>
          <w:rFonts w:ascii="Arial" w:hAnsi="Arial" w:cs="Arial"/>
          <w:bCs/>
          <w:sz w:val="20"/>
          <w:szCs w:val="20"/>
        </w:rPr>
        <w:t>;</w:t>
      </w:r>
    </w:p>
    <w:p w14:paraId="510A0A88"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w:t>
      </w:r>
      <w:r w:rsidR="00026D24" w:rsidRPr="003713AB">
        <w:rPr>
          <w:rFonts w:ascii="Arial" w:hAnsi="Arial" w:cs="Arial"/>
          <w:bCs/>
          <w:sz w:val="20"/>
          <w:szCs w:val="20"/>
        </w:rPr>
        <w:t xml:space="preserve"> </w:t>
      </w:r>
      <w:r w:rsidRPr="003713AB">
        <w:rPr>
          <w:rFonts w:ascii="Arial" w:hAnsi="Arial" w:cs="Arial"/>
          <w:bCs/>
          <w:sz w:val="20"/>
          <w:szCs w:val="20"/>
        </w:rPr>
        <w:t xml:space="preserve"> VIII</w:t>
      </w:r>
      <w:r w:rsidR="003713AB" w:rsidRPr="003713AB">
        <w:rPr>
          <w:rFonts w:ascii="Arial" w:hAnsi="Arial" w:cs="Arial"/>
          <w:bCs/>
          <w:sz w:val="20"/>
          <w:szCs w:val="20"/>
        </w:rPr>
        <w:t>. Dirección de Museos y Artes Visuales, y</w:t>
      </w:r>
      <w:r w:rsidRPr="003713AB">
        <w:rPr>
          <w:rFonts w:ascii="Arial" w:hAnsi="Arial" w:cs="Arial"/>
          <w:bCs/>
          <w:sz w:val="20"/>
          <w:szCs w:val="20"/>
        </w:rPr>
        <w:t xml:space="preserve">.  </w:t>
      </w:r>
    </w:p>
    <w:p w14:paraId="0942F347" w14:textId="77777777" w:rsidR="008E2688" w:rsidRPr="00356E3D" w:rsidRDefault="008E2688" w:rsidP="008E2688">
      <w:pPr>
        <w:spacing w:after="0" w:line="240" w:lineRule="auto"/>
        <w:rPr>
          <w:rFonts w:ascii="Arial" w:hAnsi="Arial" w:cs="Arial"/>
          <w:bCs/>
          <w:sz w:val="20"/>
          <w:szCs w:val="20"/>
        </w:rPr>
      </w:pPr>
      <w:r w:rsidRPr="00356E3D">
        <w:rPr>
          <w:rFonts w:ascii="Arial" w:hAnsi="Arial" w:cs="Arial"/>
          <w:bCs/>
          <w:sz w:val="20"/>
          <w:szCs w:val="20"/>
        </w:rPr>
        <w:t xml:space="preserve"> </w:t>
      </w:r>
      <w:r w:rsidR="00026D24">
        <w:rPr>
          <w:rFonts w:ascii="Arial" w:hAnsi="Arial" w:cs="Arial"/>
          <w:bCs/>
          <w:sz w:val="20"/>
          <w:szCs w:val="20"/>
        </w:rPr>
        <w:t xml:space="preserve">           </w:t>
      </w:r>
      <w:r w:rsidRPr="00356E3D">
        <w:rPr>
          <w:rFonts w:ascii="Arial" w:hAnsi="Arial" w:cs="Arial"/>
          <w:bCs/>
          <w:sz w:val="20"/>
          <w:szCs w:val="20"/>
        </w:rPr>
        <w:t xml:space="preserve"> </w:t>
      </w:r>
      <w:r w:rsidR="003713AB">
        <w:rPr>
          <w:rFonts w:ascii="Arial" w:hAnsi="Arial" w:cs="Arial"/>
          <w:bCs/>
          <w:sz w:val="20"/>
          <w:szCs w:val="20"/>
        </w:rPr>
        <w:t xml:space="preserve"> IX</w:t>
      </w:r>
      <w:r w:rsidRPr="00356E3D">
        <w:rPr>
          <w:rFonts w:ascii="Arial" w:hAnsi="Arial" w:cs="Arial"/>
          <w:bCs/>
          <w:sz w:val="20"/>
          <w:szCs w:val="20"/>
        </w:rPr>
        <w:t xml:space="preserve">.- </w:t>
      </w:r>
      <w:r w:rsidR="003713AB" w:rsidRPr="003713AB">
        <w:rPr>
          <w:rFonts w:ascii="Arial" w:hAnsi="Arial" w:cs="Arial"/>
          <w:bCs/>
          <w:sz w:val="20"/>
          <w:szCs w:val="20"/>
        </w:rPr>
        <w:t>Órgano Interno de Control</w:t>
      </w:r>
      <w:r w:rsidR="003713AB">
        <w:t>.</w:t>
      </w:r>
    </w:p>
    <w:p w14:paraId="6A8A6231" w14:textId="34EA95B2" w:rsidR="008E2688" w:rsidRPr="004F4796" w:rsidRDefault="008E2688" w:rsidP="004F4796">
      <w:pPr>
        <w:autoSpaceDE w:val="0"/>
        <w:autoSpaceDN w:val="0"/>
        <w:adjustRightInd w:val="0"/>
        <w:spacing w:after="0" w:line="240" w:lineRule="auto"/>
        <w:rPr>
          <w:rFonts w:ascii="Arial" w:hAnsi="Arial" w:cs="Arial"/>
          <w:b/>
          <w:bCs/>
          <w:sz w:val="20"/>
          <w:szCs w:val="20"/>
        </w:rPr>
      </w:pPr>
      <w:r w:rsidRPr="00356E3D">
        <w:rPr>
          <w:rFonts w:ascii="Arial" w:hAnsi="Arial" w:cs="Arial"/>
          <w:bCs/>
          <w:sz w:val="20"/>
          <w:szCs w:val="20"/>
        </w:rPr>
        <w:t xml:space="preserve">             </w:t>
      </w:r>
    </w:p>
    <w:p w14:paraId="59E5E171" w14:textId="77777777" w:rsidR="000B0D49" w:rsidRPr="00356E3D" w:rsidRDefault="008E2688" w:rsidP="000B0D49">
      <w:pPr>
        <w:spacing w:after="0"/>
        <w:jc w:val="both"/>
        <w:rPr>
          <w:rFonts w:ascii="Arial" w:hAnsi="Arial" w:cs="Arial"/>
          <w:sz w:val="20"/>
          <w:szCs w:val="20"/>
        </w:rPr>
      </w:pPr>
      <w:r w:rsidRPr="00356E3D">
        <w:rPr>
          <w:rFonts w:ascii="Arial" w:hAnsi="Arial" w:cs="Arial"/>
          <w:sz w:val="20"/>
          <w:szCs w:val="20"/>
        </w:rPr>
        <w:t>g</w:t>
      </w:r>
      <w:r w:rsidR="000B0D49" w:rsidRPr="00356E3D">
        <w:rPr>
          <w:rFonts w:ascii="Arial" w:hAnsi="Arial" w:cs="Arial"/>
          <w:sz w:val="20"/>
          <w:szCs w:val="20"/>
        </w:rPr>
        <w:t>) Coadyuva a las operaciones de los siguientes Fideicomisos, en los cuales funge como fideicomitente o fiduciario.</w:t>
      </w:r>
    </w:p>
    <w:p w14:paraId="63069E9D"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FIARCA: Fideicomiso de administración. Estatal.  Somos Fideicomitente y no cuenta con RFC propio</w:t>
      </w:r>
      <w:r w:rsidR="00415CF5" w:rsidRPr="00356E3D">
        <w:rPr>
          <w:rFonts w:ascii="Arial" w:hAnsi="Arial" w:cs="Arial"/>
          <w:sz w:val="20"/>
          <w:szCs w:val="20"/>
        </w:rPr>
        <w:t>.</w:t>
      </w:r>
    </w:p>
    <w:p w14:paraId="66AD80CE" w14:textId="536BF20F" w:rsidR="00C963CD" w:rsidRPr="00356E3D" w:rsidRDefault="00C963CD" w:rsidP="000B0D49">
      <w:pPr>
        <w:spacing w:after="0"/>
        <w:jc w:val="both"/>
        <w:rPr>
          <w:rFonts w:ascii="Arial" w:hAnsi="Arial" w:cs="Arial"/>
          <w:b/>
          <w:sz w:val="20"/>
          <w:szCs w:val="20"/>
        </w:rPr>
      </w:pPr>
    </w:p>
    <w:p w14:paraId="29335BF8" w14:textId="77777777" w:rsidR="000B0D49" w:rsidRPr="00356E3D" w:rsidRDefault="006414EF" w:rsidP="000B0D49">
      <w:pPr>
        <w:jc w:val="both"/>
        <w:rPr>
          <w:rFonts w:ascii="Arial" w:hAnsi="Arial" w:cs="Arial"/>
          <w:b/>
          <w:sz w:val="20"/>
          <w:szCs w:val="20"/>
        </w:rPr>
      </w:pPr>
      <w:r>
        <w:rPr>
          <w:rFonts w:ascii="Arial" w:hAnsi="Arial" w:cs="Arial"/>
          <w:b/>
          <w:sz w:val="20"/>
          <w:szCs w:val="20"/>
        </w:rPr>
        <w:t>4</w:t>
      </w:r>
      <w:r w:rsidR="000B0D49" w:rsidRPr="00356E3D">
        <w:rPr>
          <w:rFonts w:ascii="Arial" w:hAnsi="Arial" w:cs="Arial"/>
          <w:b/>
          <w:sz w:val="20"/>
          <w:szCs w:val="20"/>
        </w:rPr>
        <w:t>. Bases de Preparación de los Estados Financieros</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325BF99C"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a) En la elaboración de los Estados Financieros se observa la normatividad emitida por el CONAC y las disposiciones legales aplicables.</w:t>
      </w:r>
    </w:p>
    <w:p w14:paraId="0D839836"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b) Las Bases de Preparación de los Estados Financieros observa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C730E7C"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c) En la Preparación de los Estados Financieros se aplican los Postulados Básicos de Registro Contable, el devengo del ingreso, entre otros, aún se encuentra en fase de desarrollo de los diferentes rubros de la información</w:t>
      </w:r>
      <w:r w:rsidR="00415CF5" w:rsidRPr="00356E3D">
        <w:rPr>
          <w:rFonts w:ascii="Arial" w:hAnsi="Arial" w:cs="Arial"/>
          <w:sz w:val="20"/>
          <w:szCs w:val="20"/>
        </w:rPr>
        <w:t xml:space="preserve"> financiera.</w:t>
      </w:r>
    </w:p>
    <w:p w14:paraId="34FF6DBC" w14:textId="77777777" w:rsidR="00D26369" w:rsidRPr="00356E3D" w:rsidRDefault="00D26369" w:rsidP="000B0D49">
      <w:pPr>
        <w:jc w:val="both"/>
        <w:rPr>
          <w:rFonts w:ascii="Arial" w:hAnsi="Arial" w:cs="Arial"/>
          <w:sz w:val="20"/>
          <w:szCs w:val="20"/>
        </w:rPr>
      </w:pPr>
      <w:r w:rsidRPr="00356E3D">
        <w:rPr>
          <w:rFonts w:ascii="Arial" w:hAnsi="Arial" w:cs="Arial"/>
          <w:sz w:val="20"/>
          <w:szCs w:val="20"/>
        </w:rPr>
        <w:t>d) Normatividad supletoria. No aplica.</w:t>
      </w:r>
    </w:p>
    <w:p w14:paraId="46219219" w14:textId="0ACC8C7A" w:rsidR="00D26369" w:rsidRPr="00356E3D" w:rsidRDefault="00D26369" w:rsidP="000B0D49">
      <w:pPr>
        <w:jc w:val="both"/>
        <w:rPr>
          <w:rFonts w:ascii="Arial" w:hAnsi="Arial" w:cs="Arial"/>
          <w:sz w:val="20"/>
          <w:szCs w:val="20"/>
        </w:rPr>
      </w:pPr>
      <w:r w:rsidRPr="00356E3D">
        <w:rPr>
          <w:rFonts w:ascii="Arial" w:hAnsi="Arial" w:cs="Arial"/>
          <w:sz w:val="20"/>
          <w:szCs w:val="20"/>
        </w:rPr>
        <w:t xml:space="preserve">e) Entidades que por primera vez estén implementando </w:t>
      </w:r>
      <w:r w:rsidR="00FF3E58" w:rsidRPr="00356E3D">
        <w:rPr>
          <w:rFonts w:ascii="Arial" w:hAnsi="Arial" w:cs="Arial"/>
          <w:sz w:val="20"/>
          <w:szCs w:val="20"/>
        </w:rPr>
        <w:t>la base devengada</w:t>
      </w:r>
      <w:r w:rsidRPr="00356E3D">
        <w:rPr>
          <w:rFonts w:ascii="Arial" w:hAnsi="Arial" w:cs="Arial"/>
          <w:sz w:val="20"/>
          <w:szCs w:val="20"/>
        </w:rPr>
        <w:t>. No aplica.</w:t>
      </w:r>
    </w:p>
    <w:p w14:paraId="10EEA9E5" w14:textId="77777777" w:rsidR="000B0D49" w:rsidRPr="00356E3D" w:rsidRDefault="006414EF" w:rsidP="000B0D49">
      <w:pPr>
        <w:jc w:val="both"/>
        <w:rPr>
          <w:rFonts w:ascii="Arial" w:hAnsi="Arial" w:cs="Arial"/>
          <w:b/>
          <w:sz w:val="20"/>
          <w:szCs w:val="20"/>
        </w:rPr>
      </w:pPr>
      <w:r>
        <w:rPr>
          <w:rFonts w:ascii="Arial" w:hAnsi="Arial" w:cs="Arial"/>
          <w:b/>
          <w:sz w:val="20"/>
          <w:szCs w:val="20"/>
        </w:rPr>
        <w:t>5</w:t>
      </w:r>
      <w:r w:rsidR="000B0D49" w:rsidRPr="00356E3D">
        <w:rPr>
          <w:rFonts w:ascii="Arial" w:hAnsi="Arial" w:cs="Arial"/>
          <w:b/>
          <w:sz w:val="20"/>
          <w:szCs w:val="20"/>
        </w:rPr>
        <w:t>. Políticas de Contabilidad Significativas</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2EF85D61"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a) No se actualiza el valor de los activos, con motivo de la inflación. </w:t>
      </w:r>
    </w:p>
    <w:p w14:paraId="09232C02"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b) No realizamos operaciones en el extranjero que produzcan efectos en la información financiera gubernamental.</w:t>
      </w:r>
    </w:p>
    <w:p w14:paraId="255BED12"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c) No tenemos inversiones en acciones. </w:t>
      </w:r>
    </w:p>
    <w:p w14:paraId="52A282AF"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d) En nuestras tiendas de </w:t>
      </w:r>
      <w:r w:rsidR="00710F10" w:rsidRPr="00356E3D">
        <w:rPr>
          <w:rFonts w:ascii="Arial" w:hAnsi="Arial" w:cs="Arial"/>
          <w:sz w:val="20"/>
          <w:szCs w:val="20"/>
        </w:rPr>
        <w:t>suvenires</w:t>
      </w:r>
      <w:r w:rsidRPr="00356E3D">
        <w:rPr>
          <w:rFonts w:ascii="Arial" w:hAnsi="Arial" w:cs="Arial"/>
          <w:sz w:val="20"/>
          <w:szCs w:val="20"/>
        </w:rPr>
        <w:t xml:space="preserve"> en los museos, utilizamos el método de inventari</w:t>
      </w:r>
      <w:r w:rsidR="00415CF5" w:rsidRPr="00356E3D">
        <w:rPr>
          <w:rFonts w:ascii="Arial" w:hAnsi="Arial" w:cs="Arial"/>
          <w:sz w:val="20"/>
          <w:szCs w:val="20"/>
        </w:rPr>
        <w:t>os periódicos (Cada tres meses).</w:t>
      </w:r>
    </w:p>
    <w:p w14:paraId="3F7C67CA"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e) No tenemos creadas Provisiones</w:t>
      </w:r>
      <w:r w:rsidR="00415CF5" w:rsidRPr="00356E3D">
        <w:rPr>
          <w:rFonts w:ascii="Arial" w:hAnsi="Arial" w:cs="Arial"/>
          <w:sz w:val="20"/>
          <w:szCs w:val="20"/>
        </w:rPr>
        <w:t>.</w:t>
      </w:r>
    </w:p>
    <w:p w14:paraId="22A67FA9"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f) No tenemos creadas Reservas</w:t>
      </w:r>
      <w:r w:rsidR="00415CF5" w:rsidRPr="00356E3D">
        <w:rPr>
          <w:rFonts w:ascii="Arial" w:hAnsi="Arial" w:cs="Arial"/>
          <w:sz w:val="20"/>
          <w:szCs w:val="20"/>
        </w:rPr>
        <w:t>.</w:t>
      </w:r>
    </w:p>
    <w:p w14:paraId="687C309D"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g) Los Organismos Descentralizados a partir del ejercicio fiscal 2011 han venido presentando la nueva estructura de registro contable y presupuestal normada por el CONAC. </w:t>
      </w:r>
      <w:r w:rsidR="007232F8" w:rsidRPr="00356E3D">
        <w:rPr>
          <w:rFonts w:ascii="Arial" w:hAnsi="Arial" w:cs="Arial"/>
          <w:sz w:val="20"/>
          <w:szCs w:val="20"/>
        </w:rPr>
        <w:t>Asimismo, las guías contabiliza</w:t>
      </w:r>
      <w:r w:rsidRPr="00356E3D">
        <w:rPr>
          <w:rFonts w:ascii="Arial" w:hAnsi="Arial" w:cs="Arial"/>
          <w:sz w:val="20"/>
          <w:szCs w:val="20"/>
        </w:rPr>
        <w:t>do</w:t>
      </w:r>
      <w:r w:rsidR="007232F8" w:rsidRPr="00356E3D">
        <w:rPr>
          <w:rFonts w:ascii="Arial" w:hAnsi="Arial" w:cs="Arial"/>
          <w:sz w:val="20"/>
          <w:szCs w:val="20"/>
        </w:rPr>
        <w:t>r</w:t>
      </w:r>
      <w:r w:rsidRPr="00356E3D">
        <w:rPr>
          <w:rFonts w:ascii="Arial" w:hAnsi="Arial" w:cs="Arial"/>
          <w:sz w:val="20"/>
          <w:szCs w:val="20"/>
        </w:rPr>
        <w:t>as, la matriz de conversión y los nuevos procesos de Registro que de ellas emanan han sido aplicadas en el SIHP.</w:t>
      </w:r>
    </w:p>
    <w:p w14:paraId="7F61D60A"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h) </w:t>
      </w:r>
      <w:r w:rsidR="002D6C0F" w:rsidRPr="00356E3D">
        <w:rPr>
          <w:rFonts w:ascii="Arial" w:hAnsi="Arial" w:cs="Arial"/>
          <w:sz w:val="20"/>
          <w:szCs w:val="20"/>
        </w:rPr>
        <w:t>No se presentaron cambios en políticas contables y corrección de errores.</w:t>
      </w:r>
    </w:p>
    <w:p w14:paraId="675D4A1F"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i) En el presente periodo no tuvimos Reclasificaciones</w:t>
      </w:r>
      <w:r w:rsidR="00415CF5" w:rsidRPr="00356E3D">
        <w:rPr>
          <w:rFonts w:ascii="Arial" w:hAnsi="Arial" w:cs="Arial"/>
          <w:sz w:val="20"/>
          <w:szCs w:val="20"/>
        </w:rPr>
        <w:t>.</w:t>
      </w:r>
    </w:p>
    <w:p w14:paraId="00F17749"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j) No se presentaron acciones de depuración y cancelación de saldos</w:t>
      </w:r>
      <w:r w:rsidR="00415CF5" w:rsidRPr="00356E3D">
        <w:rPr>
          <w:rFonts w:ascii="Arial" w:hAnsi="Arial" w:cs="Arial"/>
          <w:sz w:val="20"/>
          <w:szCs w:val="20"/>
        </w:rPr>
        <w:t>.</w:t>
      </w:r>
    </w:p>
    <w:p w14:paraId="4A79CDD6" w14:textId="77777777" w:rsidR="000B0D49" w:rsidRPr="00356E3D" w:rsidRDefault="000B0D49" w:rsidP="000B0D49">
      <w:pPr>
        <w:spacing w:after="0"/>
        <w:jc w:val="both"/>
        <w:rPr>
          <w:rFonts w:ascii="Arial" w:hAnsi="Arial" w:cs="Arial"/>
          <w:sz w:val="20"/>
          <w:szCs w:val="20"/>
        </w:rPr>
      </w:pPr>
    </w:p>
    <w:p w14:paraId="3DDA6BED" w14:textId="77777777" w:rsidR="000B0D49" w:rsidRPr="00356E3D" w:rsidRDefault="006414EF" w:rsidP="000B0D49">
      <w:pPr>
        <w:jc w:val="both"/>
        <w:rPr>
          <w:rFonts w:ascii="Arial" w:hAnsi="Arial" w:cs="Arial"/>
          <w:b/>
          <w:sz w:val="20"/>
          <w:szCs w:val="20"/>
        </w:rPr>
      </w:pPr>
      <w:r>
        <w:rPr>
          <w:rFonts w:ascii="Arial" w:hAnsi="Arial" w:cs="Arial"/>
          <w:b/>
          <w:sz w:val="20"/>
          <w:szCs w:val="20"/>
        </w:rPr>
        <w:t>6</w:t>
      </w:r>
      <w:r w:rsidR="000B0D49" w:rsidRPr="00356E3D">
        <w:rPr>
          <w:rFonts w:ascii="Arial" w:hAnsi="Arial" w:cs="Arial"/>
          <w:b/>
          <w:sz w:val="20"/>
          <w:szCs w:val="20"/>
        </w:rPr>
        <w:t>. Posición en Moneda Extranjera y Protección por Riesgo Cambiario</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7F6B3896" w14:textId="6E9D1C53"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a) Tenemos un lote de Obra </w:t>
      </w:r>
      <w:r w:rsidR="00B76C88" w:rsidRPr="00356E3D">
        <w:rPr>
          <w:rFonts w:ascii="Arial" w:hAnsi="Arial" w:cs="Arial"/>
          <w:sz w:val="20"/>
          <w:szCs w:val="20"/>
        </w:rPr>
        <w:t>artística valuado</w:t>
      </w:r>
      <w:r w:rsidRPr="00356E3D">
        <w:rPr>
          <w:rFonts w:ascii="Arial" w:hAnsi="Arial" w:cs="Arial"/>
          <w:sz w:val="20"/>
          <w:szCs w:val="20"/>
        </w:rPr>
        <w:t xml:space="preserve"> en dólares. Para este periodo el tipo de cambio utilizado fue de </w:t>
      </w:r>
      <w:r w:rsidR="00B76C88">
        <w:rPr>
          <w:rFonts w:ascii="Arial" w:hAnsi="Arial" w:cs="Arial"/>
          <w:sz w:val="20"/>
          <w:szCs w:val="20"/>
        </w:rPr>
        <w:t>1</w:t>
      </w:r>
      <w:r w:rsidR="0090022D">
        <w:rPr>
          <w:rFonts w:ascii="Arial" w:hAnsi="Arial" w:cs="Arial"/>
          <w:sz w:val="20"/>
          <w:szCs w:val="20"/>
        </w:rPr>
        <w:t>9</w:t>
      </w:r>
      <w:r w:rsidR="00B76C88">
        <w:rPr>
          <w:rFonts w:ascii="Arial" w:hAnsi="Arial" w:cs="Arial"/>
          <w:sz w:val="20"/>
          <w:szCs w:val="20"/>
        </w:rPr>
        <w:t>.</w:t>
      </w:r>
      <w:r w:rsidR="0090022D">
        <w:rPr>
          <w:rFonts w:ascii="Arial" w:hAnsi="Arial" w:cs="Arial"/>
          <w:sz w:val="20"/>
          <w:szCs w:val="20"/>
        </w:rPr>
        <w:t>6697</w:t>
      </w:r>
      <w:r w:rsidR="00B76C88">
        <w:rPr>
          <w:rFonts w:ascii="Arial" w:hAnsi="Arial" w:cs="Arial"/>
          <w:sz w:val="20"/>
          <w:szCs w:val="20"/>
        </w:rPr>
        <w:t xml:space="preserve"> </w:t>
      </w:r>
      <w:r w:rsidR="00B76C88" w:rsidRPr="00356E3D">
        <w:rPr>
          <w:rFonts w:ascii="Arial" w:hAnsi="Arial" w:cs="Arial"/>
          <w:sz w:val="20"/>
          <w:szCs w:val="20"/>
        </w:rPr>
        <w:t>que</w:t>
      </w:r>
      <w:r w:rsidRPr="00356E3D">
        <w:rPr>
          <w:rFonts w:ascii="Arial" w:hAnsi="Arial" w:cs="Arial"/>
          <w:sz w:val="20"/>
          <w:szCs w:val="20"/>
        </w:rPr>
        <w:t xml:space="preserve"> corresponde a la obra donada por los artistas José y Tomás Chávez Morado.</w:t>
      </w:r>
    </w:p>
    <w:p w14:paraId="4F66DC5C"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b) No tenem</w:t>
      </w:r>
      <w:r w:rsidR="00415CF5" w:rsidRPr="00356E3D">
        <w:rPr>
          <w:rFonts w:ascii="Arial" w:hAnsi="Arial" w:cs="Arial"/>
          <w:sz w:val="20"/>
          <w:szCs w:val="20"/>
        </w:rPr>
        <w:t>os pasivos en moneda extranjera.</w:t>
      </w:r>
    </w:p>
    <w:p w14:paraId="382097A7"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c) No tenemos posición en moneda extranjera</w:t>
      </w:r>
      <w:r w:rsidR="00415CF5" w:rsidRPr="00356E3D">
        <w:rPr>
          <w:rFonts w:ascii="Arial" w:hAnsi="Arial" w:cs="Arial"/>
          <w:sz w:val="20"/>
          <w:szCs w:val="20"/>
        </w:rPr>
        <w:t>.</w:t>
      </w:r>
    </w:p>
    <w:p w14:paraId="5566C087" w14:textId="039DFA62"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d) El Tipo de cambio utilizado para </w:t>
      </w:r>
      <w:proofErr w:type="spellStart"/>
      <w:r w:rsidRPr="00356E3D">
        <w:rPr>
          <w:rFonts w:ascii="Arial" w:hAnsi="Arial" w:cs="Arial"/>
          <w:sz w:val="20"/>
          <w:szCs w:val="20"/>
        </w:rPr>
        <w:t>valuar</w:t>
      </w:r>
      <w:proofErr w:type="spellEnd"/>
      <w:r w:rsidRPr="00356E3D">
        <w:rPr>
          <w:rFonts w:ascii="Arial" w:hAnsi="Arial" w:cs="Arial"/>
          <w:sz w:val="20"/>
          <w:szCs w:val="20"/>
        </w:rPr>
        <w:t xml:space="preserve"> la Obra artística fue el publicado oficialmente por Banco de México al </w:t>
      </w:r>
      <w:r w:rsidR="0090022D">
        <w:rPr>
          <w:rFonts w:ascii="Arial" w:hAnsi="Arial" w:cs="Arial"/>
          <w:sz w:val="20"/>
          <w:szCs w:val="20"/>
        </w:rPr>
        <w:t xml:space="preserve">30 </w:t>
      </w:r>
      <w:r w:rsidR="00515806">
        <w:rPr>
          <w:rFonts w:ascii="Arial" w:hAnsi="Arial" w:cs="Arial"/>
          <w:sz w:val="20"/>
          <w:szCs w:val="20"/>
        </w:rPr>
        <w:t xml:space="preserve">de </w:t>
      </w:r>
      <w:r w:rsidR="0090022D">
        <w:rPr>
          <w:rFonts w:ascii="Arial" w:hAnsi="Arial" w:cs="Arial"/>
          <w:sz w:val="20"/>
          <w:szCs w:val="20"/>
        </w:rPr>
        <w:t>septiembre</w:t>
      </w:r>
      <w:r w:rsidR="00F70287">
        <w:rPr>
          <w:rFonts w:ascii="Arial" w:hAnsi="Arial" w:cs="Arial"/>
          <w:sz w:val="20"/>
          <w:szCs w:val="20"/>
        </w:rPr>
        <w:t xml:space="preserve"> de 202</w:t>
      </w:r>
      <w:r w:rsidR="0090022D">
        <w:rPr>
          <w:rFonts w:ascii="Arial" w:hAnsi="Arial" w:cs="Arial"/>
          <w:sz w:val="20"/>
          <w:szCs w:val="20"/>
        </w:rPr>
        <w:t>4</w:t>
      </w:r>
      <w:r w:rsidRPr="00356E3D">
        <w:rPr>
          <w:rFonts w:ascii="Arial" w:hAnsi="Arial" w:cs="Arial"/>
          <w:sz w:val="20"/>
          <w:szCs w:val="20"/>
        </w:rPr>
        <w:t>.</w:t>
      </w:r>
    </w:p>
    <w:p w14:paraId="61F4D33B"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e) No tenemos pasivo en moneda extranjera, por lo que no hay equivalente en moneda nacional.</w:t>
      </w:r>
    </w:p>
    <w:p w14:paraId="0858769F"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No contamos con métodos de protección de riesgo por variaciones en el tipo de cambio.</w:t>
      </w:r>
      <w:r w:rsidRPr="00356E3D">
        <w:rPr>
          <w:rFonts w:ascii="Arial" w:hAnsi="Arial" w:cs="Arial"/>
          <w:sz w:val="20"/>
          <w:szCs w:val="20"/>
        </w:rPr>
        <w:tab/>
      </w:r>
      <w:r w:rsidRPr="00356E3D">
        <w:rPr>
          <w:rFonts w:ascii="Arial" w:hAnsi="Arial" w:cs="Arial"/>
          <w:sz w:val="20"/>
          <w:szCs w:val="20"/>
        </w:rPr>
        <w:tab/>
      </w:r>
      <w:r w:rsidRPr="00356E3D">
        <w:rPr>
          <w:rFonts w:ascii="Arial" w:hAnsi="Arial" w:cs="Arial"/>
          <w:sz w:val="20"/>
          <w:szCs w:val="20"/>
        </w:rPr>
        <w:tab/>
      </w:r>
    </w:p>
    <w:p w14:paraId="44CB72B9" w14:textId="77777777" w:rsidR="000B0D49" w:rsidRPr="00356E3D" w:rsidRDefault="000B0D49" w:rsidP="000B0D49">
      <w:pPr>
        <w:spacing w:after="0"/>
        <w:jc w:val="both"/>
        <w:rPr>
          <w:rFonts w:ascii="Arial" w:hAnsi="Arial" w:cs="Arial"/>
          <w:b/>
          <w:sz w:val="20"/>
          <w:szCs w:val="20"/>
        </w:rPr>
      </w:pPr>
    </w:p>
    <w:p w14:paraId="4BFD0F8E" w14:textId="77777777" w:rsidR="000B0D49" w:rsidRPr="00356E3D" w:rsidRDefault="006414EF" w:rsidP="000B0D49">
      <w:pPr>
        <w:jc w:val="both"/>
        <w:rPr>
          <w:rFonts w:ascii="Arial" w:hAnsi="Arial" w:cs="Arial"/>
          <w:b/>
          <w:sz w:val="20"/>
          <w:szCs w:val="20"/>
        </w:rPr>
      </w:pPr>
      <w:r>
        <w:rPr>
          <w:rFonts w:ascii="Arial" w:hAnsi="Arial" w:cs="Arial"/>
          <w:b/>
          <w:sz w:val="20"/>
          <w:szCs w:val="20"/>
        </w:rPr>
        <w:t>7</w:t>
      </w:r>
      <w:r w:rsidR="000B0D49" w:rsidRPr="00356E3D">
        <w:rPr>
          <w:rFonts w:ascii="Arial" w:hAnsi="Arial" w:cs="Arial"/>
          <w:b/>
          <w:sz w:val="20"/>
          <w:szCs w:val="20"/>
        </w:rPr>
        <w:t>. Reporte Analítico del Activo</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464A8716"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Debe mostrar la siguiente información:</w:t>
      </w:r>
      <w:r w:rsidRPr="00356E3D">
        <w:rPr>
          <w:rFonts w:ascii="Arial" w:hAnsi="Arial" w:cs="Arial"/>
          <w:sz w:val="20"/>
          <w:szCs w:val="20"/>
        </w:rPr>
        <w:tab/>
      </w:r>
      <w:r w:rsidRPr="00356E3D">
        <w:rPr>
          <w:rFonts w:ascii="Arial" w:hAnsi="Arial" w:cs="Arial"/>
          <w:sz w:val="20"/>
          <w:szCs w:val="20"/>
        </w:rPr>
        <w:tab/>
      </w:r>
      <w:r w:rsidRPr="00356E3D">
        <w:rPr>
          <w:rFonts w:ascii="Arial" w:hAnsi="Arial" w:cs="Arial"/>
          <w:sz w:val="20"/>
          <w:szCs w:val="20"/>
        </w:rPr>
        <w:tab/>
      </w:r>
    </w:p>
    <w:p w14:paraId="342D424A"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a) Vida útil o porcentajes de depreciación, deterioro o amortización utilizados en los diferentes tipos de activos, los </w:t>
      </w:r>
      <w:r w:rsidR="00B76C88" w:rsidRPr="00356E3D">
        <w:rPr>
          <w:rFonts w:ascii="Arial" w:hAnsi="Arial" w:cs="Arial"/>
          <w:sz w:val="20"/>
          <w:szCs w:val="20"/>
        </w:rPr>
        <w:t>incluiremos en</w:t>
      </w:r>
      <w:r w:rsidRPr="00356E3D">
        <w:rPr>
          <w:rFonts w:ascii="Arial" w:hAnsi="Arial" w:cs="Arial"/>
          <w:sz w:val="20"/>
          <w:szCs w:val="20"/>
        </w:rPr>
        <w:t xml:space="preserve"> cuanto contemos con la información.</w:t>
      </w:r>
    </w:p>
    <w:p w14:paraId="4754EEEB"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b) De conformidad con la norma de CONAC y los alcances del SIHP, actualmente sólo pueden considerarse las 40 clases de activos vigentes. </w:t>
      </w:r>
    </w:p>
    <w:p w14:paraId="205E85A4"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c) No tuvimos gastos capitalizados en el ejercicio, tanto financieros com</w:t>
      </w:r>
      <w:r w:rsidR="00415CF5" w:rsidRPr="00356E3D">
        <w:rPr>
          <w:rFonts w:ascii="Arial" w:hAnsi="Arial" w:cs="Arial"/>
          <w:sz w:val="20"/>
          <w:szCs w:val="20"/>
        </w:rPr>
        <w:t>o de investigación y desarrollo.</w:t>
      </w:r>
    </w:p>
    <w:p w14:paraId="65399701"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d) No contemplamos situaciones originadas por Riegos por tipo de cambio o tipo de interés</w:t>
      </w:r>
      <w:r w:rsidR="00415CF5" w:rsidRPr="00356E3D">
        <w:rPr>
          <w:rFonts w:ascii="Arial" w:hAnsi="Arial" w:cs="Arial"/>
          <w:sz w:val="20"/>
          <w:szCs w:val="20"/>
        </w:rPr>
        <w:t xml:space="preserve"> de las inversiones financieras.</w:t>
      </w:r>
    </w:p>
    <w:p w14:paraId="6D62E491" w14:textId="77777777" w:rsidR="000B0D49" w:rsidRPr="00356E3D" w:rsidRDefault="000B0D49" w:rsidP="001747EE">
      <w:pPr>
        <w:spacing w:after="0" w:line="240" w:lineRule="auto"/>
        <w:ind w:left="708" w:hanging="708"/>
        <w:jc w:val="both"/>
        <w:rPr>
          <w:rFonts w:ascii="Arial" w:hAnsi="Arial" w:cs="Arial"/>
          <w:sz w:val="20"/>
          <w:szCs w:val="20"/>
        </w:rPr>
      </w:pPr>
      <w:r w:rsidRPr="00356E3D">
        <w:rPr>
          <w:rFonts w:ascii="Arial" w:hAnsi="Arial" w:cs="Arial"/>
          <w:sz w:val="20"/>
          <w:szCs w:val="20"/>
        </w:rPr>
        <w:t>e) No tuvimos Valor activado en el ejercicio de los bi</w:t>
      </w:r>
      <w:r w:rsidR="00415CF5" w:rsidRPr="00356E3D">
        <w:rPr>
          <w:rFonts w:ascii="Arial" w:hAnsi="Arial" w:cs="Arial"/>
          <w:sz w:val="20"/>
          <w:szCs w:val="20"/>
        </w:rPr>
        <w:t>enes construidos por la entidad.</w:t>
      </w:r>
    </w:p>
    <w:p w14:paraId="05E77B67"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f) No tenemos ni percibimos otras circunstancias de carácter significativo que afecten el activo, tales como bienes en garantía, señalados en embargos, litigios, títulos de inversiones entregados en garantías, baja significativa del valor de inversiones financieras, etc.</w:t>
      </w:r>
    </w:p>
    <w:p w14:paraId="1C75C11D"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g) No tuvimos desmantelamiento de Activos, procedimientos, i</w:t>
      </w:r>
      <w:r w:rsidR="00415CF5" w:rsidRPr="00356E3D">
        <w:rPr>
          <w:rFonts w:ascii="Arial" w:hAnsi="Arial" w:cs="Arial"/>
          <w:sz w:val="20"/>
          <w:szCs w:val="20"/>
        </w:rPr>
        <w:t>mplicaciones, efectos contables.</w:t>
      </w:r>
    </w:p>
    <w:p w14:paraId="6C7E2CD4" w14:textId="77777777" w:rsidR="000B0D49" w:rsidRPr="00356E3D" w:rsidRDefault="000B0D49" w:rsidP="000B0D49">
      <w:pPr>
        <w:spacing w:line="240" w:lineRule="auto"/>
        <w:jc w:val="both"/>
        <w:rPr>
          <w:rFonts w:ascii="Arial" w:hAnsi="Arial" w:cs="Arial"/>
          <w:sz w:val="20"/>
          <w:szCs w:val="20"/>
        </w:rPr>
      </w:pPr>
      <w:r w:rsidRPr="00356E3D">
        <w:rPr>
          <w:rFonts w:ascii="Arial" w:hAnsi="Arial" w:cs="Arial"/>
          <w:sz w:val="20"/>
          <w:szCs w:val="20"/>
        </w:rPr>
        <w:t xml:space="preserve">h) No contamos con un plan escrito para la Administración de activos, sin embargo, continuamente en reuniones de directores se realizan análisis para el uso más efectivo de los mismos. </w:t>
      </w:r>
    </w:p>
    <w:p w14:paraId="3F8AC32B" w14:textId="77777777" w:rsidR="000B0D49" w:rsidRPr="00356E3D" w:rsidRDefault="000B0D49" w:rsidP="000B0D49">
      <w:pPr>
        <w:spacing w:line="240" w:lineRule="auto"/>
        <w:jc w:val="both"/>
        <w:rPr>
          <w:rFonts w:ascii="Arial" w:hAnsi="Arial" w:cs="Arial"/>
          <w:sz w:val="20"/>
          <w:szCs w:val="20"/>
        </w:rPr>
      </w:pPr>
      <w:r w:rsidRPr="00356E3D">
        <w:rPr>
          <w:rFonts w:ascii="Arial" w:hAnsi="Arial" w:cs="Arial"/>
          <w:sz w:val="20"/>
          <w:szCs w:val="20"/>
        </w:rPr>
        <w:t xml:space="preserve">A </w:t>
      </w:r>
      <w:r w:rsidR="006E78EE" w:rsidRPr="00356E3D">
        <w:rPr>
          <w:rFonts w:ascii="Arial" w:hAnsi="Arial" w:cs="Arial"/>
          <w:sz w:val="20"/>
          <w:szCs w:val="20"/>
        </w:rPr>
        <w:t>continuación,</w:t>
      </w:r>
      <w:r w:rsidRPr="00356E3D">
        <w:rPr>
          <w:rFonts w:ascii="Arial" w:hAnsi="Arial" w:cs="Arial"/>
          <w:sz w:val="20"/>
          <w:szCs w:val="20"/>
        </w:rPr>
        <w:t xml:space="preserve"> se realizan las siguientes precisiones con respecto a las variaciones presentadas en los activos:</w:t>
      </w:r>
    </w:p>
    <w:p w14:paraId="496E0FBA" w14:textId="7E094D1F" w:rsidR="000B0D49" w:rsidRPr="00FF3E58" w:rsidRDefault="000B0D49" w:rsidP="000B0D49">
      <w:pPr>
        <w:numPr>
          <w:ilvl w:val="0"/>
          <w:numId w:val="1"/>
        </w:numPr>
        <w:spacing w:line="240" w:lineRule="auto"/>
        <w:jc w:val="both"/>
        <w:rPr>
          <w:rFonts w:ascii="Arial" w:hAnsi="Arial" w:cs="Arial"/>
          <w:sz w:val="20"/>
          <w:szCs w:val="20"/>
        </w:rPr>
      </w:pPr>
      <w:r w:rsidRPr="00FF3E58">
        <w:rPr>
          <w:rFonts w:ascii="Arial" w:hAnsi="Arial" w:cs="Arial"/>
          <w:sz w:val="20"/>
          <w:szCs w:val="20"/>
        </w:rPr>
        <w:t>El saldo de Bancos se integra de la siguiente manera.</w:t>
      </w:r>
    </w:p>
    <w:p w14:paraId="05636E35" w14:textId="77777777" w:rsidR="00FF3865" w:rsidRDefault="00FF3865" w:rsidP="000B0D49">
      <w:pPr>
        <w:spacing w:after="0" w:line="240" w:lineRule="auto"/>
        <w:jc w:val="both"/>
        <w:rPr>
          <w:rFonts w:ascii="Arial" w:hAnsi="Arial" w:cs="Arial"/>
          <w:sz w:val="20"/>
          <w:szCs w:val="20"/>
        </w:rPr>
      </w:pPr>
      <w:r>
        <w:rPr>
          <w:rFonts w:ascii="Arial" w:hAnsi="Arial" w:cs="Arial"/>
          <w:sz w:val="20"/>
          <w:szCs w:val="20"/>
        </w:rPr>
        <w:t xml:space="preserve">                                           </w:t>
      </w:r>
    </w:p>
    <w:tbl>
      <w:tblPr>
        <w:tblW w:w="6680" w:type="dxa"/>
        <w:tblCellMar>
          <w:left w:w="70" w:type="dxa"/>
          <w:right w:w="70" w:type="dxa"/>
        </w:tblCellMar>
        <w:tblLook w:val="04A0" w:firstRow="1" w:lastRow="0" w:firstColumn="1" w:lastColumn="0" w:noHBand="0" w:noVBand="1"/>
      </w:tblPr>
      <w:tblGrid>
        <w:gridCol w:w="4960"/>
        <w:gridCol w:w="1720"/>
      </w:tblGrid>
      <w:tr w:rsidR="008465EA" w:rsidRPr="00FF3865" w14:paraId="75AD7B9E" w14:textId="77777777" w:rsidTr="00FF3865">
        <w:trPr>
          <w:trHeight w:val="315"/>
        </w:trPr>
        <w:tc>
          <w:tcPr>
            <w:tcW w:w="4960" w:type="dxa"/>
            <w:tcBorders>
              <w:top w:val="single" w:sz="8" w:space="0" w:color="auto"/>
              <w:left w:val="single" w:sz="8" w:space="0" w:color="auto"/>
              <w:bottom w:val="single" w:sz="8" w:space="0" w:color="auto"/>
              <w:right w:val="single" w:sz="8" w:space="0" w:color="auto"/>
            </w:tcBorders>
            <w:noWrap/>
            <w:vAlign w:val="center"/>
            <w:hideMark/>
          </w:tcPr>
          <w:p w14:paraId="5287975B" w14:textId="423E6259" w:rsidR="008465EA" w:rsidRPr="00FF3865" w:rsidRDefault="008465EA" w:rsidP="008465EA">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 xml:space="preserve">BANCO  </w:t>
            </w:r>
          </w:p>
        </w:tc>
        <w:tc>
          <w:tcPr>
            <w:tcW w:w="1720" w:type="dxa"/>
            <w:tcBorders>
              <w:top w:val="single" w:sz="8" w:space="0" w:color="auto"/>
              <w:left w:val="nil"/>
              <w:bottom w:val="single" w:sz="8" w:space="0" w:color="auto"/>
              <w:right w:val="single" w:sz="8" w:space="0" w:color="auto"/>
            </w:tcBorders>
            <w:noWrap/>
            <w:vAlign w:val="center"/>
            <w:hideMark/>
          </w:tcPr>
          <w:p w14:paraId="36C66F6D" w14:textId="0802D507" w:rsidR="008465EA" w:rsidRPr="00FF3865" w:rsidRDefault="008465EA" w:rsidP="008465EA">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IMPORTE</w:t>
            </w:r>
          </w:p>
        </w:tc>
      </w:tr>
      <w:tr w:rsidR="008465EA" w:rsidRPr="00FF3865" w14:paraId="46AAA535"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1B6C4021" w14:textId="472041D0"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BANAMEX 463919599 NOMINA</w:t>
            </w:r>
          </w:p>
        </w:tc>
        <w:tc>
          <w:tcPr>
            <w:tcW w:w="1720" w:type="dxa"/>
            <w:tcBorders>
              <w:top w:val="nil"/>
              <w:left w:val="nil"/>
              <w:bottom w:val="single" w:sz="8" w:space="0" w:color="auto"/>
              <w:right w:val="single" w:sz="8" w:space="0" w:color="auto"/>
            </w:tcBorders>
            <w:noWrap/>
            <w:vAlign w:val="center"/>
            <w:hideMark/>
          </w:tcPr>
          <w:p w14:paraId="22E502D7" w14:textId="2CCE7C92"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15,941.75</w:t>
            </w:r>
          </w:p>
        </w:tc>
      </w:tr>
      <w:tr w:rsidR="008465EA" w:rsidRPr="00FF3865" w14:paraId="6E304E7E"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1B90B773" w14:textId="3FFCCF77"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BANCOMER 0145270383 NOMINA</w:t>
            </w:r>
          </w:p>
        </w:tc>
        <w:tc>
          <w:tcPr>
            <w:tcW w:w="1720" w:type="dxa"/>
            <w:tcBorders>
              <w:top w:val="nil"/>
              <w:left w:val="nil"/>
              <w:bottom w:val="single" w:sz="8" w:space="0" w:color="auto"/>
              <w:right w:val="single" w:sz="8" w:space="0" w:color="auto"/>
            </w:tcBorders>
            <w:noWrap/>
            <w:vAlign w:val="center"/>
            <w:hideMark/>
          </w:tcPr>
          <w:p w14:paraId="19DA7E69" w14:textId="5652A047"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28,189.78</w:t>
            </w:r>
          </w:p>
        </w:tc>
      </w:tr>
      <w:tr w:rsidR="008465EA" w:rsidRPr="00FF3865" w14:paraId="140D42C5"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4E403B7F" w14:textId="1A4BB2B6"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BANORTE 0217923666 NOMINA</w:t>
            </w:r>
          </w:p>
        </w:tc>
        <w:tc>
          <w:tcPr>
            <w:tcW w:w="1720" w:type="dxa"/>
            <w:tcBorders>
              <w:top w:val="nil"/>
              <w:left w:val="nil"/>
              <w:bottom w:val="single" w:sz="8" w:space="0" w:color="auto"/>
              <w:right w:val="single" w:sz="8" w:space="0" w:color="auto"/>
            </w:tcBorders>
            <w:noWrap/>
            <w:vAlign w:val="center"/>
            <w:hideMark/>
          </w:tcPr>
          <w:p w14:paraId="11375D91" w14:textId="3E0D492B"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8,366.71</w:t>
            </w:r>
          </w:p>
        </w:tc>
      </w:tr>
      <w:tr w:rsidR="008465EA" w:rsidRPr="00FF3865" w14:paraId="55DF56CA"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5BC730CB" w14:textId="4926781D"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SANTANDER 920002323285 NOMINA</w:t>
            </w:r>
          </w:p>
        </w:tc>
        <w:tc>
          <w:tcPr>
            <w:tcW w:w="1720" w:type="dxa"/>
            <w:tcBorders>
              <w:top w:val="nil"/>
              <w:left w:val="nil"/>
              <w:bottom w:val="single" w:sz="8" w:space="0" w:color="auto"/>
              <w:right w:val="single" w:sz="8" w:space="0" w:color="auto"/>
            </w:tcBorders>
            <w:noWrap/>
            <w:vAlign w:val="center"/>
            <w:hideMark/>
          </w:tcPr>
          <w:p w14:paraId="03A7C28D" w14:textId="5AC39FDB"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14,323.39</w:t>
            </w:r>
          </w:p>
        </w:tc>
      </w:tr>
      <w:tr w:rsidR="008465EA" w:rsidRPr="00FF3865" w14:paraId="1EC07313" w14:textId="77777777" w:rsidTr="00FF3865">
        <w:trPr>
          <w:trHeight w:val="525"/>
        </w:trPr>
        <w:tc>
          <w:tcPr>
            <w:tcW w:w="4960" w:type="dxa"/>
            <w:tcBorders>
              <w:top w:val="nil"/>
              <w:left w:val="single" w:sz="8" w:space="0" w:color="auto"/>
              <w:bottom w:val="single" w:sz="8" w:space="0" w:color="auto"/>
              <w:right w:val="single" w:sz="8" w:space="0" w:color="auto"/>
            </w:tcBorders>
            <w:vAlign w:val="center"/>
            <w:hideMark/>
          </w:tcPr>
          <w:p w14:paraId="74116CBB" w14:textId="1737A0E1"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BANORTE 1099881718 CONVENIOS INSTITUCIONALES</w:t>
            </w:r>
          </w:p>
        </w:tc>
        <w:tc>
          <w:tcPr>
            <w:tcW w:w="1720" w:type="dxa"/>
            <w:tcBorders>
              <w:top w:val="nil"/>
              <w:left w:val="nil"/>
              <w:bottom w:val="single" w:sz="8" w:space="0" w:color="auto"/>
              <w:right w:val="single" w:sz="8" w:space="0" w:color="auto"/>
            </w:tcBorders>
            <w:noWrap/>
            <w:vAlign w:val="center"/>
            <w:hideMark/>
          </w:tcPr>
          <w:p w14:paraId="5B852A9B" w14:textId="0C04FE9F"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53.00</w:t>
            </w:r>
          </w:p>
        </w:tc>
      </w:tr>
      <w:tr w:rsidR="008465EA" w:rsidRPr="00FF3865" w14:paraId="759F889B"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580B4F8E" w14:textId="02EDC4D2"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HSBC 2150031194 RECURSOS PROPIOS</w:t>
            </w:r>
          </w:p>
        </w:tc>
        <w:tc>
          <w:tcPr>
            <w:tcW w:w="1720" w:type="dxa"/>
            <w:tcBorders>
              <w:top w:val="nil"/>
              <w:left w:val="nil"/>
              <w:bottom w:val="single" w:sz="8" w:space="0" w:color="auto"/>
              <w:right w:val="single" w:sz="8" w:space="0" w:color="auto"/>
            </w:tcBorders>
            <w:noWrap/>
            <w:vAlign w:val="center"/>
            <w:hideMark/>
          </w:tcPr>
          <w:p w14:paraId="44F7E881" w14:textId="1C6AA353"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29,105,413.38</w:t>
            </w:r>
          </w:p>
        </w:tc>
      </w:tr>
      <w:tr w:rsidR="008465EA" w:rsidRPr="00FF3865" w14:paraId="11A4ED73"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0448AA28" w14:textId="5A5DAC8C"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HSBC 4013498340 RECURSOS ESTATALES</w:t>
            </w:r>
          </w:p>
        </w:tc>
        <w:tc>
          <w:tcPr>
            <w:tcW w:w="1720" w:type="dxa"/>
            <w:tcBorders>
              <w:top w:val="nil"/>
              <w:left w:val="nil"/>
              <w:bottom w:val="single" w:sz="8" w:space="0" w:color="auto"/>
              <w:right w:val="single" w:sz="8" w:space="0" w:color="auto"/>
            </w:tcBorders>
            <w:noWrap/>
            <w:vAlign w:val="center"/>
            <w:hideMark/>
          </w:tcPr>
          <w:p w14:paraId="72B48025" w14:textId="70067FEE"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2,738,913.85</w:t>
            </w:r>
          </w:p>
        </w:tc>
      </w:tr>
      <w:tr w:rsidR="008465EA" w:rsidRPr="00FF3865" w14:paraId="435C1C42"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7F361EBA" w14:textId="37D879E7"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color w:val="000000"/>
                <w:sz w:val="20"/>
                <w:szCs w:val="20"/>
                <w:lang w:val="es-ES"/>
              </w:rPr>
              <w:t>HSBC 4043693142 TAQUILLA FIC</w:t>
            </w:r>
          </w:p>
        </w:tc>
        <w:tc>
          <w:tcPr>
            <w:tcW w:w="1720" w:type="dxa"/>
            <w:tcBorders>
              <w:top w:val="nil"/>
              <w:left w:val="nil"/>
              <w:bottom w:val="single" w:sz="8" w:space="0" w:color="auto"/>
              <w:right w:val="single" w:sz="8" w:space="0" w:color="auto"/>
            </w:tcBorders>
            <w:noWrap/>
            <w:vAlign w:val="center"/>
            <w:hideMark/>
          </w:tcPr>
          <w:p w14:paraId="5A45D07C" w14:textId="74B22A6F"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color w:val="000000"/>
                <w:sz w:val="20"/>
                <w:szCs w:val="20"/>
              </w:rPr>
              <w:t>54,808.79</w:t>
            </w:r>
          </w:p>
        </w:tc>
      </w:tr>
      <w:tr w:rsidR="008465EA" w:rsidRPr="00FF3865" w14:paraId="4C0E5D85"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3FB4E971" w14:textId="6DCCF7DE"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b/>
                <w:bCs/>
                <w:color w:val="000000"/>
                <w:sz w:val="20"/>
                <w:szCs w:val="20"/>
                <w:lang w:val="es-ES"/>
              </w:rPr>
              <w:t>TOTAL AL 30 DE SEPTIEMBRE DE 2025</w:t>
            </w:r>
          </w:p>
        </w:tc>
        <w:tc>
          <w:tcPr>
            <w:tcW w:w="1720" w:type="dxa"/>
            <w:tcBorders>
              <w:top w:val="nil"/>
              <w:left w:val="nil"/>
              <w:bottom w:val="single" w:sz="8" w:space="0" w:color="auto"/>
              <w:right w:val="single" w:sz="8" w:space="0" w:color="auto"/>
            </w:tcBorders>
            <w:noWrap/>
            <w:vAlign w:val="center"/>
            <w:hideMark/>
          </w:tcPr>
          <w:p w14:paraId="1A6C693F" w14:textId="218059DB"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b/>
                <w:bCs/>
                <w:color w:val="000000"/>
                <w:sz w:val="20"/>
                <w:szCs w:val="20"/>
              </w:rPr>
              <w:t>31,966,010.65</w:t>
            </w:r>
          </w:p>
        </w:tc>
      </w:tr>
      <w:tr w:rsidR="008465EA" w:rsidRPr="00FF3865" w14:paraId="469C98F6"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5E2683AB" w14:textId="338E1468" w:rsidR="008465EA" w:rsidRPr="00FF3865" w:rsidRDefault="008465EA" w:rsidP="008465EA">
            <w:pPr>
              <w:spacing w:after="0" w:line="240" w:lineRule="auto"/>
              <w:rPr>
                <w:rFonts w:ascii="Arial" w:eastAsia="Times New Roman" w:hAnsi="Arial" w:cs="Arial"/>
                <w:b/>
                <w:bCs/>
                <w:color w:val="000000"/>
                <w:sz w:val="20"/>
                <w:szCs w:val="20"/>
              </w:rPr>
            </w:pPr>
            <w:r>
              <w:rPr>
                <w:rFonts w:ascii="Arial" w:hAnsi="Arial" w:cs="Arial"/>
                <w:color w:val="000000"/>
                <w:sz w:val="20"/>
                <w:szCs w:val="20"/>
              </w:rPr>
              <w:t>SALDO AL 31 DE DICIEMBRE DE 2024</w:t>
            </w:r>
          </w:p>
        </w:tc>
        <w:tc>
          <w:tcPr>
            <w:tcW w:w="1720" w:type="dxa"/>
            <w:tcBorders>
              <w:top w:val="nil"/>
              <w:left w:val="nil"/>
              <w:bottom w:val="single" w:sz="8" w:space="0" w:color="auto"/>
              <w:right w:val="single" w:sz="8" w:space="0" w:color="auto"/>
            </w:tcBorders>
            <w:noWrap/>
            <w:vAlign w:val="center"/>
            <w:hideMark/>
          </w:tcPr>
          <w:p w14:paraId="0696147C" w14:textId="77AF3328" w:rsidR="008465EA" w:rsidRPr="00FF3865" w:rsidRDefault="008465EA" w:rsidP="008465EA">
            <w:pPr>
              <w:spacing w:after="0" w:line="240" w:lineRule="auto"/>
              <w:jc w:val="right"/>
              <w:rPr>
                <w:rFonts w:ascii="Arial" w:eastAsia="Times New Roman" w:hAnsi="Arial" w:cs="Arial"/>
                <w:b/>
                <w:bCs/>
                <w:color w:val="000000"/>
                <w:sz w:val="20"/>
                <w:szCs w:val="20"/>
              </w:rPr>
            </w:pPr>
            <w:r>
              <w:rPr>
                <w:rFonts w:ascii="Arial" w:hAnsi="Arial" w:cs="Arial"/>
                <w:color w:val="000000"/>
                <w:sz w:val="20"/>
                <w:szCs w:val="20"/>
              </w:rPr>
              <w:t>69,647,855.16</w:t>
            </w:r>
          </w:p>
        </w:tc>
      </w:tr>
      <w:tr w:rsidR="008465EA" w:rsidRPr="00FF3865" w14:paraId="42F2ABE1" w14:textId="77777777" w:rsidTr="00FF3865">
        <w:trPr>
          <w:trHeight w:val="315"/>
        </w:trPr>
        <w:tc>
          <w:tcPr>
            <w:tcW w:w="4960" w:type="dxa"/>
            <w:tcBorders>
              <w:top w:val="nil"/>
              <w:left w:val="single" w:sz="8" w:space="0" w:color="auto"/>
              <w:bottom w:val="single" w:sz="8" w:space="0" w:color="auto"/>
              <w:right w:val="single" w:sz="8" w:space="0" w:color="auto"/>
            </w:tcBorders>
            <w:vAlign w:val="center"/>
            <w:hideMark/>
          </w:tcPr>
          <w:p w14:paraId="00A4ECE3" w14:textId="1E8C6AFB" w:rsidR="008465EA" w:rsidRPr="00FF3865" w:rsidRDefault="008465EA" w:rsidP="008465EA">
            <w:pPr>
              <w:spacing w:after="0" w:line="240" w:lineRule="auto"/>
              <w:rPr>
                <w:rFonts w:ascii="Arial" w:eastAsia="Times New Roman" w:hAnsi="Arial" w:cs="Arial"/>
                <w:color w:val="000000"/>
                <w:sz w:val="20"/>
                <w:szCs w:val="20"/>
              </w:rPr>
            </w:pPr>
            <w:r>
              <w:rPr>
                <w:rFonts w:ascii="Arial" w:hAnsi="Arial" w:cs="Arial"/>
                <w:b/>
                <w:bCs/>
                <w:color w:val="000000"/>
                <w:sz w:val="20"/>
                <w:szCs w:val="20"/>
              </w:rPr>
              <w:t>VARIACIÓN</w:t>
            </w:r>
          </w:p>
        </w:tc>
        <w:tc>
          <w:tcPr>
            <w:tcW w:w="1720" w:type="dxa"/>
            <w:tcBorders>
              <w:top w:val="nil"/>
              <w:left w:val="nil"/>
              <w:bottom w:val="single" w:sz="8" w:space="0" w:color="auto"/>
              <w:right w:val="single" w:sz="8" w:space="0" w:color="auto"/>
            </w:tcBorders>
            <w:noWrap/>
            <w:vAlign w:val="center"/>
            <w:hideMark/>
          </w:tcPr>
          <w:p w14:paraId="522079EF" w14:textId="32F3765E" w:rsidR="008465EA" w:rsidRPr="00FF3865" w:rsidRDefault="008465EA" w:rsidP="008465EA">
            <w:pPr>
              <w:spacing w:after="0" w:line="240" w:lineRule="auto"/>
              <w:jc w:val="right"/>
              <w:rPr>
                <w:rFonts w:ascii="Arial" w:eastAsia="Times New Roman" w:hAnsi="Arial" w:cs="Arial"/>
                <w:color w:val="000000"/>
                <w:sz w:val="20"/>
                <w:szCs w:val="20"/>
              </w:rPr>
            </w:pPr>
            <w:r>
              <w:rPr>
                <w:rFonts w:ascii="Arial" w:hAnsi="Arial" w:cs="Arial"/>
                <w:b/>
                <w:bCs/>
                <w:color w:val="000000"/>
                <w:sz w:val="20"/>
                <w:szCs w:val="20"/>
                <w:lang w:val="es-419"/>
              </w:rPr>
              <w:t>37,681,844.51</w:t>
            </w:r>
          </w:p>
        </w:tc>
      </w:tr>
    </w:tbl>
    <w:p w14:paraId="0E6444D7" w14:textId="5A2981BF" w:rsidR="0090022D" w:rsidRDefault="0090022D" w:rsidP="000B0D49">
      <w:pPr>
        <w:spacing w:after="0" w:line="240" w:lineRule="auto"/>
        <w:jc w:val="both"/>
        <w:rPr>
          <w:rFonts w:ascii="Arial" w:hAnsi="Arial" w:cs="Arial"/>
          <w:sz w:val="20"/>
          <w:szCs w:val="20"/>
        </w:rPr>
      </w:pPr>
    </w:p>
    <w:p w14:paraId="4B9FE0C9" w14:textId="77777777" w:rsidR="008465EA" w:rsidRDefault="008465EA" w:rsidP="000B0D49">
      <w:pPr>
        <w:spacing w:after="0" w:line="240" w:lineRule="auto"/>
        <w:jc w:val="both"/>
        <w:rPr>
          <w:rFonts w:ascii="Arial" w:hAnsi="Arial" w:cs="Arial"/>
          <w:sz w:val="20"/>
          <w:szCs w:val="20"/>
        </w:rPr>
      </w:pPr>
    </w:p>
    <w:p w14:paraId="417B43ED" w14:textId="1AA3864F"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b) Patrimonio de Organismos descentralizados de Control Presupuestario Indirecto: NO APLICA </w:t>
      </w:r>
    </w:p>
    <w:p w14:paraId="30E9A607"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c) Inversiones en empresas de participación mayoritaria: NO APLICA</w:t>
      </w:r>
    </w:p>
    <w:p w14:paraId="0E932699"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d) Inversiones en empresas de participación minoritaria: NO APLICA</w:t>
      </w:r>
    </w:p>
    <w:p w14:paraId="3E3C7D12"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e) Patrimonio de organismos descentralizados de control presupuestario directo, según corresponda: NO APLICA</w:t>
      </w:r>
    </w:p>
    <w:p w14:paraId="05E62C36" w14:textId="301E7211" w:rsidR="003713AB" w:rsidRDefault="003713AB" w:rsidP="000B0D49">
      <w:pPr>
        <w:spacing w:after="0" w:line="240" w:lineRule="auto"/>
        <w:jc w:val="both"/>
        <w:rPr>
          <w:rFonts w:ascii="Arial" w:hAnsi="Arial" w:cs="Arial"/>
          <w:b/>
          <w:sz w:val="20"/>
          <w:szCs w:val="20"/>
        </w:rPr>
      </w:pPr>
    </w:p>
    <w:p w14:paraId="6A3AB4CF" w14:textId="77777777" w:rsidR="000B0D49" w:rsidRPr="00356E3D" w:rsidRDefault="006414EF" w:rsidP="000B0D49">
      <w:pPr>
        <w:spacing w:after="0" w:line="240" w:lineRule="auto"/>
        <w:jc w:val="both"/>
        <w:rPr>
          <w:rFonts w:ascii="Arial" w:hAnsi="Arial" w:cs="Arial"/>
          <w:b/>
          <w:sz w:val="20"/>
          <w:szCs w:val="20"/>
        </w:rPr>
      </w:pPr>
      <w:r>
        <w:rPr>
          <w:rFonts w:ascii="Arial" w:hAnsi="Arial" w:cs="Arial"/>
          <w:b/>
          <w:sz w:val="20"/>
          <w:szCs w:val="20"/>
        </w:rPr>
        <w:t>8</w:t>
      </w:r>
      <w:r w:rsidR="000B0D49" w:rsidRPr="00356E3D">
        <w:rPr>
          <w:rFonts w:ascii="Arial" w:hAnsi="Arial" w:cs="Arial"/>
          <w:b/>
          <w:sz w:val="20"/>
          <w:szCs w:val="20"/>
        </w:rPr>
        <w:t>. Fideicomisos, Mandatos y Análogos</w:t>
      </w:r>
    </w:p>
    <w:p w14:paraId="693754F2" w14:textId="77777777" w:rsidR="000B0D49" w:rsidRPr="00356E3D" w:rsidRDefault="000B0D49" w:rsidP="000B0D49">
      <w:pPr>
        <w:spacing w:after="0" w:line="240" w:lineRule="auto"/>
        <w:jc w:val="both"/>
        <w:rPr>
          <w:rFonts w:ascii="Arial" w:hAnsi="Arial" w:cs="Arial"/>
          <w:b/>
          <w:sz w:val="20"/>
          <w:szCs w:val="20"/>
        </w:rPr>
      </w:pPr>
      <w:r w:rsidRPr="00356E3D">
        <w:rPr>
          <w:rFonts w:ascii="Arial" w:hAnsi="Arial" w:cs="Arial"/>
          <w:b/>
          <w:sz w:val="20"/>
          <w:szCs w:val="20"/>
        </w:rPr>
        <w:tab/>
      </w:r>
      <w:r w:rsidRPr="00356E3D">
        <w:rPr>
          <w:rFonts w:ascii="Arial" w:hAnsi="Arial" w:cs="Arial"/>
          <w:b/>
          <w:sz w:val="20"/>
          <w:szCs w:val="20"/>
        </w:rPr>
        <w:tab/>
      </w:r>
      <w:r w:rsidRPr="00356E3D">
        <w:rPr>
          <w:rFonts w:ascii="Arial" w:hAnsi="Arial" w:cs="Arial"/>
          <w:b/>
          <w:sz w:val="20"/>
          <w:szCs w:val="20"/>
        </w:rPr>
        <w:tab/>
      </w:r>
    </w:p>
    <w:p w14:paraId="0AC2A966"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a) Ramo administrativo que los reporta:</w:t>
      </w:r>
    </w:p>
    <w:p w14:paraId="68E96D97" w14:textId="5227CEB6" w:rsidR="000B0D49" w:rsidRPr="00356E3D" w:rsidRDefault="00C836CF" w:rsidP="000B0D49">
      <w:pPr>
        <w:spacing w:after="0" w:line="240" w:lineRule="auto"/>
        <w:jc w:val="both"/>
        <w:rPr>
          <w:rFonts w:ascii="Arial" w:hAnsi="Arial" w:cs="Arial"/>
          <w:sz w:val="20"/>
          <w:szCs w:val="20"/>
        </w:rPr>
      </w:pPr>
      <w:r w:rsidRPr="00356E3D">
        <w:rPr>
          <w:rFonts w:ascii="Arial" w:hAnsi="Arial" w:cs="Arial"/>
          <w:sz w:val="20"/>
          <w:szCs w:val="20"/>
        </w:rPr>
        <w:t>Fideicomiso Estatal</w:t>
      </w:r>
      <w:r w:rsidR="000B0D49" w:rsidRPr="00356E3D">
        <w:rPr>
          <w:rFonts w:ascii="Arial" w:hAnsi="Arial" w:cs="Arial"/>
          <w:sz w:val="20"/>
          <w:szCs w:val="20"/>
        </w:rPr>
        <w:t xml:space="preserve">. Reporta IEC: </w:t>
      </w:r>
      <w:proofErr w:type="spellStart"/>
      <w:r w:rsidR="000B0D49" w:rsidRPr="00356E3D">
        <w:rPr>
          <w:rFonts w:ascii="Arial" w:hAnsi="Arial" w:cs="Arial"/>
          <w:sz w:val="20"/>
          <w:szCs w:val="20"/>
        </w:rPr>
        <w:t>Fiarca</w:t>
      </w:r>
      <w:proofErr w:type="spellEnd"/>
      <w:r w:rsidR="000B0D49" w:rsidRPr="00356E3D">
        <w:rPr>
          <w:rFonts w:ascii="Arial" w:hAnsi="Arial" w:cs="Arial"/>
          <w:sz w:val="20"/>
          <w:szCs w:val="20"/>
        </w:rPr>
        <w:t xml:space="preserve">.  </w:t>
      </w:r>
    </w:p>
    <w:p w14:paraId="5E1E3B41" w14:textId="77777777" w:rsidR="000B0D49" w:rsidRPr="00356E3D" w:rsidRDefault="000B0D49" w:rsidP="000B0D49">
      <w:pPr>
        <w:spacing w:after="0" w:line="240" w:lineRule="auto"/>
        <w:jc w:val="both"/>
        <w:rPr>
          <w:rFonts w:ascii="Arial" w:hAnsi="Arial" w:cs="Arial"/>
          <w:sz w:val="20"/>
          <w:szCs w:val="20"/>
        </w:rPr>
      </w:pPr>
    </w:p>
    <w:p w14:paraId="48D4210D"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b) Se enlistan </w:t>
      </w:r>
      <w:r w:rsidR="00D42C75">
        <w:rPr>
          <w:rFonts w:ascii="Arial" w:hAnsi="Arial" w:cs="Arial"/>
          <w:sz w:val="20"/>
          <w:szCs w:val="20"/>
        </w:rPr>
        <w:t>de acuerdo a su</w:t>
      </w:r>
      <w:r w:rsidRPr="00356E3D">
        <w:rPr>
          <w:rFonts w:ascii="Arial" w:hAnsi="Arial" w:cs="Arial"/>
          <w:sz w:val="20"/>
          <w:szCs w:val="20"/>
        </w:rPr>
        <w:t xml:space="preserve"> monto de disponibilidad:</w:t>
      </w:r>
    </w:p>
    <w:p w14:paraId="3BCB33D9" w14:textId="752ACB2D" w:rsidR="000B0D49" w:rsidRDefault="000B0D49" w:rsidP="00063610">
      <w:pPr>
        <w:spacing w:after="0" w:line="240" w:lineRule="auto"/>
        <w:jc w:val="both"/>
        <w:rPr>
          <w:rFonts w:ascii="Arial" w:hAnsi="Arial" w:cs="Arial"/>
          <w:sz w:val="20"/>
          <w:szCs w:val="20"/>
        </w:rPr>
      </w:pPr>
      <w:proofErr w:type="spellStart"/>
      <w:r w:rsidRPr="00E31284">
        <w:rPr>
          <w:rFonts w:ascii="Arial" w:hAnsi="Arial" w:cs="Arial"/>
          <w:sz w:val="20"/>
          <w:szCs w:val="20"/>
        </w:rPr>
        <w:t>Fiarca</w:t>
      </w:r>
      <w:proofErr w:type="spellEnd"/>
      <w:r w:rsidRPr="00E31284">
        <w:rPr>
          <w:rFonts w:ascii="Arial" w:hAnsi="Arial" w:cs="Arial"/>
          <w:sz w:val="20"/>
          <w:szCs w:val="20"/>
        </w:rPr>
        <w:t>: $</w:t>
      </w:r>
      <w:r w:rsidR="00FF3E58" w:rsidRPr="00FF3E58">
        <w:rPr>
          <w:rFonts w:ascii="Arial" w:hAnsi="Arial" w:cs="Arial"/>
          <w:sz w:val="20"/>
          <w:szCs w:val="20"/>
        </w:rPr>
        <w:t xml:space="preserve"> </w:t>
      </w:r>
      <w:r w:rsidR="0093707B" w:rsidRPr="0093707B">
        <w:rPr>
          <w:rFonts w:ascii="Arial" w:hAnsi="Arial" w:cs="Arial"/>
          <w:sz w:val="20"/>
          <w:szCs w:val="20"/>
        </w:rPr>
        <w:t>14,867,417.22</w:t>
      </w:r>
    </w:p>
    <w:p w14:paraId="5F27B012" w14:textId="77777777" w:rsidR="00FF3E58" w:rsidRPr="00356E3D" w:rsidRDefault="00FF3E58" w:rsidP="00063610">
      <w:pPr>
        <w:spacing w:after="0" w:line="240" w:lineRule="auto"/>
        <w:jc w:val="both"/>
        <w:rPr>
          <w:rFonts w:ascii="Arial" w:hAnsi="Arial" w:cs="Arial"/>
          <w:b/>
          <w:sz w:val="20"/>
          <w:szCs w:val="20"/>
        </w:rPr>
      </w:pPr>
    </w:p>
    <w:p w14:paraId="7D90E764" w14:textId="77777777" w:rsidR="000B0D49" w:rsidRPr="00356E3D" w:rsidRDefault="006414EF" w:rsidP="000B0D49">
      <w:pPr>
        <w:spacing w:line="240" w:lineRule="auto"/>
        <w:jc w:val="both"/>
        <w:rPr>
          <w:rFonts w:ascii="Arial" w:hAnsi="Arial" w:cs="Arial"/>
          <w:b/>
          <w:sz w:val="20"/>
          <w:szCs w:val="20"/>
        </w:rPr>
      </w:pPr>
      <w:r>
        <w:rPr>
          <w:rFonts w:ascii="Arial" w:hAnsi="Arial" w:cs="Arial"/>
          <w:b/>
          <w:sz w:val="20"/>
          <w:szCs w:val="20"/>
        </w:rPr>
        <w:t>09</w:t>
      </w:r>
      <w:r w:rsidR="000B0D49" w:rsidRPr="00356E3D">
        <w:rPr>
          <w:rFonts w:ascii="Arial" w:hAnsi="Arial" w:cs="Arial"/>
          <w:b/>
          <w:sz w:val="20"/>
          <w:szCs w:val="20"/>
        </w:rPr>
        <w:t>. Reporte de la Recaudación</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3B09E62F" w14:textId="7D92AA9B" w:rsidR="000B0D49" w:rsidRDefault="000B0D49" w:rsidP="000B0D49">
      <w:pPr>
        <w:jc w:val="both"/>
        <w:rPr>
          <w:rFonts w:ascii="Arial" w:hAnsi="Arial" w:cs="Arial"/>
          <w:sz w:val="20"/>
          <w:szCs w:val="20"/>
        </w:rPr>
      </w:pPr>
      <w:r w:rsidRPr="00356E3D">
        <w:rPr>
          <w:rFonts w:ascii="Arial" w:hAnsi="Arial" w:cs="Arial"/>
          <w:sz w:val="20"/>
          <w:szCs w:val="20"/>
        </w:rPr>
        <w:t>a) Análisis del comportamiento de la recaudación correspondiente al ente público o cualquier tipo de ingreso, de forma separada los ingresos locales de los federales:</w:t>
      </w:r>
    </w:p>
    <w:p w14:paraId="7EA7EAD3" w14:textId="5159F077" w:rsidR="004F4796" w:rsidRDefault="004F4796" w:rsidP="000B0D49">
      <w:pPr>
        <w:jc w:val="both"/>
        <w:rPr>
          <w:rFonts w:ascii="Arial" w:hAnsi="Arial" w:cs="Arial"/>
          <w:sz w:val="20"/>
          <w:szCs w:val="20"/>
        </w:rPr>
      </w:pPr>
    </w:p>
    <w:tbl>
      <w:tblPr>
        <w:tblW w:w="5840" w:type="dxa"/>
        <w:tblCellMar>
          <w:left w:w="70" w:type="dxa"/>
          <w:right w:w="70" w:type="dxa"/>
        </w:tblCellMar>
        <w:tblLook w:val="04A0" w:firstRow="1" w:lastRow="0" w:firstColumn="1" w:lastColumn="0" w:noHBand="0" w:noVBand="1"/>
      </w:tblPr>
      <w:tblGrid>
        <w:gridCol w:w="1374"/>
        <w:gridCol w:w="1652"/>
        <w:gridCol w:w="1480"/>
        <w:gridCol w:w="1560"/>
      </w:tblGrid>
      <w:tr w:rsidR="00C75B19" w:rsidRPr="00C75B19" w14:paraId="2EAA51B7" w14:textId="77777777" w:rsidTr="00262703">
        <w:trPr>
          <w:trHeight w:val="525"/>
        </w:trPr>
        <w:tc>
          <w:tcPr>
            <w:tcW w:w="1148"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55A0EE3"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TIPO</w:t>
            </w:r>
          </w:p>
        </w:tc>
        <w:tc>
          <w:tcPr>
            <w:tcW w:w="1652" w:type="dxa"/>
            <w:tcBorders>
              <w:top w:val="single" w:sz="8" w:space="0" w:color="auto"/>
              <w:left w:val="nil"/>
              <w:bottom w:val="single" w:sz="8" w:space="0" w:color="auto"/>
              <w:right w:val="single" w:sz="8" w:space="0" w:color="auto"/>
            </w:tcBorders>
            <w:shd w:val="clear" w:color="000000" w:fill="F2F2F2"/>
            <w:vAlign w:val="center"/>
            <w:hideMark/>
          </w:tcPr>
          <w:p w14:paraId="6AF9D701"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PRESUPUESTO</w:t>
            </w:r>
          </w:p>
        </w:tc>
        <w:tc>
          <w:tcPr>
            <w:tcW w:w="1480" w:type="dxa"/>
            <w:tcBorders>
              <w:top w:val="single" w:sz="8" w:space="0" w:color="auto"/>
              <w:left w:val="nil"/>
              <w:bottom w:val="single" w:sz="8" w:space="0" w:color="auto"/>
              <w:right w:val="single" w:sz="8" w:space="0" w:color="auto"/>
            </w:tcBorders>
            <w:shd w:val="clear" w:color="000000" w:fill="F2F2F2"/>
            <w:vAlign w:val="center"/>
            <w:hideMark/>
          </w:tcPr>
          <w:p w14:paraId="0DBA3894"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DEVENGADO</w:t>
            </w:r>
          </w:p>
        </w:tc>
        <w:tc>
          <w:tcPr>
            <w:tcW w:w="1560" w:type="dxa"/>
            <w:tcBorders>
              <w:top w:val="single" w:sz="8" w:space="0" w:color="auto"/>
              <w:left w:val="nil"/>
              <w:bottom w:val="single" w:sz="8" w:space="0" w:color="auto"/>
              <w:right w:val="single" w:sz="8" w:space="0" w:color="auto"/>
            </w:tcBorders>
            <w:shd w:val="clear" w:color="000000" w:fill="F2F2F2"/>
            <w:vAlign w:val="center"/>
            <w:hideMark/>
          </w:tcPr>
          <w:p w14:paraId="3C1938F1"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POR DEVENGAR</w:t>
            </w:r>
          </w:p>
        </w:tc>
      </w:tr>
      <w:tr w:rsidR="00262703" w:rsidRPr="00C75B19" w14:paraId="41AEFEAF" w14:textId="77777777" w:rsidTr="002B4EAD">
        <w:trPr>
          <w:trHeight w:val="315"/>
        </w:trPr>
        <w:tc>
          <w:tcPr>
            <w:tcW w:w="1148" w:type="dxa"/>
            <w:tcBorders>
              <w:top w:val="nil"/>
              <w:left w:val="single" w:sz="8" w:space="0" w:color="auto"/>
              <w:bottom w:val="single" w:sz="8" w:space="0" w:color="auto"/>
              <w:right w:val="single" w:sz="8" w:space="0" w:color="auto"/>
            </w:tcBorders>
            <w:vAlign w:val="center"/>
            <w:hideMark/>
          </w:tcPr>
          <w:p w14:paraId="570D9CFD" w14:textId="1C261BB6" w:rsidR="00262703" w:rsidRPr="00C75B19" w:rsidRDefault="00262703" w:rsidP="00262703">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ESTATAL</w:t>
            </w:r>
          </w:p>
        </w:tc>
        <w:tc>
          <w:tcPr>
            <w:tcW w:w="1652" w:type="dxa"/>
            <w:tcBorders>
              <w:top w:val="nil"/>
              <w:left w:val="nil"/>
              <w:bottom w:val="single" w:sz="8" w:space="0" w:color="auto"/>
              <w:right w:val="single" w:sz="8" w:space="0" w:color="auto"/>
            </w:tcBorders>
            <w:noWrap/>
            <w:vAlign w:val="center"/>
            <w:hideMark/>
          </w:tcPr>
          <w:p w14:paraId="404C8900" w14:textId="4D5E8881" w:rsidR="00262703" w:rsidRPr="00C75B19" w:rsidRDefault="00262703" w:rsidP="00262703">
            <w:pPr>
              <w:spacing w:after="0" w:line="240" w:lineRule="auto"/>
              <w:rPr>
                <w:rFonts w:ascii="Calibri" w:eastAsia="Times New Roman" w:hAnsi="Calibri" w:cs="Calibri"/>
                <w:color w:val="000000"/>
              </w:rPr>
            </w:pPr>
            <w:r>
              <w:rPr>
                <w:rFonts w:ascii="Calibri" w:hAnsi="Calibri" w:cs="Calibri"/>
                <w:color w:val="000000"/>
              </w:rPr>
              <w:t>9,351,912.20</w:t>
            </w:r>
          </w:p>
        </w:tc>
        <w:tc>
          <w:tcPr>
            <w:tcW w:w="1480" w:type="dxa"/>
            <w:tcBorders>
              <w:top w:val="nil"/>
              <w:left w:val="nil"/>
              <w:bottom w:val="single" w:sz="8" w:space="0" w:color="auto"/>
              <w:right w:val="single" w:sz="8" w:space="0" w:color="auto"/>
            </w:tcBorders>
            <w:noWrap/>
            <w:vAlign w:val="center"/>
            <w:hideMark/>
          </w:tcPr>
          <w:p w14:paraId="53309ED7" w14:textId="3F333EB7" w:rsidR="00262703" w:rsidRPr="00C75B19" w:rsidRDefault="00262703" w:rsidP="00262703">
            <w:pPr>
              <w:spacing w:after="0" w:line="240" w:lineRule="auto"/>
              <w:rPr>
                <w:rFonts w:ascii="Calibri" w:eastAsia="Times New Roman" w:hAnsi="Calibri" w:cs="Calibri"/>
                <w:color w:val="000000"/>
              </w:rPr>
            </w:pPr>
            <w:r>
              <w:rPr>
                <w:rFonts w:ascii="Calibri" w:hAnsi="Calibri" w:cs="Calibri"/>
                <w:color w:val="000000"/>
              </w:rPr>
              <w:t>5,963,123.41</w:t>
            </w:r>
          </w:p>
        </w:tc>
        <w:tc>
          <w:tcPr>
            <w:tcW w:w="1560" w:type="dxa"/>
            <w:tcBorders>
              <w:top w:val="nil"/>
              <w:left w:val="nil"/>
              <w:bottom w:val="single" w:sz="8" w:space="0" w:color="auto"/>
              <w:right w:val="single" w:sz="8" w:space="0" w:color="auto"/>
            </w:tcBorders>
            <w:noWrap/>
            <w:vAlign w:val="center"/>
            <w:hideMark/>
          </w:tcPr>
          <w:p w14:paraId="0B4A6FC8" w14:textId="2B64DD57" w:rsidR="00262703" w:rsidRPr="00C75B19" w:rsidRDefault="00262703" w:rsidP="00262703">
            <w:pPr>
              <w:spacing w:after="0" w:line="240" w:lineRule="auto"/>
              <w:rPr>
                <w:rFonts w:ascii="Calibri" w:eastAsia="Times New Roman" w:hAnsi="Calibri" w:cs="Calibri"/>
                <w:color w:val="000000"/>
              </w:rPr>
            </w:pPr>
            <w:r>
              <w:rPr>
                <w:rFonts w:ascii="Calibri" w:hAnsi="Calibri" w:cs="Calibri"/>
                <w:color w:val="000000"/>
              </w:rPr>
              <w:t>3,388,788.79</w:t>
            </w:r>
          </w:p>
        </w:tc>
      </w:tr>
      <w:tr w:rsidR="00262703" w:rsidRPr="00C75B19" w14:paraId="76B7F7EE" w14:textId="77777777" w:rsidTr="002B4EAD">
        <w:trPr>
          <w:trHeight w:val="315"/>
        </w:trPr>
        <w:tc>
          <w:tcPr>
            <w:tcW w:w="1148" w:type="dxa"/>
            <w:tcBorders>
              <w:top w:val="nil"/>
              <w:left w:val="single" w:sz="8" w:space="0" w:color="auto"/>
              <w:bottom w:val="single" w:sz="8" w:space="0" w:color="auto"/>
              <w:right w:val="single" w:sz="8" w:space="0" w:color="auto"/>
            </w:tcBorders>
            <w:vAlign w:val="center"/>
            <w:hideMark/>
          </w:tcPr>
          <w:p w14:paraId="716D4DCC" w14:textId="337B9229" w:rsidR="00262703" w:rsidRPr="00C75B19" w:rsidRDefault="00262703" w:rsidP="00262703">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PROPIOS</w:t>
            </w:r>
          </w:p>
        </w:tc>
        <w:tc>
          <w:tcPr>
            <w:tcW w:w="1652" w:type="dxa"/>
            <w:tcBorders>
              <w:top w:val="nil"/>
              <w:left w:val="nil"/>
              <w:bottom w:val="single" w:sz="8" w:space="0" w:color="auto"/>
              <w:right w:val="single" w:sz="8" w:space="0" w:color="auto"/>
            </w:tcBorders>
            <w:noWrap/>
            <w:vAlign w:val="center"/>
            <w:hideMark/>
          </w:tcPr>
          <w:p w14:paraId="094E7D3B" w14:textId="58172005" w:rsidR="00262703" w:rsidRPr="00C75B19" w:rsidRDefault="00262703" w:rsidP="00262703">
            <w:pPr>
              <w:spacing w:after="0" w:line="240" w:lineRule="auto"/>
              <w:rPr>
                <w:rFonts w:ascii="Calibri" w:eastAsia="Times New Roman" w:hAnsi="Calibri" w:cs="Calibri"/>
                <w:color w:val="000000"/>
              </w:rPr>
            </w:pPr>
            <w:r>
              <w:rPr>
                <w:rFonts w:ascii="Calibri" w:hAnsi="Calibri" w:cs="Calibri"/>
                <w:color w:val="000000"/>
              </w:rPr>
              <w:t>4,222,381.92</w:t>
            </w:r>
          </w:p>
        </w:tc>
        <w:tc>
          <w:tcPr>
            <w:tcW w:w="1480" w:type="dxa"/>
            <w:tcBorders>
              <w:top w:val="nil"/>
              <w:left w:val="nil"/>
              <w:bottom w:val="single" w:sz="8" w:space="0" w:color="auto"/>
              <w:right w:val="single" w:sz="8" w:space="0" w:color="auto"/>
            </w:tcBorders>
            <w:noWrap/>
            <w:vAlign w:val="center"/>
            <w:hideMark/>
          </w:tcPr>
          <w:p w14:paraId="2326E620" w14:textId="10D9B09A" w:rsidR="00262703" w:rsidRPr="00C75B19" w:rsidRDefault="00262703" w:rsidP="00262703">
            <w:pPr>
              <w:spacing w:after="0" w:line="240" w:lineRule="auto"/>
              <w:rPr>
                <w:rFonts w:ascii="Calibri" w:eastAsia="Times New Roman" w:hAnsi="Calibri" w:cs="Calibri"/>
                <w:color w:val="000000"/>
              </w:rPr>
            </w:pPr>
            <w:r>
              <w:rPr>
                <w:rFonts w:ascii="Calibri" w:hAnsi="Calibri" w:cs="Calibri"/>
                <w:color w:val="000000"/>
              </w:rPr>
              <w:t>3,429,973.03</w:t>
            </w:r>
          </w:p>
        </w:tc>
        <w:tc>
          <w:tcPr>
            <w:tcW w:w="1560" w:type="dxa"/>
            <w:tcBorders>
              <w:top w:val="nil"/>
              <w:left w:val="nil"/>
              <w:bottom w:val="single" w:sz="8" w:space="0" w:color="auto"/>
              <w:right w:val="single" w:sz="8" w:space="0" w:color="auto"/>
            </w:tcBorders>
            <w:noWrap/>
            <w:vAlign w:val="center"/>
            <w:hideMark/>
          </w:tcPr>
          <w:p w14:paraId="26571B1D" w14:textId="0ADD20C0" w:rsidR="00262703" w:rsidRPr="00C75B19" w:rsidRDefault="00262703" w:rsidP="00262703">
            <w:pPr>
              <w:spacing w:after="0" w:line="240" w:lineRule="auto"/>
              <w:rPr>
                <w:rFonts w:ascii="Calibri" w:eastAsia="Times New Roman" w:hAnsi="Calibri" w:cs="Calibri"/>
                <w:color w:val="000000"/>
              </w:rPr>
            </w:pPr>
            <w:r>
              <w:rPr>
                <w:rFonts w:ascii="Calibri" w:hAnsi="Calibri" w:cs="Calibri"/>
                <w:color w:val="000000"/>
              </w:rPr>
              <w:t>792,408.89</w:t>
            </w:r>
          </w:p>
        </w:tc>
      </w:tr>
      <w:tr w:rsidR="00262703" w:rsidRPr="00C75B19" w14:paraId="2D7F75EF" w14:textId="77777777" w:rsidTr="002B4EAD">
        <w:trPr>
          <w:trHeight w:val="315"/>
        </w:trPr>
        <w:tc>
          <w:tcPr>
            <w:tcW w:w="1148" w:type="dxa"/>
            <w:tcBorders>
              <w:top w:val="nil"/>
              <w:left w:val="single" w:sz="8" w:space="0" w:color="auto"/>
              <w:bottom w:val="single" w:sz="8" w:space="0" w:color="auto"/>
              <w:right w:val="single" w:sz="8" w:space="0" w:color="auto"/>
            </w:tcBorders>
            <w:vAlign w:val="center"/>
            <w:hideMark/>
          </w:tcPr>
          <w:p w14:paraId="76D141D5" w14:textId="4BD2FB4A" w:rsidR="00262703" w:rsidRPr="00C75B19" w:rsidRDefault="00262703" w:rsidP="00262703">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INTERINSTIT</w:t>
            </w:r>
          </w:p>
        </w:tc>
        <w:tc>
          <w:tcPr>
            <w:tcW w:w="1652" w:type="dxa"/>
            <w:tcBorders>
              <w:top w:val="nil"/>
              <w:left w:val="nil"/>
              <w:bottom w:val="single" w:sz="8" w:space="0" w:color="auto"/>
              <w:right w:val="single" w:sz="8" w:space="0" w:color="auto"/>
            </w:tcBorders>
            <w:noWrap/>
            <w:vAlign w:val="center"/>
            <w:hideMark/>
          </w:tcPr>
          <w:p w14:paraId="54D77BD8" w14:textId="137BF658" w:rsidR="00262703" w:rsidRPr="00C75B19" w:rsidRDefault="00262703" w:rsidP="00262703">
            <w:pPr>
              <w:spacing w:after="0" w:line="240" w:lineRule="auto"/>
              <w:rPr>
                <w:rFonts w:ascii="Calibri" w:eastAsia="Times New Roman" w:hAnsi="Calibri" w:cs="Calibri"/>
                <w:color w:val="000000"/>
              </w:rPr>
            </w:pPr>
            <w:r>
              <w:rPr>
                <w:rFonts w:ascii="Calibri" w:hAnsi="Calibri" w:cs="Calibri"/>
                <w:color w:val="000000"/>
              </w:rPr>
              <w:t>17,328,354.02</w:t>
            </w:r>
          </w:p>
        </w:tc>
        <w:tc>
          <w:tcPr>
            <w:tcW w:w="1480" w:type="dxa"/>
            <w:tcBorders>
              <w:top w:val="nil"/>
              <w:left w:val="nil"/>
              <w:bottom w:val="single" w:sz="8" w:space="0" w:color="auto"/>
              <w:right w:val="single" w:sz="8" w:space="0" w:color="auto"/>
            </w:tcBorders>
            <w:noWrap/>
            <w:vAlign w:val="center"/>
            <w:hideMark/>
          </w:tcPr>
          <w:p w14:paraId="69B6E3DC" w14:textId="28AD671E" w:rsidR="00262703" w:rsidRPr="00C75B19" w:rsidRDefault="00262703" w:rsidP="00262703">
            <w:pPr>
              <w:spacing w:after="0" w:line="240" w:lineRule="auto"/>
              <w:rPr>
                <w:rFonts w:ascii="Calibri" w:eastAsia="Times New Roman" w:hAnsi="Calibri" w:cs="Calibri"/>
                <w:color w:val="000000"/>
              </w:rPr>
            </w:pPr>
            <w:r>
              <w:rPr>
                <w:rFonts w:ascii="Calibri" w:hAnsi="Calibri" w:cs="Calibri"/>
                <w:color w:val="000000"/>
              </w:rPr>
              <w:t>9,523,075.65</w:t>
            </w:r>
          </w:p>
        </w:tc>
        <w:tc>
          <w:tcPr>
            <w:tcW w:w="1560" w:type="dxa"/>
            <w:tcBorders>
              <w:top w:val="nil"/>
              <w:left w:val="nil"/>
              <w:bottom w:val="single" w:sz="8" w:space="0" w:color="auto"/>
              <w:right w:val="single" w:sz="8" w:space="0" w:color="auto"/>
            </w:tcBorders>
            <w:noWrap/>
            <w:vAlign w:val="center"/>
            <w:hideMark/>
          </w:tcPr>
          <w:p w14:paraId="28505952" w14:textId="5149C03F" w:rsidR="00262703" w:rsidRPr="00C75B19" w:rsidRDefault="00262703" w:rsidP="00262703">
            <w:pPr>
              <w:spacing w:after="0" w:line="240" w:lineRule="auto"/>
              <w:rPr>
                <w:rFonts w:ascii="Calibri" w:eastAsia="Times New Roman" w:hAnsi="Calibri" w:cs="Calibri"/>
                <w:color w:val="000000"/>
              </w:rPr>
            </w:pPr>
            <w:r>
              <w:rPr>
                <w:rFonts w:ascii="Calibri" w:hAnsi="Calibri" w:cs="Calibri"/>
                <w:color w:val="000000"/>
              </w:rPr>
              <w:t>7,805,278.37</w:t>
            </w:r>
          </w:p>
        </w:tc>
      </w:tr>
    </w:tbl>
    <w:p w14:paraId="460E4C6D" w14:textId="77777777" w:rsidR="00BD6D92" w:rsidRPr="00D96EA0" w:rsidRDefault="00BD6D92" w:rsidP="007828C3">
      <w:pPr>
        <w:spacing w:after="0"/>
        <w:jc w:val="center"/>
        <w:rPr>
          <w:rFonts w:ascii="Arial" w:hAnsi="Arial" w:cs="Arial"/>
          <w:sz w:val="20"/>
          <w:szCs w:val="20"/>
        </w:rPr>
      </w:pPr>
    </w:p>
    <w:p w14:paraId="2D825802" w14:textId="77777777" w:rsidR="000B0D49" w:rsidRPr="00D96EA0" w:rsidRDefault="000B0D49" w:rsidP="000B0D49">
      <w:pPr>
        <w:jc w:val="both"/>
        <w:rPr>
          <w:rFonts w:ascii="Arial" w:hAnsi="Arial" w:cs="Arial"/>
          <w:sz w:val="20"/>
          <w:szCs w:val="20"/>
        </w:rPr>
      </w:pPr>
      <w:r w:rsidRPr="00D96EA0">
        <w:rPr>
          <w:rFonts w:ascii="Arial" w:hAnsi="Arial" w:cs="Arial"/>
          <w:sz w:val="20"/>
          <w:szCs w:val="20"/>
        </w:rPr>
        <w:t>b) Proyección de la recaudación e ingresos en el mediano plazo:</w:t>
      </w:r>
    </w:p>
    <w:tbl>
      <w:tblPr>
        <w:tblW w:w="6066" w:type="dxa"/>
        <w:tblCellMar>
          <w:left w:w="70" w:type="dxa"/>
          <w:right w:w="70" w:type="dxa"/>
        </w:tblCellMar>
        <w:tblLook w:val="04A0" w:firstRow="1" w:lastRow="0" w:firstColumn="1" w:lastColumn="0" w:noHBand="0" w:noVBand="1"/>
      </w:tblPr>
      <w:tblGrid>
        <w:gridCol w:w="1374"/>
        <w:gridCol w:w="1652"/>
        <w:gridCol w:w="1480"/>
        <w:gridCol w:w="1560"/>
      </w:tblGrid>
      <w:tr w:rsidR="00262703" w:rsidRPr="00C75B19" w14:paraId="7B296111" w14:textId="77777777" w:rsidTr="00262703">
        <w:trPr>
          <w:trHeight w:val="525"/>
        </w:trPr>
        <w:tc>
          <w:tcPr>
            <w:tcW w:w="1374"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D18B976" w14:textId="77777777" w:rsidR="00262703" w:rsidRPr="00C75B19" w:rsidRDefault="00262703" w:rsidP="006C4900">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TIPO</w:t>
            </w:r>
          </w:p>
        </w:tc>
        <w:tc>
          <w:tcPr>
            <w:tcW w:w="1652" w:type="dxa"/>
            <w:tcBorders>
              <w:top w:val="single" w:sz="8" w:space="0" w:color="auto"/>
              <w:left w:val="nil"/>
              <w:bottom w:val="single" w:sz="8" w:space="0" w:color="auto"/>
              <w:right w:val="single" w:sz="8" w:space="0" w:color="auto"/>
            </w:tcBorders>
            <w:shd w:val="clear" w:color="000000" w:fill="F2F2F2"/>
            <w:vAlign w:val="center"/>
            <w:hideMark/>
          </w:tcPr>
          <w:p w14:paraId="688FE0C5" w14:textId="77777777" w:rsidR="00262703" w:rsidRPr="00C75B19" w:rsidRDefault="00262703" w:rsidP="006C4900">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PRESUPUESTO</w:t>
            </w:r>
          </w:p>
        </w:tc>
        <w:tc>
          <w:tcPr>
            <w:tcW w:w="1480" w:type="dxa"/>
            <w:tcBorders>
              <w:top w:val="single" w:sz="8" w:space="0" w:color="auto"/>
              <w:left w:val="nil"/>
              <w:bottom w:val="single" w:sz="8" w:space="0" w:color="auto"/>
              <w:right w:val="single" w:sz="8" w:space="0" w:color="auto"/>
            </w:tcBorders>
            <w:shd w:val="clear" w:color="000000" w:fill="F2F2F2"/>
            <w:vAlign w:val="center"/>
            <w:hideMark/>
          </w:tcPr>
          <w:p w14:paraId="72AEDDF9" w14:textId="77777777" w:rsidR="00262703" w:rsidRPr="00C75B19" w:rsidRDefault="00262703" w:rsidP="006C4900">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DEVENGADO</w:t>
            </w:r>
          </w:p>
        </w:tc>
        <w:tc>
          <w:tcPr>
            <w:tcW w:w="1560" w:type="dxa"/>
            <w:tcBorders>
              <w:top w:val="single" w:sz="8" w:space="0" w:color="auto"/>
              <w:left w:val="nil"/>
              <w:bottom w:val="single" w:sz="8" w:space="0" w:color="auto"/>
              <w:right w:val="single" w:sz="8" w:space="0" w:color="auto"/>
            </w:tcBorders>
            <w:shd w:val="clear" w:color="000000" w:fill="F2F2F2"/>
            <w:vAlign w:val="center"/>
            <w:hideMark/>
          </w:tcPr>
          <w:p w14:paraId="398695B0" w14:textId="77777777" w:rsidR="00262703" w:rsidRPr="00C75B19" w:rsidRDefault="00262703" w:rsidP="006C4900">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POR DEVENGAR</w:t>
            </w:r>
          </w:p>
        </w:tc>
      </w:tr>
      <w:tr w:rsidR="00262703" w:rsidRPr="00C75B19" w14:paraId="31FE21AC" w14:textId="77777777" w:rsidTr="00262703">
        <w:trPr>
          <w:trHeight w:val="315"/>
        </w:trPr>
        <w:tc>
          <w:tcPr>
            <w:tcW w:w="1374" w:type="dxa"/>
            <w:tcBorders>
              <w:top w:val="nil"/>
              <w:left w:val="single" w:sz="8" w:space="0" w:color="auto"/>
              <w:bottom w:val="single" w:sz="8" w:space="0" w:color="auto"/>
              <w:right w:val="single" w:sz="8" w:space="0" w:color="auto"/>
            </w:tcBorders>
            <w:vAlign w:val="center"/>
            <w:hideMark/>
          </w:tcPr>
          <w:p w14:paraId="7D7DCB19" w14:textId="0AF6981E" w:rsidR="00262703" w:rsidRPr="00C75B19" w:rsidRDefault="00262703" w:rsidP="00262703">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ESTATAL</w:t>
            </w:r>
          </w:p>
        </w:tc>
        <w:tc>
          <w:tcPr>
            <w:tcW w:w="1652" w:type="dxa"/>
            <w:tcBorders>
              <w:top w:val="nil"/>
              <w:left w:val="nil"/>
              <w:bottom w:val="single" w:sz="8" w:space="0" w:color="auto"/>
              <w:right w:val="single" w:sz="8" w:space="0" w:color="auto"/>
            </w:tcBorders>
            <w:noWrap/>
            <w:vAlign w:val="center"/>
            <w:hideMark/>
          </w:tcPr>
          <w:p w14:paraId="5DE57D16" w14:textId="0D5710AD" w:rsidR="00262703" w:rsidRPr="00C75B19" w:rsidRDefault="00262703" w:rsidP="00262703">
            <w:pPr>
              <w:spacing w:after="0" w:line="240" w:lineRule="auto"/>
              <w:jc w:val="center"/>
              <w:rPr>
                <w:rFonts w:ascii="Calibri" w:eastAsia="Times New Roman" w:hAnsi="Calibri" w:cs="Calibri"/>
                <w:color w:val="000000"/>
              </w:rPr>
            </w:pPr>
            <w:r>
              <w:rPr>
                <w:rFonts w:ascii="Calibri" w:hAnsi="Calibri" w:cs="Calibri"/>
                <w:color w:val="000000"/>
              </w:rPr>
              <w:t>9,351,912.20</w:t>
            </w:r>
          </w:p>
        </w:tc>
        <w:tc>
          <w:tcPr>
            <w:tcW w:w="1480" w:type="dxa"/>
            <w:tcBorders>
              <w:top w:val="nil"/>
              <w:left w:val="nil"/>
              <w:bottom w:val="single" w:sz="8" w:space="0" w:color="auto"/>
              <w:right w:val="single" w:sz="8" w:space="0" w:color="auto"/>
            </w:tcBorders>
            <w:noWrap/>
            <w:vAlign w:val="center"/>
            <w:hideMark/>
          </w:tcPr>
          <w:p w14:paraId="47FC8A56" w14:textId="62410684" w:rsidR="00262703" w:rsidRPr="00C75B19" w:rsidRDefault="00262703" w:rsidP="00262703">
            <w:pPr>
              <w:spacing w:after="0" w:line="240" w:lineRule="auto"/>
              <w:jc w:val="center"/>
              <w:rPr>
                <w:rFonts w:ascii="Calibri" w:eastAsia="Times New Roman" w:hAnsi="Calibri" w:cs="Calibri"/>
                <w:color w:val="000000"/>
              </w:rPr>
            </w:pPr>
            <w:r>
              <w:rPr>
                <w:rFonts w:ascii="Calibri" w:hAnsi="Calibri" w:cs="Calibri"/>
                <w:color w:val="000000"/>
              </w:rPr>
              <w:t>5,963,123.41</w:t>
            </w:r>
          </w:p>
        </w:tc>
        <w:tc>
          <w:tcPr>
            <w:tcW w:w="1560" w:type="dxa"/>
            <w:tcBorders>
              <w:top w:val="nil"/>
              <w:left w:val="nil"/>
              <w:bottom w:val="single" w:sz="8" w:space="0" w:color="auto"/>
              <w:right w:val="single" w:sz="8" w:space="0" w:color="auto"/>
            </w:tcBorders>
            <w:noWrap/>
            <w:vAlign w:val="center"/>
            <w:hideMark/>
          </w:tcPr>
          <w:p w14:paraId="3E53DAD0" w14:textId="6F6A24C7" w:rsidR="00262703" w:rsidRPr="00C75B19" w:rsidRDefault="00262703" w:rsidP="00262703">
            <w:pPr>
              <w:spacing w:after="0" w:line="240" w:lineRule="auto"/>
              <w:jc w:val="center"/>
              <w:rPr>
                <w:rFonts w:ascii="Calibri" w:eastAsia="Times New Roman" w:hAnsi="Calibri" w:cs="Calibri"/>
                <w:color w:val="000000"/>
              </w:rPr>
            </w:pPr>
            <w:r>
              <w:rPr>
                <w:rFonts w:ascii="Calibri" w:hAnsi="Calibri" w:cs="Calibri"/>
                <w:color w:val="000000"/>
              </w:rPr>
              <w:t>64%</w:t>
            </w:r>
          </w:p>
        </w:tc>
      </w:tr>
      <w:tr w:rsidR="00262703" w:rsidRPr="00C75B19" w14:paraId="0FD58263" w14:textId="77777777" w:rsidTr="00262703">
        <w:trPr>
          <w:trHeight w:val="315"/>
        </w:trPr>
        <w:tc>
          <w:tcPr>
            <w:tcW w:w="1374" w:type="dxa"/>
            <w:tcBorders>
              <w:top w:val="nil"/>
              <w:left w:val="single" w:sz="8" w:space="0" w:color="auto"/>
              <w:bottom w:val="single" w:sz="8" w:space="0" w:color="auto"/>
              <w:right w:val="single" w:sz="8" w:space="0" w:color="auto"/>
            </w:tcBorders>
            <w:vAlign w:val="center"/>
            <w:hideMark/>
          </w:tcPr>
          <w:p w14:paraId="7D5EA197" w14:textId="03DC14E5" w:rsidR="00262703" w:rsidRPr="00C75B19" w:rsidRDefault="00262703" w:rsidP="00262703">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PROPIOS</w:t>
            </w:r>
          </w:p>
        </w:tc>
        <w:tc>
          <w:tcPr>
            <w:tcW w:w="1652" w:type="dxa"/>
            <w:tcBorders>
              <w:top w:val="nil"/>
              <w:left w:val="nil"/>
              <w:bottom w:val="single" w:sz="8" w:space="0" w:color="auto"/>
              <w:right w:val="single" w:sz="8" w:space="0" w:color="auto"/>
            </w:tcBorders>
            <w:noWrap/>
            <w:vAlign w:val="center"/>
            <w:hideMark/>
          </w:tcPr>
          <w:p w14:paraId="326A2374" w14:textId="61D05768" w:rsidR="00262703" w:rsidRPr="00C75B19" w:rsidRDefault="00262703" w:rsidP="00262703">
            <w:pPr>
              <w:spacing w:after="0" w:line="240" w:lineRule="auto"/>
              <w:jc w:val="center"/>
              <w:rPr>
                <w:rFonts w:ascii="Calibri" w:eastAsia="Times New Roman" w:hAnsi="Calibri" w:cs="Calibri"/>
                <w:color w:val="000000"/>
              </w:rPr>
            </w:pPr>
            <w:r>
              <w:rPr>
                <w:rFonts w:ascii="Calibri" w:hAnsi="Calibri" w:cs="Calibri"/>
                <w:color w:val="000000"/>
              </w:rPr>
              <w:t>4,222,381.92</w:t>
            </w:r>
          </w:p>
        </w:tc>
        <w:tc>
          <w:tcPr>
            <w:tcW w:w="1480" w:type="dxa"/>
            <w:tcBorders>
              <w:top w:val="nil"/>
              <w:left w:val="nil"/>
              <w:bottom w:val="single" w:sz="8" w:space="0" w:color="auto"/>
              <w:right w:val="single" w:sz="8" w:space="0" w:color="auto"/>
            </w:tcBorders>
            <w:noWrap/>
            <w:vAlign w:val="center"/>
            <w:hideMark/>
          </w:tcPr>
          <w:p w14:paraId="2CDEEDE3" w14:textId="36238082" w:rsidR="00262703" w:rsidRPr="00C75B19" w:rsidRDefault="00262703" w:rsidP="00262703">
            <w:pPr>
              <w:spacing w:after="0" w:line="240" w:lineRule="auto"/>
              <w:jc w:val="center"/>
              <w:rPr>
                <w:rFonts w:ascii="Calibri" w:eastAsia="Times New Roman" w:hAnsi="Calibri" w:cs="Calibri"/>
                <w:color w:val="000000"/>
              </w:rPr>
            </w:pPr>
            <w:r>
              <w:rPr>
                <w:rFonts w:ascii="Calibri" w:hAnsi="Calibri" w:cs="Calibri"/>
                <w:color w:val="000000"/>
              </w:rPr>
              <w:t>3,429,973.03</w:t>
            </w:r>
          </w:p>
        </w:tc>
        <w:tc>
          <w:tcPr>
            <w:tcW w:w="1560" w:type="dxa"/>
            <w:tcBorders>
              <w:top w:val="nil"/>
              <w:left w:val="nil"/>
              <w:bottom w:val="single" w:sz="8" w:space="0" w:color="auto"/>
              <w:right w:val="single" w:sz="8" w:space="0" w:color="auto"/>
            </w:tcBorders>
            <w:noWrap/>
            <w:vAlign w:val="center"/>
            <w:hideMark/>
          </w:tcPr>
          <w:p w14:paraId="7F58E1A5" w14:textId="77CEF5BC" w:rsidR="00262703" w:rsidRPr="00C75B19" w:rsidRDefault="00262703" w:rsidP="00262703">
            <w:pPr>
              <w:spacing w:after="0" w:line="240" w:lineRule="auto"/>
              <w:jc w:val="center"/>
              <w:rPr>
                <w:rFonts w:ascii="Calibri" w:eastAsia="Times New Roman" w:hAnsi="Calibri" w:cs="Calibri"/>
                <w:color w:val="000000"/>
              </w:rPr>
            </w:pPr>
            <w:r>
              <w:rPr>
                <w:rFonts w:ascii="Calibri" w:hAnsi="Calibri" w:cs="Calibri"/>
                <w:color w:val="000000"/>
              </w:rPr>
              <w:t>81%</w:t>
            </w:r>
          </w:p>
        </w:tc>
      </w:tr>
      <w:tr w:rsidR="00262703" w:rsidRPr="00C75B19" w14:paraId="1C2C7999" w14:textId="77777777" w:rsidTr="00262703">
        <w:trPr>
          <w:trHeight w:val="315"/>
        </w:trPr>
        <w:tc>
          <w:tcPr>
            <w:tcW w:w="1374" w:type="dxa"/>
            <w:tcBorders>
              <w:top w:val="nil"/>
              <w:left w:val="single" w:sz="8" w:space="0" w:color="auto"/>
              <w:bottom w:val="single" w:sz="8" w:space="0" w:color="auto"/>
              <w:right w:val="single" w:sz="8" w:space="0" w:color="auto"/>
            </w:tcBorders>
            <w:vAlign w:val="center"/>
            <w:hideMark/>
          </w:tcPr>
          <w:p w14:paraId="0CF7C4CB" w14:textId="3CFF390B" w:rsidR="00262703" w:rsidRPr="00C75B19" w:rsidRDefault="00262703" w:rsidP="00262703">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INTERINSTIT</w:t>
            </w:r>
          </w:p>
        </w:tc>
        <w:tc>
          <w:tcPr>
            <w:tcW w:w="1652" w:type="dxa"/>
            <w:tcBorders>
              <w:top w:val="nil"/>
              <w:left w:val="nil"/>
              <w:bottom w:val="single" w:sz="8" w:space="0" w:color="auto"/>
              <w:right w:val="single" w:sz="8" w:space="0" w:color="auto"/>
            </w:tcBorders>
            <w:noWrap/>
            <w:vAlign w:val="center"/>
            <w:hideMark/>
          </w:tcPr>
          <w:p w14:paraId="18455566" w14:textId="6E146F4D" w:rsidR="00262703" w:rsidRPr="00C75B19" w:rsidRDefault="00262703" w:rsidP="00262703">
            <w:pPr>
              <w:spacing w:after="0" w:line="240" w:lineRule="auto"/>
              <w:jc w:val="center"/>
              <w:rPr>
                <w:rFonts w:ascii="Calibri" w:eastAsia="Times New Roman" w:hAnsi="Calibri" w:cs="Calibri"/>
                <w:color w:val="000000"/>
              </w:rPr>
            </w:pPr>
            <w:r>
              <w:rPr>
                <w:rFonts w:ascii="Calibri" w:hAnsi="Calibri" w:cs="Calibri"/>
                <w:color w:val="000000"/>
              </w:rPr>
              <w:t>17,328,354.02</w:t>
            </w:r>
          </w:p>
        </w:tc>
        <w:tc>
          <w:tcPr>
            <w:tcW w:w="1480" w:type="dxa"/>
            <w:tcBorders>
              <w:top w:val="nil"/>
              <w:left w:val="nil"/>
              <w:bottom w:val="single" w:sz="8" w:space="0" w:color="auto"/>
              <w:right w:val="single" w:sz="8" w:space="0" w:color="auto"/>
            </w:tcBorders>
            <w:noWrap/>
            <w:vAlign w:val="center"/>
            <w:hideMark/>
          </w:tcPr>
          <w:p w14:paraId="36E9DFA1" w14:textId="69D45769" w:rsidR="00262703" w:rsidRPr="00C75B19" w:rsidRDefault="00262703" w:rsidP="00262703">
            <w:pPr>
              <w:spacing w:after="0" w:line="240" w:lineRule="auto"/>
              <w:jc w:val="center"/>
              <w:rPr>
                <w:rFonts w:ascii="Calibri" w:eastAsia="Times New Roman" w:hAnsi="Calibri" w:cs="Calibri"/>
                <w:color w:val="000000"/>
              </w:rPr>
            </w:pPr>
            <w:r>
              <w:rPr>
                <w:rFonts w:ascii="Calibri" w:hAnsi="Calibri" w:cs="Calibri"/>
                <w:color w:val="000000"/>
              </w:rPr>
              <w:t>9,523,075.65</w:t>
            </w:r>
          </w:p>
        </w:tc>
        <w:tc>
          <w:tcPr>
            <w:tcW w:w="1560" w:type="dxa"/>
            <w:tcBorders>
              <w:top w:val="nil"/>
              <w:left w:val="nil"/>
              <w:bottom w:val="single" w:sz="8" w:space="0" w:color="auto"/>
              <w:right w:val="single" w:sz="8" w:space="0" w:color="auto"/>
            </w:tcBorders>
            <w:noWrap/>
            <w:vAlign w:val="center"/>
            <w:hideMark/>
          </w:tcPr>
          <w:p w14:paraId="4534F875" w14:textId="78FC15D3" w:rsidR="00262703" w:rsidRPr="00C75B19" w:rsidRDefault="00262703" w:rsidP="00262703">
            <w:pPr>
              <w:spacing w:after="0" w:line="240" w:lineRule="auto"/>
              <w:jc w:val="center"/>
              <w:rPr>
                <w:rFonts w:ascii="Calibri" w:eastAsia="Times New Roman" w:hAnsi="Calibri" w:cs="Calibri"/>
                <w:color w:val="000000"/>
              </w:rPr>
            </w:pPr>
            <w:r>
              <w:rPr>
                <w:rFonts w:ascii="Calibri" w:hAnsi="Calibri" w:cs="Calibri"/>
                <w:color w:val="000000"/>
              </w:rPr>
              <w:t>55%</w:t>
            </w:r>
          </w:p>
        </w:tc>
      </w:tr>
    </w:tbl>
    <w:p w14:paraId="7CC260C1" w14:textId="77777777" w:rsidR="008517BF" w:rsidRDefault="008517BF" w:rsidP="000B0D49">
      <w:pPr>
        <w:jc w:val="both"/>
        <w:rPr>
          <w:rFonts w:ascii="Arial" w:hAnsi="Arial" w:cs="Arial"/>
          <w:b/>
          <w:sz w:val="20"/>
          <w:szCs w:val="20"/>
        </w:rPr>
      </w:pPr>
    </w:p>
    <w:p w14:paraId="1E3B4166" w14:textId="50B64D5A" w:rsidR="000B0D49" w:rsidRPr="00356E3D" w:rsidRDefault="006414EF" w:rsidP="000B0D49">
      <w:pPr>
        <w:jc w:val="both"/>
        <w:rPr>
          <w:rFonts w:ascii="Arial" w:hAnsi="Arial" w:cs="Arial"/>
          <w:sz w:val="20"/>
          <w:szCs w:val="20"/>
        </w:rPr>
      </w:pPr>
      <w:r>
        <w:rPr>
          <w:rFonts w:ascii="Arial" w:hAnsi="Arial" w:cs="Arial"/>
          <w:b/>
          <w:sz w:val="20"/>
          <w:szCs w:val="20"/>
        </w:rPr>
        <w:t>10</w:t>
      </w:r>
      <w:r w:rsidR="000B0D49" w:rsidRPr="00356E3D">
        <w:rPr>
          <w:rFonts w:ascii="Arial" w:hAnsi="Arial" w:cs="Arial"/>
          <w:b/>
          <w:sz w:val="20"/>
          <w:szCs w:val="20"/>
        </w:rPr>
        <w:t xml:space="preserve">. Información sobre la Deuda y el Reporte Analítico de la Deuda: </w:t>
      </w:r>
      <w:r w:rsidR="000B0D49" w:rsidRPr="00356E3D">
        <w:rPr>
          <w:rFonts w:ascii="Arial" w:hAnsi="Arial" w:cs="Arial"/>
          <w:sz w:val="20"/>
          <w:szCs w:val="20"/>
        </w:rPr>
        <w:t xml:space="preserve">NO APLICA </w:t>
      </w:r>
    </w:p>
    <w:p w14:paraId="6248AC30" w14:textId="77777777" w:rsidR="003B343A" w:rsidRPr="00356E3D" w:rsidRDefault="006414EF" w:rsidP="000B0D49">
      <w:pPr>
        <w:jc w:val="both"/>
        <w:rPr>
          <w:rFonts w:ascii="Arial" w:hAnsi="Arial" w:cs="Arial"/>
          <w:sz w:val="20"/>
          <w:szCs w:val="20"/>
        </w:rPr>
      </w:pPr>
      <w:r>
        <w:rPr>
          <w:rFonts w:ascii="Arial" w:hAnsi="Arial" w:cs="Arial"/>
          <w:b/>
          <w:sz w:val="20"/>
          <w:szCs w:val="20"/>
        </w:rPr>
        <w:t>11</w:t>
      </w:r>
      <w:r w:rsidR="000B0D49" w:rsidRPr="00356E3D">
        <w:rPr>
          <w:rFonts w:ascii="Arial" w:hAnsi="Arial" w:cs="Arial"/>
          <w:b/>
          <w:sz w:val="20"/>
          <w:szCs w:val="20"/>
        </w:rPr>
        <w:t xml:space="preserve">. Calificaciones otorgadas: </w:t>
      </w:r>
      <w:r w:rsidR="000B0D49" w:rsidRPr="00356E3D">
        <w:rPr>
          <w:rFonts w:ascii="Arial" w:hAnsi="Arial" w:cs="Arial"/>
          <w:sz w:val="20"/>
          <w:szCs w:val="20"/>
        </w:rPr>
        <w:t>NO APLICA</w:t>
      </w:r>
      <w:r w:rsidR="003713AB">
        <w:rPr>
          <w:rFonts w:ascii="Arial" w:hAnsi="Arial" w:cs="Arial"/>
          <w:sz w:val="20"/>
          <w:szCs w:val="20"/>
        </w:rPr>
        <w:tab/>
      </w:r>
      <w:r w:rsidR="003713AB">
        <w:rPr>
          <w:rFonts w:ascii="Arial" w:hAnsi="Arial" w:cs="Arial"/>
          <w:sz w:val="20"/>
          <w:szCs w:val="20"/>
        </w:rPr>
        <w:tab/>
      </w:r>
    </w:p>
    <w:p w14:paraId="190287E1" w14:textId="77777777" w:rsidR="000B0D49" w:rsidRPr="00356E3D" w:rsidRDefault="006414EF" w:rsidP="000B0D49">
      <w:pPr>
        <w:jc w:val="both"/>
        <w:rPr>
          <w:rFonts w:ascii="Arial" w:hAnsi="Arial" w:cs="Arial"/>
          <w:b/>
          <w:sz w:val="20"/>
          <w:szCs w:val="20"/>
        </w:rPr>
      </w:pPr>
      <w:r>
        <w:rPr>
          <w:rFonts w:ascii="Arial" w:hAnsi="Arial" w:cs="Arial"/>
          <w:b/>
          <w:sz w:val="20"/>
          <w:szCs w:val="20"/>
        </w:rPr>
        <w:t>12</w:t>
      </w:r>
      <w:r w:rsidR="000B0D49" w:rsidRPr="00356E3D">
        <w:rPr>
          <w:rFonts w:ascii="Arial" w:hAnsi="Arial" w:cs="Arial"/>
          <w:b/>
          <w:sz w:val="20"/>
          <w:szCs w:val="20"/>
        </w:rPr>
        <w:t>. Proceso de Mejora:</w:t>
      </w:r>
      <w:r w:rsidR="000B0D49" w:rsidRPr="00356E3D">
        <w:rPr>
          <w:rFonts w:ascii="Arial" w:hAnsi="Arial" w:cs="Arial"/>
          <w:b/>
          <w:sz w:val="20"/>
          <w:szCs w:val="20"/>
        </w:rPr>
        <w:tab/>
      </w:r>
    </w:p>
    <w:p w14:paraId="11237F6F"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a) Principales Políticas de control interno:</w:t>
      </w:r>
    </w:p>
    <w:p w14:paraId="19DC7DBF"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1.- Los recursos se depositan en una cuenta específica y de ahí se retiran con firmas mancomunadas.</w:t>
      </w:r>
    </w:p>
    <w:p w14:paraId="3AD0D99C" w14:textId="77777777" w:rsidR="000B0D49" w:rsidRPr="00356E3D" w:rsidRDefault="000B0D49" w:rsidP="000B0D49">
      <w:pPr>
        <w:spacing w:after="0" w:line="240" w:lineRule="auto"/>
        <w:jc w:val="both"/>
        <w:rPr>
          <w:rFonts w:ascii="Arial" w:hAnsi="Arial" w:cs="Arial"/>
          <w:sz w:val="20"/>
          <w:szCs w:val="20"/>
        </w:rPr>
      </w:pPr>
    </w:p>
    <w:p w14:paraId="79390B9D"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2.- Se elabora resguardo individual para cada uno de los bienes propiedad del Instituto.</w:t>
      </w:r>
    </w:p>
    <w:p w14:paraId="1C7F6CFD" w14:textId="77777777" w:rsidR="000B0D49" w:rsidRPr="00356E3D" w:rsidRDefault="000B0D49" w:rsidP="000B0D49">
      <w:pPr>
        <w:spacing w:after="0" w:line="240" w:lineRule="auto"/>
        <w:jc w:val="both"/>
        <w:rPr>
          <w:rFonts w:ascii="Arial" w:hAnsi="Arial" w:cs="Arial"/>
          <w:sz w:val="20"/>
          <w:szCs w:val="20"/>
        </w:rPr>
      </w:pPr>
    </w:p>
    <w:p w14:paraId="5F84EF90"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3.- Para la adquisición y contratación de los bienes, materiales y servicios, se realizan con base en la normatividad y dependiendo de su naturaleza, nos apoyamos en las Secretarias de Finanzas y Administración, de Obra Pública y de algunos municipios.</w:t>
      </w:r>
    </w:p>
    <w:p w14:paraId="09E7565C" w14:textId="77777777" w:rsidR="000B0D49" w:rsidRPr="00356E3D" w:rsidRDefault="000B0D49" w:rsidP="000B0D49">
      <w:pPr>
        <w:spacing w:after="0" w:line="240" w:lineRule="auto"/>
        <w:jc w:val="both"/>
        <w:rPr>
          <w:rFonts w:ascii="Arial" w:hAnsi="Arial" w:cs="Arial"/>
          <w:sz w:val="20"/>
          <w:szCs w:val="20"/>
        </w:rPr>
      </w:pPr>
    </w:p>
    <w:p w14:paraId="0AE8C23F"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4.- La contratación del personal de base, la realizamos respetando el proceso que indica el Servicio Civil de Carrera. </w:t>
      </w:r>
    </w:p>
    <w:p w14:paraId="1E708E8E" w14:textId="77777777" w:rsidR="000B0D49" w:rsidRPr="00356E3D" w:rsidRDefault="000B0D49" w:rsidP="000B0D49">
      <w:pPr>
        <w:spacing w:after="0" w:line="240" w:lineRule="auto"/>
        <w:jc w:val="both"/>
        <w:rPr>
          <w:rFonts w:ascii="Arial" w:hAnsi="Arial" w:cs="Arial"/>
          <w:sz w:val="20"/>
          <w:szCs w:val="20"/>
        </w:rPr>
      </w:pPr>
    </w:p>
    <w:p w14:paraId="5F19A2BE"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b) Medidas de desempeño financiero, metas y alcance:</w:t>
      </w:r>
    </w:p>
    <w:p w14:paraId="758545F6" w14:textId="77777777" w:rsidR="000B0D49" w:rsidRPr="00356E3D" w:rsidRDefault="000B0D49" w:rsidP="00B07D35">
      <w:pPr>
        <w:spacing w:after="0" w:line="240" w:lineRule="auto"/>
        <w:jc w:val="center"/>
        <w:rPr>
          <w:rFonts w:ascii="Arial" w:hAnsi="Arial" w:cs="Arial"/>
          <w:sz w:val="20"/>
          <w:szCs w:val="20"/>
        </w:rPr>
      </w:pPr>
    </w:p>
    <w:p w14:paraId="14D9E0A3"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La actividad del Instituto es intensa todo el año, sin embargo durante los primeros meses las actividades que se realizan consumen menos presupuesto que en los últimos, como es el caso del Festival Internacional Cervantino, que se lleva a cabo en octubre. Además es necesario considerar que varios programas primero se convienen y luego se ejecutan.</w:t>
      </w:r>
      <w:r w:rsidRPr="00356E3D">
        <w:rPr>
          <w:rFonts w:ascii="Arial" w:hAnsi="Arial" w:cs="Arial"/>
          <w:sz w:val="20"/>
          <w:szCs w:val="20"/>
        </w:rPr>
        <w:tab/>
      </w:r>
    </w:p>
    <w:p w14:paraId="058B80D8" w14:textId="77777777" w:rsidR="000B0D49" w:rsidRPr="00356E3D" w:rsidRDefault="000B0D49" w:rsidP="000B0D49">
      <w:pPr>
        <w:spacing w:after="0" w:line="240" w:lineRule="auto"/>
        <w:jc w:val="both"/>
        <w:rPr>
          <w:rFonts w:ascii="Arial" w:hAnsi="Arial" w:cs="Arial"/>
          <w:b/>
          <w:sz w:val="20"/>
          <w:szCs w:val="20"/>
        </w:rPr>
      </w:pPr>
    </w:p>
    <w:p w14:paraId="53DA97B7" w14:textId="34B121D5" w:rsidR="000B0D49" w:rsidRPr="00356E3D" w:rsidRDefault="000B0D49" w:rsidP="000B0D49">
      <w:pPr>
        <w:spacing w:after="0" w:line="240" w:lineRule="auto"/>
        <w:jc w:val="both"/>
        <w:rPr>
          <w:rFonts w:ascii="Arial" w:hAnsi="Arial" w:cs="Arial"/>
          <w:sz w:val="20"/>
          <w:szCs w:val="20"/>
        </w:rPr>
      </w:pPr>
      <w:r w:rsidRPr="00356E3D">
        <w:rPr>
          <w:rFonts w:ascii="Arial" w:hAnsi="Arial" w:cs="Arial"/>
          <w:b/>
          <w:sz w:val="20"/>
          <w:szCs w:val="20"/>
        </w:rPr>
        <w:t>1</w:t>
      </w:r>
      <w:r w:rsidR="006414EF">
        <w:rPr>
          <w:rFonts w:ascii="Arial" w:hAnsi="Arial" w:cs="Arial"/>
          <w:b/>
          <w:sz w:val="20"/>
          <w:szCs w:val="20"/>
        </w:rPr>
        <w:t>3</w:t>
      </w:r>
      <w:r w:rsidRPr="00356E3D">
        <w:rPr>
          <w:rFonts w:ascii="Arial" w:hAnsi="Arial" w:cs="Arial"/>
          <w:b/>
          <w:sz w:val="20"/>
          <w:szCs w:val="20"/>
        </w:rPr>
        <w:t xml:space="preserve">. Información por Segmentos: </w:t>
      </w:r>
      <w:r w:rsidRPr="00356E3D">
        <w:rPr>
          <w:rFonts w:ascii="Arial" w:hAnsi="Arial" w:cs="Arial"/>
          <w:sz w:val="20"/>
          <w:szCs w:val="20"/>
        </w:rPr>
        <w:t>NO APLICA.</w:t>
      </w:r>
      <w:r w:rsidRPr="00356E3D">
        <w:rPr>
          <w:rFonts w:ascii="Arial" w:hAnsi="Arial" w:cs="Arial"/>
          <w:sz w:val="20"/>
          <w:szCs w:val="20"/>
        </w:rPr>
        <w:tab/>
      </w:r>
      <w:r w:rsidRPr="00356E3D">
        <w:rPr>
          <w:rFonts w:ascii="Arial" w:hAnsi="Arial" w:cs="Arial"/>
          <w:sz w:val="20"/>
          <w:szCs w:val="20"/>
        </w:rPr>
        <w:tab/>
      </w:r>
      <w:r w:rsidRPr="00356E3D">
        <w:rPr>
          <w:rFonts w:ascii="Arial" w:hAnsi="Arial" w:cs="Arial"/>
          <w:sz w:val="20"/>
          <w:szCs w:val="20"/>
        </w:rPr>
        <w:tab/>
      </w:r>
    </w:p>
    <w:p w14:paraId="03FB18A2" w14:textId="2D03438A" w:rsidR="000B0D49" w:rsidRPr="00356E3D" w:rsidRDefault="000B0D49" w:rsidP="000B0D49">
      <w:pPr>
        <w:spacing w:after="0" w:line="240" w:lineRule="auto"/>
        <w:jc w:val="both"/>
        <w:rPr>
          <w:rFonts w:ascii="Arial" w:hAnsi="Arial" w:cs="Arial"/>
          <w:b/>
          <w:sz w:val="20"/>
          <w:szCs w:val="20"/>
        </w:rPr>
      </w:pPr>
    </w:p>
    <w:p w14:paraId="52ECA776" w14:textId="77777777" w:rsidR="000B0D49" w:rsidRPr="00356E3D" w:rsidRDefault="006414EF" w:rsidP="000B0D49">
      <w:pPr>
        <w:spacing w:after="0" w:line="240" w:lineRule="auto"/>
        <w:jc w:val="both"/>
        <w:rPr>
          <w:rFonts w:ascii="Arial" w:hAnsi="Arial" w:cs="Arial"/>
          <w:sz w:val="20"/>
          <w:szCs w:val="20"/>
        </w:rPr>
      </w:pPr>
      <w:r>
        <w:rPr>
          <w:rFonts w:ascii="Arial" w:hAnsi="Arial" w:cs="Arial"/>
          <w:b/>
          <w:sz w:val="20"/>
          <w:szCs w:val="20"/>
        </w:rPr>
        <w:t>14</w:t>
      </w:r>
      <w:r w:rsidR="000B0D49" w:rsidRPr="00356E3D">
        <w:rPr>
          <w:rFonts w:ascii="Arial" w:hAnsi="Arial" w:cs="Arial"/>
          <w:b/>
          <w:sz w:val="20"/>
          <w:szCs w:val="20"/>
        </w:rPr>
        <w:t xml:space="preserve">. Eventos Posteriores al Cierre: </w:t>
      </w:r>
      <w:r w:rsidR="000B0D49" w:rsidRPr="00356E3D">
        <w:rPr>
          <w:rFonts w:ascii="Arial" w:hAnsi="Arial" w:cs="Arial"/>
          <w:sz w:val="20"/>
          <w:szCs w:val="20"/>
        </w:rPr>
        <w:t>NO APLICA</w:t>
      </w:r>
      <w:r w:rsidR="000B0D49" w:rsidRPr="00356E3D">
        <w:rPr>
          <w:rFonts w:ascii="Arial" w:hAnsi="Arial" w:cs="Arial"/>
          <w:sz w:val="20"/>
          <w:szCs w:val="20"/>
        </w:rPr>
        <w:tab/>
      </w:r>
      <w:r w:rsidR="000B0D49" w:rsidRPr="00356E3D">
        <w:rPr>
          <w:rFonts w:ascii="Arial" w:hAnsi="Arial" w:cs="Arial"/>
          <w:sz w:val="20"/>
          <w:szCs w:val="20"/>
        </w:rPr>
        <w:tab/>
      </w:r>
      <w:r w:rsidR="000B0D49" w:rsidRPr="00356E3D">
        <w:rPr>
          <w:rFonts w:ascii="Arial" w:hAnsi="Arial" w:cs="Arial"/>
          <w:sz w:val="20"/>
          <w:szCs w:val="20"/>
        </w:rPr>
        <w:tab/>
      </w:r>
      <w:r w:rsidR="000B0D49" w:rsidRPr="00356E3D">
        <w:rPr>
          <w:rFonts w:ascii="Arial" w:hAnsi="Arial" w:cs="Arial"/>
          <w:sz w:val="20"/>
          <w:szCs w:val="20"/>
        </w:rPr>
        <w:tab/>
      </w:r>
    </w:p>
    <w:p w14:paraId="5BE144F0" w14:textId="1648E7D1" w:rsidR="000B0D49" w:rsidRPr="00356E3D" w:rsidRDefault="000B0D49" w:rsidP="000B0D49">
      <w:pPr>
        <w:spacing w:after="0" w:line="240" w:lineRule="auto"/>
        <w:jc w:val="both"/>
        <w:rPr>
          <w:rFonts w:ascii="Arial" w:hAnsi="Arial" w:cs="Arial"/>
          <w:b/>
          <w:sz w:val="20"/>
          <w:szCs w:val="20"/>
        </w:rPr>
      </w:pPr>
    </w:p>
    <w:p w14:paraId="6C1E9AAE" w14:textId="452DECB6" w:rsidR="000B0D49" w:rsidRPr="00356E3D" w:rsidRDefault="006414EF" w:rsidP="000B0D49">
      <w:pPr>
        <w:spacing w:after="0" w:line="240" w:lineRule="auto"/>
        <w:jc w:val="both"/>
        <w:rPr>
          <w:rFonts w:ascii="Arial" w:hAnsi="Arial" w:cs="Arial"/>
          <w:sz w:val="20"/>
          <w:szCs w:val="20"/>
        </w:rPr>
      </w:pPr>
      <w:r>
        <w:rPr>
          <w:rFonts w:ascii="Arial" w:hAnsi="Arial" w:cs="Arial"/>
          <w:b/>
          <w:sz w:val="20"/>
          <w:szCs w:val="20"/>
        </w:rPr>
        <w:t>15</w:t>
      </w:r>
      <w:r w:rsidR="000B0D49" w:rsidRPr="00356E3D">
        <w:rPr>
          <w:rFonts w:ascii="Arial" w:hAnsi="Arial" w:cs="Arial"/>
          <w:b/>
          <w:sz w:val="20"/>
          <w:szCs w:val="20"/>
        </w:rPr>
        <w:t xml:space="preserve">. Partes Relacionadas: </w:t>
      </w:r>
      <w:r w:rsidR="000B0D49" w:rsidRPr="00356E3D">
        <w:rPr>
          <w:rFonts w:ascii="Arial" w:hAnsi="Arial" w:cs="Arial"/>
          <w:sz w:val="20"/>
          <w:szCs w:val="20"/>
        </w:rPr>
        <w:t>NO APLICA</w:t>
      </w:r>
      <w:r w:rsidR="000B0D49" w:rsidRPr="00356E3D">
        <w:rPr>
          <w:rFonts w:ascii="Arial" w:hAnsi="Arial" w:cs="Arial"/>
          <w:sz w:val="20"/>
          <w:szCs w:val="20"/>
        </w:rPr>
        <w:tab/>
      </w:r>
      <w:r w:rsidR="000B0D49" w:rsidRPr="00356E3D">
        <w:rPr>
          <w:rFonts w:ascii="Arial" w:hAnsi="Arial" w:cs="Arial"/>
          <w:sz w:val="20"/>
          <w:szCs w:val="20"/>
        </w:rPr>
        <w:tab/>
      </w:r>
      <w:r w:rsidR="000B0D49" w:rsidRPr="00356E3D">
        <w:rPr>
          <w:rFonts w:ascii="Arial" w:hAnsi="Arial" w:cs="Arial"/>
          <w:sz w:val="20"/>
          <w:szCs w:val="20"/>
        </w:rPr>
        <w:tab/>
      </w:r>
    </w:p>
    <w:p w14:paraId="6D20E9D6" w14:textId="7C1FD72E" w:rsidR="000B0D49" w:rsidRPr="00356E3D" w:rsidRDefault="000B0D49" w:rsidP="000B0D49">
      <w:pPr>
        <w:spacing w:after="0"/>
        <w:jc w:val="both"/>
        <w:rPr>
          <w:rFonts w:ascii="Arial" w:hAnsi="Arial" w:cs="Arial"/>
          <w:b/>
          <w:sz w:val="20"/>
          <w:szCs w:val="20"/>
        </w:rPr>
      </w:pPr>
    </w:p>
    <w:p w14:paraId="22B7B4D9" w14:textId="2522A047" w:rsidR="000B0D49" w:rsidRPr="00356E3D" w:rsidRDefault="000B0D49" w:rsidP="000B0D49">
      <w:pPr>
        <w:jc w:val="both"/>
        <w:rPr>
          <w:rFonts w:ascii="Arial" w:hAnsi="Arial" w:cs="Arial"/>
          <w:b/>
          <w:sz w:val="20"/>
          <w:szCs w:val="20"/>
        </w:rPr>
      </w:pPr>
      <w:r w:rsidRPr="00356E3D">
        <w:rPr>
          <w:rFonts w:ascii="Arial" w:hAnsi="Arial" w:cs="Arial"/>
          <w:b/>
          <w:sz w:val="20"/>
          <w:szCs w:val="20"/>
        </w:rPr>
        <w:t>1</w:t>
      </w:r>
      <w:r w:rsidR="006414EF">
        <w:rPr>
          <w:rFonts w:ascii="Arial" w:hAnsi="Arial" w:cs="Arial"/>
          <w:b/>
          <w:sz w:val="20"/>
          <w:szCs w:val="20"/>
        </w:rPr>
        <w:t>6</w:t>
      </w:r>
      <w:r w:rsidRPr="00356E3D">
        <w:rPr>
          <w:rFonts w:ascii="Arial" w:hAnsi="Arial" w:cs="Arial"/>
          <w:b/>
          <w:sz w:val="20"/>
          <w:szCs w:val="20"/>
        </w:rPr>
        <w:t>. Responsabilidad sobre la presentación razonable de los Estados Financieros:</w:t>
      </w:r>
      <w:r w:rsidRPr="00356E3D">
        <w:rPr>
          <w:rFonts w:ascii="Arial" w:hAnsi="Arial" w:cs="Arial"/>
          <w:b/>
          <w:sz w:val="20"/>
          <w:szCs w:val="20"/>
        </w:rPr>
        <w:tab/>
      </w:r>
    </w:p>
    <w:p w14:paraId="3533F2B3" w14:textId="3D47767E" w:rsidR="00BD6D92" w:rsidRPr="00054A99" w:rsidRDefault="00E257AA" w:rsidP="00054A99">
      <w:pPr>
        <w:jc w:val="both"/>
        <w:rPr>
          <w:rFonts w:ascii="Arial" w:hAnsi="Arial" w:cs="Arial"/>
          <w:i/>
          <w:iCs/>
          <w:sz w:val="20"/>
          <w:szCs w:val="20"/>
        </w:rPr>
      </w:pPr>
      <w:r>
        <w:rPr>
          <w:noProof/>
        </w:rPr>
        <mc:AlternateContent>
          <mc:Choice Requires="wps">
            <w:drawing>
              <wp:anchor distT="0" distB="0" distL="114300" distR="114300" simplePos="0" relativeHeight="251659264" behindDoc="0" locked="0" layoutInCell="1" allowOverlap="1" wp14:anchorId="06F3CFFB" wp14:editId="22A20932">
                <wp:simplePos x="0" y="0"/>
                <wp:positionH relativeFrom="column">
                  <wp:posOffset>765810</wp:posOffset>
                </wp:positionH>
                <wp:positionV relativeFrom="paragraph">
                  <wp:posOffset>543560</wp:posOffset>
                </wp:positionV>
                <wp:extent cx="4686300" cy="1104900"/>
                <wp:effectExtent l="0" t="0" r="0" b="0"/>
                <wp:wrapNone/>
                <wp:docPr id="2" name="CuadroTexto 1">
                  <a:extLst xmlns:a="http://schemas.openxmlformats.org/drawingml/2006/main">
                    <a:ext uri="{FF2B5EF4-FFF2-40B4-BE49-F238E27FC236}">
                      <a16:creationId xmlns:a16="http://schemas.microsoft.com/office/drawing/2014/main" id="{ADF82947-BCC8-4924-85BA-576DF813BCA0}"/>
                    </a:ext>
                  </a:extLst>
                </wp:docPr>
                <wp:cNvGraphicFramePr/>
                <a:graphic xmlns:a="http://schemas.openxmlformats.org/drawingml/2006/main">
                  <a:graphicData uri="http://schemas.microsoft.com/office/word/2010/wordprocessingShape">
                    <wps:wsp>
                      <wps:cNvSpPr txBox="1"/>
                      <wps:spPr>
                        <a:xfrm>
                          <a:off x="0" y="0"/>
                          <a:ext cx="4686300" cy="11049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827FE8" w14:textId="77777777" w:rsidR="00E257AA" w:rsidRDefault="00E257AA" w:rsidP="00E257AA">
                            <w:pPr>
                              <w:rPr>
                                <w:sz w:val="24"/>
                                <w:szCs w:val="24"/>
                              </w:rPr>
                            </w:pPr>
                            <w:r>
                              <w:rPr>
                                <w:rFonts w:eastAsia="Times New Roman" w:hAnsi="Calibri"/>
                                <w:color w:val="000000"/>
                              </w:rPr>
                              <w:t xml:space="preserve">______________________                _________________________             </w:t>
                            </w:r>
                          </w:p>
                          <w:p w14:paraId="0C71CADD" w14:textId="04C919FC" w:rsidR="00E257AA" w:rsidRDefault="00E257AA" w:rsidP="00E257AA">
                            <w:r>
                              <w:rPr>
                                <w:rFonts w:eastAsia="Times New Roman" w:hAnsi="Calibri"/>
                                <w:color w:val="000000"/>
                              </w:rPr>
                              <w:t xml:space="preserve">  Andrés Contreras Gasca                          </w:t>
                            </w:r>
                            <w:r w:rsidR="008465EA">
                              <w:rPr>
                                <w:rFonts w:eastAsia="Times New Roman" w:hAnsi="Calibri"/>
                                <w:color w:val="000000"/>
                              </w:rPr>
                              <w:t xml:space="preserve">Armando Estrada Sánchez </w:t>
                            </w:r>
                            <w:r>
                              <w:rPr>
                                <w:rFonts w:eastAsia="Times New Roman" w:hAnsi="Calibri"/>
                                <w:color w:val="000000"/>
                              </w:rPr>
                              <w:t xml:space="preserve">                          </w:t>
                            </w:r>
                          </w:p>
                          <w:p w14:paraId="04804320" w14:textId="6C00412D" w:rsidR="00E257AA" w:rsidRDefault="00E257AA" w:rsidP="00E257AA">
                            <w:r>
                              <w:rPr>
                                <w:rFonts w:eastAsia="Times New Roman" w:hAnsi="Calibri"/>
                                <w:color w:val="000000"/>
                              </w:rPr>
                              <w:t xml:space="preserve">         Liquidador                                         </w:t>
                            </w:r>
                            <w:r w:rsidR="008465EA">
                              <w:rPr>
                                <w:rFonts w:eastAsia="Times New Roman" w:hAnsi="Calibri"/>
                                <w:color w:val="000000"/>
                              </w:rPr>
                              <w:t xml:space="preserve">Director General de </w:t>
                            </w:r>
                            <w:r w:rsidR="009F6389">
                              <w:rPr>
                                <w:rFonts w:eastAsia="Times New Roman" w:hAnsi="Calibri"/>
                                <w:color w:val="000000"/>
                              </w:rPr>
                              <w:t>Administración</w:t>
                            </w:r>
                            <w:r>
                              <w:rPr>
                                <w:rFonts w:eastAsia="Times New Roman" w:hAnsi="Calibri"/>
                                <w:color w:val="000000"/>
                              </w:rPr>
                              <w:t xml:space="preserve">                             </w:t>
                            </w:r>
                          </w:p>
                          <w:p w14:paraId="479BD700" w14:textId="77777777" w:rsidR="00E257AA" w:rsidRDefault="00E257AA" w:rsidP="00E257AA">
                            <w:r>
                              <w:rPr>
                                <w:rFonts w:eastAsia="Times New Roman" w:hAnsi="Calibri"/>
                                <w:color w:val="000000"/>
                              </w:rPr>
                              <w:t xml:space="preserve">                                                                      Financieros y Materiales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6F3CFFB" id="_x0000_t202" coordsize="21600,21600" o:spt="202" path="m,l,21600r21600,l21600,xe">
                <v:stroke joinstyle="miter"/>
                <v:path gradientshapeok="t" o:connecttype="rect"/>
              </v:shapetype>
              <v:shape id="CuadroTexto 1" o:spid="_x0000_s1026" type="#_x0000_t202" style="position:absolute;left:0;text-align:left;margin-left:60.3pt;margin-top:42.8pt;width:36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" filled="f" stroked="f">
                <v:textbox>
                  <w:txbxContent>
                    <w:p w14:paraId="3F827FE8" w14:textId="77777777" w:rsidR="00E257AA" w:rsidRDefault="00E257AA" w:rsidP="00E257AA">
                      <w:pPr>
                        <w:rPr>
                          <w:sz w:val="24"/>
                          <w:szCs w:val="24"/>
                        </w:rPr>
                      </w:pPr>
                      <w:r>
                        <w:rPr>
                          <w:rFonts w:eastAsia="Times New Roman" w:hAnsi="Calibri"/>
                          <w:color w:val="000000"/>
                        </w:rPr>
                        <w:t xml:space="preserve">______________________                _________________________             </w:t>
                      </w:r>
                    </w:p>
                    <w:p w14:paraId="0C71CADD" w14:textId="04C919FC" w:rsidR="00E257AA" w:rsidRDefault="00E257AA" w:rsidP="00E257AA">
                      <w:r>
                        <w:rPr>
                          <w:rFonts w:eastAsia="Times New Roman" w:hAnsi="Calibri"/>
                          <w:color w:val="000000"/>
                        </w:rPr>
                        <w:t xml:space="preserve">  Andrés Contreras Gasca                          </w:t>
                      </w:r>
                      <w:r w:rsidR="008465EA">
                        <w:rPr>
                          <w:rFonts w:eastAsia="Times New Roman" w:hAnsi="Calibri"/>
                          <w:color w:val="000000"/>
                        </w:rPr>
                        <w:t xml:space="preserve">Armando Estrada Sánchez </w:t>
                      </w:r>
                      <w:r>
                        <w:rPr>
                          <w:rFonts w:eastAsia="Times New Roman" w:hAnsi="Calibri"/>
                          <w:color w:val="000000"/>
                        </w:rPr>
                        <w:t xml:space="preserve">                          </w:t>
                      </w:r>
                    </w:p>
                    <w:p w14:paraId="04804320" w14:textId="6C00412D" w:rsidR="00E257AA" w:rsidRDefault="00E257AA" w:rsidP="00E257AA">
                      <w:r>
                        <w:rPr>
                          <w:rFonts w:eastAsia="Times New Roman" w:hAnsi="Calibri"/>
                          <w:color w:val="000000"/>
                        </w:rPr>
                        <w:t xml:space="preserve">         Liquidador                                         </w:t>
                      </w:r>
                      <w:r w:rsidR="008465EA">
                        <w:rPr>
                          <w:rFonts w:eastAsia="Times New Roman" w:hAnsi="Calibri"/>
                          <w:color w:val="000000"/>
                        </w:rPr>
                        <w:t xml:space="preserve">Director General de </w:t>
                      </w:r>
                      <w:r w:rsidR="009F6389">
                        <w:rPr>
                          <w:rFonts w:eastAsia="Times New Roman" w:hAnsi="Calibri"/>
                          <w:color w:val="000000"/>
                        </w:rPr>
                        <w:t>Administración</w:t>
                      </w:r>
                      <w:r>
                        <w:rPr>
                          <w:rFonts w:eastAsia="Times New Roman" w:hAnsi="Calibri"/>
                          <w:color w:val="000000"/>
                        </w:rPr>
                        <w:t xml:space="preserve">                             </w:t>
                      </w:r>
                    </w:p>
                    <w:p w14:paraId="479BD700" w14:textId="77777777" w:rsidR="00E257AA" w:rsidRDefault="00E257AA" w:rsidP="00E257AA">
                      <w:r>
                        <w:rPr>
                          <w:rFonts w:eastAsia="Times New Roman" w:hAnsi="Calibri"/>
                          <w:color w:val="000000"/>
                        </w:rPr>
                        <w:t xml:space="preserve">                                                                      Financieros y Materiales</w:t>
                      </w:r>
                    </w:p>
                  </w:txbxContent>
                </v:textbox>
              </v:shape>
            </w:pict>
          </mc:Fallback>
        </mc:AlternateContent>
      </w:r>
      <w:r w:rsidR="000B0D49" w:rsidRPr="00356E3D">
        <w:rPr>
          <w:rFonts w:ascii="Arial" w:hAnsi="Arial" w:cs="Arial"/>
          <w:sz w:val="20"/>
          <w:szCs w:val="20"/>
        </w:rPr>
        <w:t xml:space="preserve">“Bajo protesta de decir verdad declaramos que los Estados Financieros y sus notas, son razonablemente correctos y son responsabilidad del Instituto Estatal de la Cultura”. Y </w:t>
      </w:r>
      <w:r w:rsidR="000B0D49" w:rsidRPr="00356E3D">
        <w:rPr>
          <w:rFonts w:ascii="Arial" w:hAnsi="Arial" w:cs="Arial"/>
          <w:i/>
          <w:iCs/>
          <w:sz w:val="20"/>
          <w:szCs w:val="20"/>
        </w:rPr>
        <w:t>Estas notas son parte integral de los Estados Financieros que se acompañan.</w:t>
      </w:r>
      <w:bookmarkEnd w:id="0"/>
      <w:r w:rsidR="000B0D49" w:rsidRPr="00356E3D">
        <w:rPr>
          <w:rFonts w:ascii="Arial" w:hAnsi="Arial" w:cs="Arial"/>
          <w:b/>
          <w:sz w:val="20"/>
          <w:szCs w:val="20"/>
        </w:rPr>
        <w:tab/>
      </w:r>
    </w:p>
    <w:sectPr w:rsidR="00BD6D92" w:rsidRPr="00054A99" w:rsidSect="004F4796">
      <w:footerReference w:type="default" r:id="rId8"/>
      <w:pgSz w:w="12240" w:h="15840" w:code="1"/>
      <w:pgMar w:top="153" w:right="249" w:bottom="153" w:left="24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8C08" w14:textId="77777777" w:rsidR="00C11D94" w:rsidRDefault="00C11D94" w:rsidP="00963D37">
      <w:pPr>
        <w:spacing w:after="0" w:line="240" w:lineRule="auto"/>
      </w:pPr>
      <w:r>
        <w:separator/>
      </w:r>
    </w:p>
  </w:endnote>
  <w:endnote w:type="continuationSeparator" w:id="0">
    <w:p w14:paraId="195B7078" w14:textId="77777777" w:rsidR="00C11D94" w:rsidRDefault="00C11D94" w:rsidP="0096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Arial Unicode MS"/>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2505"/>
      <w:docPartObj>
        <w:docPartGallery w:val="Page Numbers (Bottom of Page)"/>
        <w:docPartUnique/>
      </w:docPartObj>
    </w:sdtPr>
    <w:sdtContent>
      <w:p w14:paraId="064E9547" w14:textId="4E84C633" w:rsidR="00026D24" w:rsidRDefault="00026D24">
        <w:pPr>
          <w:pStyle w:val="Piedepgina"/>
          <w:jc w:val="right"/>
        </w:pPr>
        <w:r>
          <w:fldChar w:fldCharType="begin"/>
        </w:r>
        <w:r>
          <w:instrText>PAGE   \* MERGEFORMAT</w:instrText>
        </w:r>
        <w:r>
          <w:fldChar w:fldCharType="separate"/>
        </w:r>
        <w:r w:rsidR="004F4796" w:rsidRPr="004F4796">
          <w:rPr>
            <w:noProof/>
            <w:lang w:val="es-ES"/>
          </w:rPr>
          <w:t>3</w:t>
        </w:r>
        <w:r>
          <w:fldChar w:fldCharType="end"/>
        </w:r>
      </w:p>
    </w:sdtContent>
  </w:sdt>
  <w:p w14:paraId="0FC18383" w14:textId="77777777" w:rsidR="00963D37" w:rsidRPr="00963D37" w:rsidRDefault="00963D37" w:rsidP="00963D37">
    <w:pPr>
      <w:pStyle w:val="Piedepgin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B7F7" w14:textId="77777777" w:rsidR="00C11D94" w:rsidRDefault="00C11D94" w:rsidP="00963D37">
      <w:pPr>
        <w:spacing w:after="0" w:line="240" w:lineRule="auto"/>
      </w:pPr>
      <w:r>
        <w:separator/>
      </w:r>
    </w:p>
  </w:footnote>
  <w:footnote w:type="continuationSeparator" w:id="0">
    <w:p w14:paraId="29261BE6" w14:textId="77777777" w:rsidR="00C11D94" w:rsidRDefault="00C11D94" w:rsidP="00963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778"/>
    <w:multiLevelType w:val="hybridMultilevel"/>
    <w:tmpl w:val="01EC34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5745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49"/>
    <w:rsid w:val="00004539"/>
    <w:rsid w:val="000076D4"/>
    <w:rsid w:val="00011A54"/>
    <w:rsid w:val="00016A83"/>
    <w:rsid w:val="00021602"/>
    <w:rsid w:val="00026D24"/>
    <w:rsid w:val="00041046"/>
    <w:rsid w:val="0004567B"/>
    <w:rsid w:val="00054A99"/>
    <w:rsid w:val="0005709C"/>
    <w:rsid w:val="000601DD"/>
    <w:rsid w:val="000614D5"/>
    <w:rsid w:val="00063610"/>
    <w:rsid w:val="00064D0C"/>
    <w:rsid w:val="00065766"/>
    <w:rsid w:val="000664AB"/>
    <w:rsid w:val="00082AD7"/>
    <w:rsid w:val="00086BA0"/>
    <w:rsid w:val="00093C95"/>
    <w:rsid w:val="0009454F"/>
    <w:rsid w:val="0009697A"/>
    <w:rsid w:val="00097D13"/>
    <w:rsid w:val="000A00A3"/>
    <w:rsid w:val="000A0AF9"/>
    <w:rsid w:val="000A0EE1"/>
    <w:rsid w:val="000B0D49"/>
    <w:rsid w:val="000B6487"/>
    <w:rsid w:val="000C0AB9"/>
    <w:rsid w:val="000C2909"/>
    <w:rsid w:val="000C4BE3"/>
    <w:rsid w:val="000D5495"/>
    <w:rsid w:val="000E40E4"/>
    <w:rsid w:val="000F678F"/>
    <w:rsid w:val="001025FE"/>
    <w:rsid w:val="00107B00"/>
    <w:rsid w:val="00111585"/>
    <w:rsid w:val="00114DF5"/>
    <w:rsid w:val="00125703"/>
    <w:rsid w:val="001316E9"/>
    <w:rsid w:val="00133074"/>
    <w:rsid w:val="00135FF2"/>
    <w:rsid w:val="0014176A"/>
    <w:rsid w:val="00142ABF"/>
    <w:rsid w:val="00142C89"/>
    <w:rsid w:val="00145079"/>
    <w:rsid w:val="00145B31"/>
    <w:rsid w:val="00147EBE"/>
    <w:rsid w:val="00151452"/>
    <w:rsid w:val="001539F3"/>
    <w:rsid w:val="0016138E"/>
    <w:rsid w:val="00163766"/>
    <w:rsid w:val="00165A9E"/>
    <w:rsid w:val="0016753F"/>
    <w:rsid w:val="00167E21"/>
    <w:rsid w:val="001708AC"/>
    <w:rsid w:val="001747EE"/>
    <w:rsid w:val="00177B43"/>
    <w:rsid w:val="0019232C"/>
    <w:rsid w:val="00193183"/>
    <w:rsid w:val="001A26DD"/>
    <w:rsid w:val="001A3022"/>
    <w:rsid w:val="001B2148"/>
    <w:rsid w:val="001B26DD"/>
    <w:rsid w:val="001B34C7"/>
    <w:rsid w:val="001B5B9C"/>
    <w:rsid w:val="001B6866"/>
    <w:rsid w:val="001B73BE"/>
    <w:rsid w:val="001C1B1F"/>
    <w:rsid w:val="001C5123"/>
    <w:rsid w:val="001D2E02"/>
    <w:rsid w:val="001D38D5"/>
    <w:rsid w:val="001F57A9"/>
    <w:rsid w:val="001F5AB8"/>
    <w:rsid w:val="001F7F73"/>
    <w:rsid w:val="00204A5F"/>
    <w:rsid w:val="0020767D"/>
    <w:rsid w:val="00217260"/>
    <w:rsid w:val="00217EBF"/>
    <w:rsid w:val="00221316"/>
    <w:rsid w:val="00242C6E"/>
    <w:rsid w:val="002445F8"/>
    <w:rsid w:val="00250AFA"/>
    <w:rsid w:val="00254E29"/>
    <w:rsid w:val="00260501"/>
    <w:rsid w:val="00262703"/>
    <w:rsid w:val="002647E5"/>
    <w:rsid w:val="0027492C"/>
    <w:rsid w:val="0028108F"/>
    <w:rsid w:val="00285CA7"/>
    <w:rsid w:val="002939EF"/>
    <w:rsid w:val="002963DF"/>
    <w:rsid w:val="002A7202"/>
    <w:rsid w:val="002B0961"/>
    <w:rsid w:val="002B14CE"/>
    <w:rsid w:val="002C0C9D"/>
    <w:rsid w:val="002C5197"/>
    <w:rsid w:val="002C7C6A"/>
    <w:rsid w:val="002D2D60"/>
    <w:rsid w:val="002D368A"/>
    <w:rsid w:val="002D6C0F"/>
    <w:rsid w:val="002F0306"/>
    <w:rsid w:val="002F0FA8"/>
    <w:rsid w:val="002F6ED3"/>
    <w:rsid w:val="00303E97"/>
    <w:rsid w:val="003157C9"/>
    <w:rsid w:val="00317323"/>
    <w:rsid w:val="00322A07"/>
    <w:rsid w:val="003236B0"/>
    <w:rsid w:val="003321AD"/>
    <w:rsid w:val="00332D3E"/>
    <w:rsid w:val="003477E4"/>
    <w:rsid w:val="003522DC"/>
    <w:rsid w:val="00356E3D"/>
    <w:rsid w:val="003638A4"/>
    <w:rsid w:val="00365E2B"/>
    <w:rsid w:val="003713AB"/>
    <w:rsid w:val="003732FA"/>
    <w:rsid w:val="0037630E"/>
    <w:rsid w:val="0038469D"/>
    <w:rsid w:val="00384B40"/>
    <w:rsid w:val="00385E5F"/>
    <w:rsid w:val="00385FDB"/>
    <w:rsid w:val="00387CAB"/>
    <w:rsid w:val="00390FC4"/>
    <w:rsid w:val="003911F0"/>
    <w:rsid w:val="003918DA"/>
    <w:rsid w:val="003924B0"/>
    <w:rsid w:val="00393DBD"/>
    <w:rsid w:val="003965E2"/>
    <w:rsid w:val="003A34F8"/>
    <w:rsid w:val="003A5673"/>
    <w:rsid w:val="003B343A"/>
    <w:rsid w:val="003C1AA6"/>
    <w:rsid w:val="003C2D6B"/>
    <w:rsid w:val="003C5395"/>
    <w:rsid w:val="003C5AD1"/>
    <w:rsid w:val="003D0141"/>
    <w:rsid w:val="003D73E9"/>
    <w:rsid w:val="003E0740"/>
    <w:rsid w:val="003E1E50"/>
    <w:rsid w:val="003E354E"/>
    <w:rsid w:val="003E79E8"/>
    <w:rsid w:val="00403EDE"/>
    <w:rsid w:val="00411A74"/>
    <w:rsid w:val="004135A0"/>
    <w:rsid w:val="00415CF5"/>
    <w:rsid w:val="00423841"/>
    <w:rsid w:val="00424F35"/>
    <w:rsid w:val="00426618"/>
    <w:rsid w:val="00427AB0"/>
    <w:rsid w:val="00430AC9"/>
    <w:rsid w:val="00431724"/>
    <w:rsid w:val="00431D86"/>
    <w:rsid w:val="00433E9E"/>
    <w:rsid w:val="00433EC5"/>
    <w:rsid w:val="004343FC"/>
    <w:rsid w:val="00434BFA"/>
    <w:rsid w:val="0043512E"/>
    <w:rsid w:val="00441DEC"/>
    <w:rsid w:val="00445300"/>
    <w:rsid w:val="00451BDC"/>
    <w:rsid w:val="00453523"/>
    <w:rsid w:val="00453DEE"/>
    <w:rsid w:val="004731D7"/>
    <w:rsid w:val="00485B73"/>
    <w:rsid w:val="00487974"/>
    <w:rsid w:val="00487A87"/>
    <w:rsid w:val="004946CD"/>
    <w:rsid w:val="00494B7F"/>
    <w:rsid w:val="004A0418"/>
    <w:rsid w:val="004A6F86"/>
    <w:rsid w:val="004B1639"/>
    <w:rsid w:val="004B1E7F"/>
    <w:rsid w:val="004B37A5"/>
    <w:rsid w:val="004B45F1"/>
    <w:rsid w:val="004B4F5A"/>
    <w:rsid w:val="004B7A68"/>
    <w:rsid w:val="004C1D56"/>
    <w:rsid w:val="004D2F0A"/>
    <w:rsid w:val="004D4E76"/>
    <w:rsid w:val="004D57B6"/>
    <w:rsid w:val="004E20BB"/>
    <w:rsid w:val="004E545F"/>
    <w:rsid w:val="004F4796"/>
    <w:rsid w:val="00501102"/>
    <w:rsid w:val="00512547"/>
    <w:rsid w:val="00515806"/>
    <w:rsid w:val="00525D1C"/>
    <w:rsid w:val="00526CC3"/>
    <w:rsid w:val="00527A22"/>
    <w:rsid w:val="00527BF5"/>
    <w:rsid w:val="00533D7F"/>
    <w:rsid w:val="00535BCF"/>
    <w:rsid w:val="00536CB1"/>
    <w:rsid w:val="0055461A"/>
    <w:rsid w:val="00554DC6"/>
    <w:rsid w:val="00560531"/>
    <w:rsid w:val="00561F2D"/>
    <w:rsid w:val="00562D18"/>
    <w:rsid w:val="005662B3"/>
    <w:rsid w:val="00567503"/>
    <w:rsid w:val="00574FBC"/>
    <w:rsid w:val="00575662"/>
    <w:rsid w:val="00576943"/>
    <w:rsid w:val="00576F19"/>
    <w:rsid w:val="0057771D"/>
    <w:rsid w:val="005815E7"/>
    <w:rsid w:val="005822C5"/>
    <w:rsid w:val="00591534"/>
    <w:rsid w:val="005934A4"/>
    <w:rsid w:val="00597D23"/>
    <w:rsid w:val="005A0ED8"/>
    <w:rsid w:val="005A4244"/>
    <w:rsid w:val="005B1917"/>
    <w:rsid w:val="005B1F52"/>
    <w:rsid w:val="005C1897"/>
    <w:rsid w:val="005C5DBB"/>
    <w:rsid w:val="005D15C3"/>
    <w:rsid w:val="005D5720"/>
    <w:rsid w:val="005D77CA"/>
    <w:rsid w:val="005E0182"/>
    <w:rsid w:val="005E4AA3"/>
    <w:rsid w:val="005E4DFA"/>
    <w:rsid w:val="005F295D"/>
    <w:rsid w:val="005F3DDF"/>
    <w:rsid w:val="005F761E"/>
    <w:rsid w:val="00601B47"/>
    <w:rsid w:val="00632616"/>
    <w:rsid w:val="006405E2"/>
    <w:rsid w:val="006414EF"/>
    <w:rsid w:val="006462F1"/>
    <w:rsid w:val="006507CC"/>
    <w:rsid w:val="006645A4"/>
    <w:rsid w:val="00664E86"/>
    <w:rsid w:val="00670418"/>
    <w:rsid w:val="00673224"/>
    <w:rsid w:val="006759E3"/>
    <w:rsid w:val="00680919"/>
    <w:rsid w:val="00680E4C"/>
    <w:rsid w:val="006818B6"/>
    <w:rsid w:val="00695C2B"/>
    <w:rsid w:val="006C2549"/>
    <w:rsid w:val="006D19BE"/>
    <w:rsid w:val="006D25AB"/>
    <w:rsid w:val="006D6DEA"/>
    <w:rsid w:val="006E63D3"/>
    <w:rsid w:val="006E78EE"/>
    <w:rsid w:val="00710615"/>
    <w:rsid w:val="00710B83"/>
    <w:rsid w:val="00710F10"/>
    <w:rsid w:val="007231FE"/>
    <w:rsid w:val="007232F8"/>
    <w:rsid w:val="0072481D"/>
    <w:rsid w:val="00724DE2"/>
    <w:rsid w:val="00736668"/>
    <w:rsid w:val="007440E1"/>
    <w:rsid w:val="00746231"/>
    <w:rsid w:val="00747286"/>
    <w:rsid w:val="00750DAE"/>
    <w:rsid w:val="00754701"/>
    <w:rsid w:val="00754827"/>
    <w:rsid w:val="00754D4C"/>
    <w:rsid w:val="00763D5C"/>
    <w:rsid w:val="0077142B"/>
    <w:rsid w:val="00774D31"/>
    <w:rsid w:val="00775FB1"/>
    <w:rsid w:val="00781360"/>
    <w:rsid w:val="007828C3"/>
    <w:rsid w:val="00786B48"/>
    <w:rsid w:val="007906BC"/>
    <w:rsid w:val="007A29D9"/>
    <w:rsid w:val="007A5081"/>
    <w:rsid w:val="007A645A"/>
    <w:rsid w:val="007A718E"/>
    <w:rsid w:val="007B0164"/>
    <w:rsid w:val="007B42CD"/>
    <w:rsid w:val="007B60E9"/>
    <w:rsid w:val="007B6ACD"/>
    <w:rsid w:val="007C31D9"/>
    <w:rsid w:val="007C3621"/>
    <w:rsid w:val="007C389D"/>
    <w:rsid w:val="007C4446"/>
    <w:rsid w:val="007D0093"/>
    <w:rsid w:val="007E154C"/>
    <w:rsid w:val="007F1AF2"/>
    <w:rsid w:val="00803C39"/>
    <w:rsid w:val="00804A5D"/>
    <w:rsid w:val="008139DA"/>
    <w:rsid w:val="00814864"/>
    <w:rsid w:val="00824CA1"/>
    <w:rsid w:val="008312FF"/>
    <w:rsid w:val="008323FA"/>
    <w:rsid w:val="00834984"/>
    <w:rsid w:val="00836CA1"/>
    <w:rsid w:val="008465EA"/>
    <w:rsid w:val="00850A35"/>
    <w:rsid w:val="008517BF"/>
    <w:rsid w:val="00855489"/>
    <w:rsid w:val="00864692"/>
    <w:rsid w:val="00871088"/>
    <w:rsid w:val="00872EEE"/>
    <w:rsid w:val="008803B6"/>
    <w:rsid w:val="00880850"/>
    <w:rsid w:val="00883D99"/>
    <w:rsid w:val="00886FA4"/>
    <w:rsid w:val="00886FBF"/>
    <w:rsid w:val="008876DA"/>
    <w:rsid w:val="00890F92"/>
    <w:rsid w:val="0089512A"/>
    <w:rsid w:val="0089661D"/>
    <w:rsid w:val="008A1DED"/>
    <w:rsid w:val="008B0D95"/>
    <w:rsid w:val="008B3491"/>
    <w:rsid w:val="008C1591"/>
    <w:rsid w:val="008C17DA"/>
    <w:rsid w:val="008C5CFB"/>
    <w:rsid w:val="008D061A"/>
    <w:rsid w:val="008D0A2A"/>
    <w:rsid w:val="008D36FF"/>
    <w:rsid w:val="008D723D"/>
    <w:rsid w:val="008E2688"/>
    <w:rsid w:val="008E5FC3"/>
    <w:rsid w:val="008E7CC0"/>
    <w:rsid w:val="008F4C8A"/>
    <w:rsid w:val="0090022D"/>
    <w:rsid w:val="009043DB"/>
    <w:rsid w:val="009057D1"/>
    <w:rsid w:val="00907DD7"/>
    <w:rsid w:val="00910099"/>
    <w:rsid w:val="00914A76"/>
    <w:rsid w:val="009166FA"/>
    <w:rsid w:val="009167FF"/>
    <w:rsid w:val="009206BA"/>
    <w:rsid w:val="00920AB3"/>
    <w:rsid w:val="00921425"/>
    <w:rsid w:val="00921D0C"/>
    <w:rsid w:val="0093707B"/>
    <w:rsid w:val="00937B34"/>
    <w:rsid w:val="00940E6A"/>
    <w:rsid w:val="009429C6"/>
    <w:rsid w:val="009434D5"/>
    <w:rsid w:val="009437ED"/>
    <w:rsid w:val="009453AC"/>
    <w:rsid w:val="00952900"/>
    <w:rsid w:val="00957C6B"/>
    <w:rsid w:val="00960EA4"/>
    <w:rsid w:val="00963D37"/>
    <w:rsid w:val="00967C5E"/>
    <w:rsid w:val="00970E5D"/>
    <w:rsid w:val="0097293D"/>
    <w:rsid w:val="00972979"/>
    <w:rsid w:val="009743C6"/>
    <w:rsid w:val="00975EDB"/>
    <w:rsid w:val="009764BC"/>
    <w:rsid w:val="00985121"/>
    <w:rsid w:val="009944DB"/>
    <w:rsid w:val="009949C8"/>
    <w:rsid w:val="009A0EBD"/>
    <w:rsid w:val="009A615E"/>
    <w:rsid w:val="009A7DC8"/>
    <w:rsid w:val="009B1306"/>
    <w:rsid w:val="009B1FAA"/>
    <w:rsid w:val="009B5E71"/>
    <w:rsid w:val="009B5F1A"/>
    <w:rsid w:val="009D44BD"/>
    <w:rsid w:val="009E2DB9"/>
    <w:rsid w:val="009E5E82"/>
    <w:rsid w:val="009F5872"/>
    <w:rsid w:val="009F6389"/>
    <w:rsid w:val="009F766B"/>
    <w:rsid w:val="00A00CF7"/>
    <w:rsid w:val="00A06227"/>
    <w:rsid w:val="00A23FF3"/>
    <w:rsid w:val="00A26D3F"/>
    <w:rsid w:val="00A33A95"/>
    <w:rsid w:val="00A34533"/>
    <w:rsid w:val="00A4193C"/>
    <w:rsid w:val="00A511AE"/>
    <w:rsid w:val="00A53786"/>
    <w:rsid w:val="00A56585"/>
    <w:rsid w:val="00A65E4B"/>
    <w:rsid w:val="00A7091F"/>
    <w:rsid w:val="00A70E13"/>
    <w:rsid w:val="00A770FE"/>
    <w:rsid w:val="00A776FD"/>
    <w:rsid w:val="00A856C8"/>
    <w:rsid w:val="00A87184"/>
    <w:rsid w:val="00A94EE1"/>
    <w:rsid w:val="00A96061"/>
    <w:rsid w:val="00AA1505"/>
    <w:rsid w:val="00AA341E"/>
    <w:rsid w:val="00AA38A4"/>
    <w:rsid w:val="00AB7D50"/>
    <w:rsid w:val="00AD11D4"/>
    <w:rsid w:val="00AD336B"/>
    <w:rsid w:val="00AD6CC7"/>
    <w:rsid w:val="00AE11D6"/>
    <w:rsid w:val="00AE262F"/>
    <w:rsid w:val="00AE5A16"/>
    <w:rsid w:val="00AF3F96"/>
    <w:rsid w:val="00B00144"/>
    <w:rsid w:val="00B01A37"/>
    <w:rsid w:val="00B01B40"/>
    <w:rsid w:val="00B03C2D"/>
    <w:rsid w:val="00B07D35"/>
    <w:rsid w:val="00B1037F"/>
    <w:rsid w:val="00B11CE1"/>
    <w:rsid w:val="00B20E04"/>
    <w:rsid w:val="00B23AE1"/>
    <w:rsid w:val="00B3059F"/>
    <w:rsid w:val="00B369D8"/>
    <w:rsid w:val="00B55068"/>
    <w:rsid w:val="00B61FC5"/>
    <w:rsid w:val="00B62AB4"/>
    <w:rsid w:val="00B66685"/>
    <w:rsid w:val="00B7112D"/>
    <w:rsid w:val="00B7336B"/>
    <w:rsid w:val="00B76C88"/>
    <w:rsid w:val="00B82F53"/>
    <w:rsid w:val="00B839BF"/>
    <w:rsid w:val="00B91791"/>
    <w:rsid w:val="00B91C08"/>
    <w:rsid w:val="00B931D1"/>
    <w:rsid w:val="00B95FE5"/>
    <w:rsid w:val="00BA083C"/>
    <w:rsid w:val="00BA7606"/>
    <w:rsid w:val="00BA7B69"/>
    <w:rsid w:val="00BB26BB"/>
    <w:rsid w:val="00BB4062"/>
    <w:rsid w:val="00BC0830"/>
    <w:rsid w:val="00BC114C"/>
    <w:rsid w:val="00BC1B85"/>
    <w:rsid w:val="00BC3211"/>
    <w:rsid w:val="00BC3F0A"/>
    <w:rsid w:val="00BD256E"/>
    <w:rsid w:val="00BD36D8"/>
    <w:rsid w:val="00BD6D92"/>
    <w:rsid w:val="00BE3E62"/>
    <w:rsid w:val="00BF5EDB"/>
    <w:rsid w:val="00C00B8C"/>
    <w:rsid w:val="00C00BD2"/>
    <w:rsid w:val="00C01B2C"/>
    <w:rsid w:val="00C05F87"/>
    <w:rsid w:val="00C079E3"/>
    <w:rsid w:val="00C11891"/>
    <w:rsid w:val="00C11D54"/>
    <w:rsid w:val="00C11D94"/>
    <w:rsid w:val="00C15DA3"/>
    <w:rsid w:val="00C165EF"/>
    <w:rsid w:val="00C17A91"/>
    <w:rsid w:val="00C17EEC"/>
    <w:rsid w:val="00C24A54"/>
    <w:rsid w:val="00C25B2E"/>
    <w:rsid w:val="00C30D1E"/>
    <w:rsid w:val="00C33054"/>
    <w:rsid w:val="00C3539D"/>
    <w:rsid w:val="00C356D2"/>
    <w:rsid w:val="00C359B6"/>
    <w:rsid w:val="00C35E9B"/>
    <w:rsid w:val="00C50AD0"/>
    <w:rsid w:val="00C53582"/>
    <w:rsid w:val="00C543E3"/>
    <w:rsid w:val="00C54D56"/>
    <w:rsid w:val="00C56E5F"/>
    <w:rsid w:val="00C62505"/>
    <w:rsid w:val="00C64E7E"/>
    <w:rsid w:val="00C6647B"/>
    <w:rsid w:val="00C72075"/>
    <w:rsid w:val="00C75B19"/>
    <w:rsid w:val="00C75CD0"/>
    <w:rsid w:val="00C836CF"/>
    <w:rsid w:val="00C85750"/>
    <w:rsid w:val="00C86FB8"/>
    <w:rsid w:val="00C953D8"/>
    <w:rsid w:val="00C963CD"/>
    <w:rsid w:val="00CB380B"/>
    <w:rsid w:val="00CB523E"/>
    <w:rsid w:val="00CC177A"/>
    <w:rsid w:val="00CC18FA"/>
    <w:rsid w:val="00CC1E59"/>
    <w:rsid w:val="00CC2FA1"/>
    <w:rsid w:val="00CC3EFF"/>
    <w:rsid w:val="00CC74C2"/>
    <w:rsid w:val="00CD6CA8"/>
    <w:rsid w:val="00CE01F3"/>
    <w:rsid w:val="00CF23F9"/>
    <w:rsid w:val="00D033D4"/>
    <w:rsid w:val="00D04829"/>
    <w:rsid w:val="00D054DC"/>
    <w:rsid w:val="00D0798F"/>
    <w:rsid w:val="00D14C78"/>
    <w:rsid w:val="00D167B5"/>
    <w:rsid w:val="00D17EC6"/>
    <w:rsid w:val="00D26369"/>
    <w:rsid w:val="00D26E37"/>
    <w:rsid w:val="00D42C75"/>
    <w:rsid w:val="00D454CE"/>
    <w:rsid w:val="00D4626B"/>
    <w:rsid w:val="00D462CC"/>
    <w:rsid w:val="00D52DE1"/>
    <w:rsid w:val="00D63ED1"/>
    <w:rsid w:val="00D673D6"/>
    <w:rsid w:val="00D71F04"/>
    <w:rsid w:val="00D73F34"/>
    <w:rsid w:val="00D81B3A"/>
    <w:rsid w:val="00D83EA1"/>
    <w:rsid w:val="00D90C5D"/>
    <w:rsid w:val="00D92F95"/>
    <w:rsid w:val="00D940C8"/>
    <w:rsid w:val="00D96EA0"/>
    <w:rsid w:val="00DA1B0F"/>
    <w:rsid w:val="00DA1FC8"/>
    <w:rsid w:val="00DA43F5"/>
    <w:rsid w:val="00DB5428"/>
    <w:rsid w:val="00DC15FC"/>
    <w:rsid w:val="00DC6E83"/>
    <w:rsid w:val="00DD73E2"/>
    <w:rsid w:val="00DE028E"/>
    <w:rsid w:val="00DF2E48"/>
    <w:rsid w:val="00E05C9A"/>
    <w:rsid w:val="00E13A5D"/>
    <w:rsid w:val="00E14479"/>
    <w:rsid w:val="00E20B6F"/>
    <w:rsid w:val="00E243EE"/>
    <w:rsid w:val="00E257AA"/>
    <w:rsid w:val="00E31284"/>
    <w:rsid w:val="00E31C0A"/>
    <w:rsid w:val="00E32CE0"/>
    <w:rsid w:val="00E4134A"/>
    <w:rsid w:val="00E41460"/>
    <w:rsid w:val="00E45B3B"/>
    <w:rsid w:val="00E46B0A"/>
    <w:rsid w:val="00E55381"/>
    <w:rsid w:val="00E6119C"/>
    <w:rsid w:val="00E67043"/>
    <w:rsid w:val="00E76C04"/>
    <w:rsid w:val="00E82C3D"/>
    <w:rsid w:val="00EA046B"/>
    <w:rsid w:val="00EA37A5"/>
    <w:rsid w:val="00EA66C1"/>
    <w:rsid w:val="00EA76C6"/>
    <w:rsid w:val="00EB198E"/>
    <w:rsid w:val="00EB32DB"/>
    <w:rsid w:val="00EB580C"/>
    <w:rsid w:val="00EB6E0C"/>
    <w:rsid w:val="00EC4812"/>
    <w:rsid w:val="00EC4A3C"/>
    <w:rsid w:val="00EC7BE4"/>
    <w:rsid w:val="00ED07D1"/>
    <w:rsid w:val="00ED23D9"/>
    <w:rsid w:val="00ED375E"/>
    <w:rsid w:val="00ED481E"/>
    <w:rsid w:val="00ED5125"/>
    <w:rsid w:val="00EE20AF"/>
    <w:rsid w:val="00EE3159"/>
    <w:rsid w:val="00EE441D"/>
    <w:rsid w:val="00EF3FED"/>
    <w:rsid w:val="00F019FA"/>
    <w:rsid w:val="00F0244F"/>
    <w:rsid w:val="00F0574C"/>
    <w:rsid w:val="00F101F1"/>
    <w:rsid w:val="00F12A05"/>
    <w:rsid w:val="00F16D2A"/>
    <w:rsid w:val="00F232F2"/>
    <w:rsid w:val="00F24BDF"/>
    <w:rsid w:val="00F3006B"/>
    <w:rsid w:val="00F30C25"/>
    <w:rsid w:val="00F32953"/>
    <w:rsid w:val="00F35ED1"/>
    <w:rsid w:val="00F366C0"/>
    <w:rsid w:val="00F436C8"/>
    <w:rsid w:val="00F437BC"/>
    <w:rsid w:val="00F45538"/>
    <w:rsid w:val="00F644E9"/>
    <w:rsid w:val="00F70287"/>
    <w:rsid w:val="00F74E4F"/>
    <w:rsid w:val="00F82D48"/>
    <w:rsid w:val="00F9064E"/>
    <w:rsid w:val="00F90B3D"/>
    <w:rsid w:val="00F958BA"/>
    <w:rsid w:val="00FA17A9"/>
    <w:rsid w:val="00FA4BA7"/>
    <w:rsid w:val="00FA6D34"/>
    <w:rsid w:val="00FA7C0A"/>
    <w:rsid w:val="00FB01DA"/>
    <w:rsid w:val="00FB387D"/>
    <w:rsid w:val="00FB6697"/>
    <w:rsid w:val="00FB6BF3"/>
    <w:rsid w:val="00FC114B"/>
    <w:rsid w:val="00FC5063"/>
    <w:rsid w:val="00FC6564"/>
    <w:rsid w:val="00FC67AF"/>
    <w:rsid w:val="00FD0641"/>
    <w:rsid w:val="00FD2A0D"/>
    <w:rsid w:val="00FD4A11"/>
    <w:rsid w:val="00FE1FF9"/>
    <w:rsid w:val="00FE44D4"/>
    <w:rsid w:val="00FF03A7"/>
    <w:rsid w:val="00FF03B9"/>
    <w:rsid w:val="00FF26CF"/>
    <w:rsid w:val="00FF276A"/>
    <w:rsid w:val="00FF2944"/>
    <w:rsid w:val="00FF3526"/>
    <w:rsid w:val="00FF3865"/>
    <w:rsid w:val="00FF3E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97361"/>
  <w15:docId w15:val="{B1429750-4154-4C63-A972-4A86EE94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0B0D4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B0D49"/>
    <w:rPr>
      <w:rFonts w:ascii="Arial" w:eastAsia="Times New Roman" w:hAnsi="Arial" w:cs="Arial"/>
      <w:sz w:val="18"/>
      <w:szCs w:val="20"/>
      <w:lang w:val="es-ES" w:eastAsia="es-ES"/>
    </w:rPr>
  </w:style>
  <w:style w:type="character" w:styleId="nfasis">
    <w:name w:val="Emphasis"/>
    <w:basedOn w:val="Fuentedeprrafopredeter"/>
    <w:qFormat/>
    <w:rsid w:val="000B0D49"/>
    <w:rPr>
      <w:rFonts w:cs="Times New Roman"/>
      <w:i/>
    </w:rPr>
  </w:style>
  <w:style w:type="paragraph" w:styleId="Encabezado">
    <w:name w:val="header"/>
    <w:basedOn w:val="Normal"/>
    <w:link w:val="EncabezadoCar"/>
    <w:uiPriority w:val="99"/>
    <w:unhideWhenUsed/>
    <w:rsid w:val="00963D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3D37"/>
  </w:style>
  <w:style w:type="paragraph" w:styleId="Piedepgina">
    <w:name w:val="footer"/>
    <w:basedOn w:val="Normal"/>
    <w:link w:val="PiedepginaCar"/>
    <w:uiPriority w:val="99"/>
    <w:unhideWhenUsed/>
    <w:rsid w:val="00963D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3D37"/>
  </w:style>
  <w:style w:type="paragraph" w:styleId="Sinespaciado">
    <w:name w:val="No Spacing"/>
    <w:link w:val="SinespaciadoCar"/>
    <w:uiPriority w:val="1"/>
    <w:qFormat/>
    <w:rsid w:val="00963D37"/>
    <w:pPr>
      <w:spacing w:after="0" w:line="240" w:lineRule="auto"/>
    </w:pPr>
    <w:rPr>
      <w:lang w:val="es-ES"/>
    </w:rPr>
  </w:style>
  <w:style w:type="character" w:customStyle="1" w:styleId="SinespaciadoCar">
    <w:name w:val="Sin espaciado Car"/>
    <w:basedOn w:val="Fuentedeprrafopredeter"/>
    <w:link w:val="Sinespaciado"/>
    <w:uiPriority w:val="1"/>
    <w:rsid w:val="00963D37"/>
    <w:rPr>
      <w:rFonts w:eastAsiaTheme="minorEastAsia"/>
      <w:lang w:val="es-ES"/>
    </w:rPr>
  </w:style>
  <w:style w:type="paragraph" w:styleId="Prrafodelista">
    <w:name w:val="List Paragraph"/>
    <w:basedOn w:val="Normal"/>
    <w:uiPriority w:val="34"/>
    <w:qFormat/>
    <w:rsid w:val="00393DBD"/>
    <w:pPr>
      <w:ind w:left="720"/>
      <w:contextualSpacing/>
    </w:pPr>
  </w:style>
  <w:style w:type="paragraph" w:styleId="Textodeglobo">
    <w:name w:val="Balloon Text"/>
    <w:basedOn w:val="Normal"/>
    <w:link w:val="TextodegloboCar"/>
    <w:uiPriority w:val="99"/>
    <w:semiHidden/>
    <w:unhideWhenUsed/>
    <w:rsid w:val="008876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6DA"/>
    <w:rPr>
      <w:rFonts w:ascii="Segoe UI" w:hAnsi="Segoe UI" w:cs="Segoe UI"/>
      <w:sz w:val="18"/>
      <w:szCs w:val="18"/>
    </w:rPr>
  </w:style>
  <w:style w:type="paragraph" w:styleId="NormalWeb">
    <w:name w:val="Normal (Web)"/>
    <w:basedOn w:val="Normal"/>
    <w:uiPriority w:val="99"/>
    <w:semiHidden/>
    <w:unhideWhenUsed/>
    <w:rsid w:val="00BD6D9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345">
      <w:bodyDiv w:val="1"/>
      <w:marLeft w:val="0"/>
      <w:marRight w:val="0"/>
      <w:marTop w:val="0"/>
      <w:marBottom w:val="0"/>
      <w:divBdr>
        <w:top w:val="none" w:sz="0" w:space="0" w:color="auto"/>
        <w:left w:val="none" w:sz="0" w:space="0" w:color="auto"/>
        <w:bottom w:val="none" w:sz="0" w:space="0" w:color="auto"/>
        <w:right w:val="none" w:sz="0" w:space="0" w:color="auto"/>
      </w:divBdr>
    </w:div>
    <w:div w:id="39668088">
      <w:bodyDiv w:val="1"/>
      <w:marLeft w:val="0"/>
      <w:marRight w:val="0"/>
      <w:marTop w:val="0"/>
      <w:marBottom w:val="0"/>
      <w:divBdr>
        <w:top w:val="none" w:sz="0" w:space="0" w:color="auto"/>
        <w:left w:val="none" w:sz="0" w:space="0" w:color="auto"/>
        <w:bottom w:val="none" w:sz="0" w:space="0" w:color="auto"/>
        <w:right w:val="none" w:sz="0" w:space="0" w:color="auto"/>
      </w:divBdr>
    </w:div>
    <w:div w:id="43792160">
      <w:bodyDiv w:val="1"/>
      <w:marLeft w:val="0"/>
      <w:marRight w:val="0"/>
      <w:marTop w:val="0"/>
      <w:marBottom w:val="0"/>
      <w:divBdr>
        <w:top w:val="none" w:sz="0" w:space="0" w:color="auto"/>
        <w:left w:val="none" w:sz="0" w:space="0" w:color="auto"/>
        <w:bottom w:val="none" w:sz="0" w:space="0" w:color="auto"/>
        <w:right w:val="none" w:sz="0" w:space="0" w:color="auto"/>
      </w:divBdr>
    </w:div>
    <w:div w:id="176426815">
      <w:bodyDiv w:val="1"/>
      <w:marLeft w:val="0"/>
      <w:marRight w:val="0"/>
      <w:marTop w:val="0"/>
      <w:marBottom w:val="0"/>
      <w:divBdr>
        <w:top w:val="none" w:sz="0" w:space="0" w:color="auto"/>
        <w:left w:val="none" w:sz="0" w:space="0" w:color="auto"/>
        <w:bottom w:val="none" w:sz="0" w:space="0" w:color="auto"/>
        <w:right w:val="none" w:sz="0" w:space="0" w:color="auto"/>
      </w:divBdr>
    </w:div>
    <w:div w:id="190537945">
      <w:bodyDiv w:val="1"/>
      <w:marLeft w:val="0"/>
      <w:marRight w:val="0"/>
      <w:marTop w:val="0"/>
      <w:marBottom w:val="0"/>
      <w:divBdr>
        <w:top w:val="none" w:sz="0" w:space="0" w:color="auto"/>
        <w:left w:val="none" w:sz="0" w:space="0" w:color="auto"/>
        <w:bottom w:val="none" w:sz="0" w:space="0" w:color="auto"/>
        <w:right w:val="none" w:sz="0" w:space="0" w:color="auto"/>
      </w:divBdr>
    </w:div>
    <w:div w:id="256451033">
      <w:bodyDiv w:val="1"/>
      <w:marLeft w:val="0"/>
      <w:marRight w:val="0"/>
      <w:marTop w:val="0"/>
      <w:marBottom w:val="0"/>
      <w:divBdr>
        <w:top w:val="none" w:sz="0" w:space="0" w:color="auto"/>
        <w:left w:val="none" w:sz="0" w:space="0" w:color="auto"/>
        <w:bottom w:val="none" w:sz="0" w:space="0" w:color="auto"/>
        <w:right w:val="none" w:sz="0" w:space="0" w:color="auto"/>
      </w:divBdr>
    </w:div>
    <w:div w:id="330524140">
      <w:bodyDiv w:val="1"/>
      <w:marLeft w:val="0"/>
      <w:marRight w:val="0"/>
      <w:marTop w:val="0"/>
      <w:marBottom w:val="0"/>
      <w:divBdr>
        <w:top w:val="none" w:sz="0" w:space="0" w:color="auto"/>
        <w:left w:val="none" w:sz="0" w:space="0" w:color="auto"/>
        <w:bottom w:val="none" w:sz="0" w:space="0" w:color="auto"/>
        <w:right w:val="none" w:sz="0" w:space="0" w:color="auto"/>
      </w:divBdr>
    </w:div>
    <w:div w:id="362947578">
      <w:bodyDiv w:val="1"/>
      <w:marLeft w:val="0"/>
      <w:marRight w:val="0"/>
      <w:marTop w:val="0"/>
      <w:marBottom w:val="0"/>
      <w:divBdr>
        <w:top w:val="none" w:sz="0" w:space="0" w:color="auto"/>
        <w:left w:val="none" w:sz="0" w:space="0" w:color="auto"/>
        <w:bottom w:val="none" w:sz="0" w:space="0" w:color="auto"/>
        <w:right w:val="none" w:sz="0" w:space="0" w:color="auto"/>
      </w:divBdr>
    </w:div>
    <w:div w:id="384261642">
      <w:bodyDiv w:val="1"/>
      <w:marLeft w:val="0"/>
      <w:marRight w:val="0"/>
      <w:marTop w:val="0"/>
      <w:marBottom w:val="0"/>
      <w:divBdr>
        <w:top w:val="none" w:sz="0" w:space="0" w:color="auto"/>
        <w:left w:val="none" w:sz="0" w:space="0" w:color="auto"/>
        <w:bottom w:val="none" w:sz="0" w:space="0" w:color="auto"/>
        <w:right w:val="none" w:sz="0" w:space="0" w:color="auto"/>
      </w:divBdr>
    </w:div>
    <w:div w:id="436174103">
      <w:bodyDiv w:val="1"/>
      <w:marLeft w:val="0"/>
      <w:marRight w:val="0"/>
      <w:marTop w:val="0"/>
      <w:marBottom w:val="0"/>
      <w:divBdr>
        <w:top w:val="none" w:sz="0" w:space="0" w:color="auto"/>
        <w:left w:val="none" w:sz="0" w:space="0" w:color="auto"/>
        <w:bottom w:val="none" w:sz="0" w:space="0" w:color="auto"/>
        <w:right w:val="none" w:sz="0" w:space="0" w:color="auto"/>
      </w:divBdr>
    </w:div>
    <w:div w:id="470249526">
      <w:bodyDiv w:val="1"/>
      <w:marLeft w:val="0"/>
      <w:marRight w:val="0"/>
      <w:marTop w:val="0"/>
      <w:marBottom w:val="0"/>
      <w:divBdr>
        <w:top w:val="none" w:sz="0" w:space="0" w:color="auto"/>
        <w:left w:val="none" w:sz="0" w:space="0" w:color="auto"/>
        <w:bottom w:val="none" w:sz="0" w:space="0" w:color="auto"/>
        <w:right w:val="none" w:sz="0" w:space="0" w:color="auto"/>
      </w:divBdr>
    </w:div>
    <w:div w:id="481702848">
      <w:bodyDiv w:val="1"/>
      <w:marLeft w:val="0"/>
      <w:marRight w:val="0"/>
      <w:marTop w:val="0"/>
      <w:marBottom w:val="0"/>
      <w:divBdr>
        <w:top w:val="none" w:sz="0" w:space="0" w:color="auto"/>
        <w:left w:val="none" w:sz="0" w:space="0" w:color="auto"/>
        <w:bottom w:val="none" w:sz="0" w:space="0" w:color="auto"/>
        <w:right w:val="none" w:sz="0" w:space="0" w:color="auto"/>
      </w:divBdr>
    </w:div>
    <w:div w:id="552353546">
      <w:bodyDiv w:val="1"/>
      <w:marLeft w:val="0"/>
      <w:marRight w:val="0"/>
      <w:marTop w:val="0"/>
      <w:marBottom w:val="0"/>
      <w:divBdr>
        <w:top w:val="none" w:sz="0" w:space="0" w:color="auto"/>
        <w:left w:val="none" w:sz="0" w:space="0" w:color="auto"/>
        <w:bottom w:val="none" w:sz="0" w:space="0" w:color="auto"/>
        <w:right w:val="none" w:sz="0" w:space="0" w:color="auto"/>
      </w:divBdr>
    </w:div>
    <w:div w:id="605311361">
      <w:bodyDiv w:val="1"/>
      <w:marLeft w:val="0"/>
      <w:marRight w:val="0"/>
      <w:marTop w:val="0"/>
      <w:marBottom w:val="0"/>
      <w:divBdr>
        <w:top w:val="none" w:sz="0" w:space="0" w:color="auto"/>
        <w:left w:val="none" w:sz="0" w:space="0" w:color="auto"/>
        <w:bottom w:val="none" w:sz="0" w:space="0" w:color="auto"/>
        <w:right w:val="none" w:sz="0" w:space="0" w:color="auto"/>
      </w:divBdr>
    </w:div>
    <w:div w:id="628629192">
      <w:bodyDiv w:val="1"/>
      <w:marLeft w:val="0"/>
      <w:marRight w:val="0"/>
      <w:marTop w:val="0"/>
      <w:marBottom w:val="0"/>
      <w:divBdr>
        <w:top w:val="none" w:sz="0" w:space="0" w:color="auto"/>
        <w:left w:val="none" w:sz="0" w:space="0" w:color="auto"/>
        <w:bottom w:val="none" w:sz="0" w:space="0" w:color="auto"/>
        <w:right w:val="none" w:sz="0" w:space="0" w:color="auto"/>
      </w:divBdr>
    </w:div>
    <w:div w:id="631011471">
      <w:bodyDiv w:val="1"/>
      <w:marLeft w:val="0"/>
      <w:marRight w:val="0"/>
      <w:marTop w:val="0"/>
      <w:marBottom w:val="0"/>
      <w:divBdr>
        <w:top w:val="none" w:sz="0" w:space="0" w:color="auto"/>
        <w:left w:val="none" w:sz="0" w:space="0" w:color="auto"/>
        <w:bottom w:val="none" w:sz="0" w:space="0" w:color="auto"/>
        <w:right w:val="none" w:sz="0" w:space="0" w:color="auto"/>
      </w:divBdr>
    </w:div>
    <w:div w:id="745495943">
      <w:bodyDiv w:val="1"/>
      <w:marLeft w:val="0"/>
      <w:marRight w:val="0"/>
      <w:marTop w:val="0"/>
      <w:marBottom w:val="0"/>
      <w:divBdr>
        <w:top w:val="none" w:sz="0" w:space="0" w:color="auto"/>
        <w:left w:val="none" w:sz="0" w:space="0" w:color="auto"/>
        <w:bottom w:val="none" w:sz="0" w:space="0" w:color="auto"/>
        <w:right w:val="none" w:sz="0" w:space="0" w:color="auto"/>
      </w:divBdr>
    </w:div>
    <w:div w:id="770199598">
      <w:bodyDiv w:val="1"/>
      <w:marLeft w:val="0"/>
      <w:marRight w:val="0"/>
      <w:marTop w:val="0"/>
      <w:marBottom w:val="0"/>
      <w:divBdr>
        <w:top w:val="none" w:sz="0" w:space="0" w:color="auto"/>
        <w:left w:val="none" w:sz="0" w:space="0" w:color="auto"/>
        <w:bottom w:val="none" w:sz="0" w:space="0" w:color="auto"/>
        <w:right w:val="none" w:sz="0" w:space="0" w:color="auto"/>
      </w:divBdr>
    </w:div>
    <w:div w:id="792598126">
      <w:bodyDiv w:val="1"/>
      <w:marLeft w:val="0"/>
      <w:marRight w:val="0"/>
      <w:marTop w:val="0"/>
      <w:marBottom w:val="0"/>
      <w:divBdr>
        <w:top w:val="none" w:sz="0" w:space="0" w:color="auto"/>
        <w:left w:val="none" w:sz="0" w:space="0" w:color="auto"/>
        <w:bottom w:val="none" w:sz="0" w:space="0" w:color="auto"/>
        <w:right w:val="none" w:sz="0" w:space="0" w:color="auto"/>
      </w:divBdr>
    </w:div>
    <w:div w:id="794446080">
      <w:bodyDiv w:val="1"/>
      <w:marLeft w:val="0"/>
      <w:marRight w:val="0"/>
      <w:marTop w:val="0"/>
      <w:marBottom w:val="0"/>
      <w:divBdr>
        <w:top w:val="none" w:sz="0" w:space="0" w:color="auto"/>
        <w:left w:val="none" w:sz="0" w:space="0" w:color="auto"/>
        <w:bottom w:val="none" w:sz="0" w:space="0" w:color="auto"/>
        <w:right w:val="none" w:sz="0" w:space="0" w:color="auto"/>
      </w:divBdr>
    </w:div>
    <w:div w:id="907886286">
      <w:bodyDiv w:val="1"/>
      <w:marLeft w:val="0"/>
      <w:marRight w:val="0"/>
      <w:marTop w:val="0"/>
      <w:marBottom w:val="0"/>
      <w:divBdr>
        <w:top w:val="none" w:sz="0" w:space="0" w:color="auto"/>
        <w:left w:val="none" w:sz="0" w:space="0" w:color="auto"/>
        <w:bottom w:val="none" w:sz="0" w:space="0" w:color="auto"/>
        <w:right w:val="none" w:sz="0" w:space="0" w:color="auto"/>
      </w:divBdr>
    </w:div>
    <w:div w:id="913782976">
      <w:bodyDiv w:val="1"/>
      <w:marLeft w:val="0"/>
      <w:marRight w:val="0"/>
      <w:marTop w:val="0"/>
      <w:marBottom w:val="0"/>
      <w:divBdr>
        <w:top w:val="none" w:sz="0" w:space="0" w:color="auto"/>
        <w:left w:val="none" w:sz="0" w:space="0" w:color="auto"/>
        <w:bottom w:val="none" w:sz="0" w:space="0" w:color="auto"/>
        <w:right w:val="none" w:sz="0" w:space="0" w:color="auto"/>
      </w:divBdr>
    </w:div>
    <w:div w:id="918054091">
      <w:bodyDiv w:val="1"/>
      <w:marLeft w:val="0"/>
      <w:marRight w:val="0"/>
      <w:marTop w:val="0"/>
      <w:marBottom w:val="0"/>
      <w:divBdr>
        <w:top w:val="none" w:sz="0" w:space="0" w:color="auto"/>
        <w:left w:val="none" w:sz="0" w:space="0" w:color="auto"/>
        <w:bottom w:val="none" w:sz="0" w:space="0" w:color="auto"/>
        <w:right w:val="none" w:sz="0" w:space="0" w:color="auto"/>
      </w:divBdr>
    </w:div>
    <w:div w:id="992760751">
      <w:bodyDiv w:val="1"/>
      <w:marLeft w:val="0"/>
      <w:marRight w:val="0"/>
      <w:marTop w:val="0"/>
      <w:marBottom w:val="0"/>
      <w:divBdr>
        <w:top w:val="none" w:sz="0" w:space="0" w:color="auto"/>
        <w:left w:val="none" w:sz="0" w:space="0" w:color="auto"/>
        <w:bottom w:val="none" w:sz="0" w:space="0" w:color="auto"/>
        <w:right w:val="none" w:sz="0" w:space="0" w:color="auto"/>
      </w:divBdr>
    </w:div>
    <w:div w:id="1007634424">
      <w:bodyDiv w:val="1"/>
      <w:marLeft w:val="0"/>
      <w:marRight w:val="0"/>
      <w:marTop w:val="0"/>
      <w:marBottom w:val="0"/>
      <w:divBdr>
        <w:top w:val="none" w:sz="0" w:space="0" w:color="auto"/>
        <w:left w:val="none" w:sz="0" w:space="0" w:color="auto"/>
        <w:bottom w:val="none" w:sz="0" w:space="0" w:color="auto"/>
        <w:right w:val="none" w:sz="0" w:space="0" w:color="auto"/>
      </w:divBdr>
    </w:div>
    <w:div w:id="1018241301">
      <w:bodyDiv w:val="1"/>
      <w:marLeft w:val="0"/>
      <w:marRight w:val="0"/>
      <w:marTop w:val="0"/>
      <w:marBottom w:val="0"/>
      <w:divBdr>
        <w:top w:val="none" w:sz="0" w:space="0" w:color="auto"/>
        <w:left w:val="none" w:sz="0" w:space="0" w:color="auto"/>
        <w:bottom w:val="none" w:sz="0" w:space="0" w:color="auto"/>
        <w:right w:val="none" w:sz="0" w:space="0" w:color="auto"/>
      </w:divBdr>
    </w:div>
    <w:div w:id="1035010064">
      <w:bodyDiv w:val="1"/>
      <w:marLeft w:val="0"/>
      <w:marRight w:val="0"/>
      <w:marTop w:val="0"/>
      <w:marBottom w:val="0"/>
      <w:divBdr>
        <w:top w:val="none" w:sz="0" w:space="0" w:color="auto"/>
        <w:left w:val="none" w:sz="0" w:space="0" w:color="auto"/>
        <w:bottom w:val="none" w:sz="0" w:space="0" w:color="auto"/>
        <w:right w:val="none" w:sz="0" w:space="0" w:color="auto"/>
      </w:divBdr>
    </w:div>
    <w:div w:id="1055279769">
      <w:bodyDiv w:val="1"/>
      <w:marLeft w:val="0"/>
      <w:marRight w:val="0"/>
      <w:marTop w:val="0"/>
      <w:marBottom w:val="0"/>
      <w:divBdr>
        <w:top w:val="none" w:sz="0" w:space="0" w:color="auto"/>
        <w:left w:val="none" w:sz="0" w:space="0" w:color="auto"/>
        <w:bottom w:val="none" w:sz="0" w:space="0" w:color="auto"/>
        <w:right w:val="none" w:sz="0" w:space="0" w:color="auto"/>
      </w:divBdr>
    </w:div>
    <w:div w:id="1056466571">
      <w:bodyDiv w:val="1"/>
      <w:marLeft w:val="0"/>
      <w:marRight w:val="0"/>
      <w:marTop w:val="0"/>
      <w:marBottom w:val="0"/>
      <w:divBdr>
        <w:top w:val="none" w:sz="0" w:space="0" w:color="auto"/>
        <w:left w:val="none" w:sz="0" w:space="0" w:color="auto"/>
        <w:bottom w:val="none" w:sz="0" w:space="0" w:color="auto"/>
        <w:right w:val="none" w:sz="0" w:space="0" w:color="auto"/>
      </w:divBdr>
    </w:div>
    <w:div w:id="1067336126">
      <w:bodyDiv w:val="1"/>
      <w:marLeft w:val="0"/>
      <w:marRight w:val="0"/>
      <w:marTop w:val="0"/>
      <w:marBottom w:val="0"/>
      <w:divBdr>
        <w:top w:val="none" w:sz="0" w:space="0" w:color="auto"/>
        <w:left w:val="none" w:sz="0" w:space="0" w:color="auto"/>
        <w:bottom w:val="none" w:sz="0" w:space="0" w:color="auto"/>
        <w:right w:val="none" w:sz="0" w:space="0" w:color="auto"/>
      </w:divBdr>
    </w:div>
    <w:div w:id="1101336629">
      <w:bodyDiv w:val="1"/>
      <w:marLeft w:val="0"/>
      <w:marRight w:val="0"/>
      <w:marTop w:val="0"/>
      <w:marBottom w:val="0"/>
      <w:divBdr>
        <w:top w:val="none" w:sz="0" w:space="0" w:color="auto"/>
        <w:left w:val="none" w:sz="0" w:space="0" w:color="auto"/>
        <w:bottom w:val="none" w:sz="0" w:space="0" w:color="auto"/>
        <w:right w:val="none" w:sz="0" w:space="0" w:color="auto"/>
      </w:divBdr>
    </w:div>
    <w:div w:id="1107775068">
      <w:bodyDiv w:val="1"/>
      <w:marLeft w:val="0"/>
      <w:marRight w:val="0"/>
      <w:marTop w:val="0"/>
      <w:marBottom w:val="0"/>
      <w:divBdr>
        <w:top w:val="none" w:sz="0" w:space="0" w:color="auto"/>
        <w:left w:val="none" w:sz="0" w:space="0" w:color="auto"/>
        <w:bottom w:val="none" w:sz="0" w:space="0" w:color="auto"/>
        <w:right w:val="none" w:sz="0" w:space="0" w:color="auto"/>
      </w:divBdr>
    </w:div>
    <w:div w:id="1110247105">
      <w:bodyDiv w:val="1"/>
      <w:marLeft w:val="0"/>
      <w:marRight w:val="0"/>
      <w:marTop w:val="0"/>
      <w:marBottom w:val="0"/>
      <w:divBdr>
        <w:top w:val="none" w:sz="0" w:space="0" w:color="auto"/>
        <w:left w:val="none" w:sz="0" w:space="0" w:color="auto"/>
        <w:bottom w:val="none" w:sz="0" w:space="0" w:color="auto"/>
        <w:right w:val="none" w:sz="0" w:space="0" w:color="auto"/>
      </w:divBdr>
    </w:div>
    <w:div w:id="1114131136">
      <w:bodyDiv w:val="1"/>
      <w:marLeft w:val="0"/>
      <w:marRight w:val="0"/>
      <w:marTop w:val="0"/>
      <w:marBottom w:val="0"/>
      <w:divBdr>
        <w:top w:val="none" w:sz="0" w:space="0" w:color="auto"/>
        <w:left w:val="none" w:sz="0" w:space="0" w:color="auto"/>
        <w:bottom w:val="none" w:sz="0" w:space="0" w:color="auto"/>
        <w:right w:val="none" w:sz="0" w:space="0" w:color="auto"/>
      </w:divBdr>
    </w:div>
    <w:div w:id="1154221794">
      <w:bodyDiv w:val="1"/>
      <w:marLeft w:val="0"/>
      <w:marRight w:val="0"/>
      <w:marTop w:val="0"/>
      <w:marBottom w:val="0"/>
      <w:divBdr>
        <w:top w:val="none" w:sz="0" w:space="0" w:color="auto"/>
        <w:left w:val="none" w:sz="0" w:space="0" w:color="auto"/>
        <w:bottom w:val="none" w:sz="0" w:space="0" w:color="auto"/>
        <w:right w:val="none" w:sz="0" w:space="0" w:color="auto"/>
      </w:divBdr>
    </w:div>
    <w:div w:id="1173105207">
      <w:bodyDiv w:val="1"/>
      <w:marLeft w:val="0"/>
      <w:marRight w:val="0"/>
      <w:marTop w:val="0"/>
      <w:marBottom w:val="0"/>
      <w:divBdr>
        <w:top w:val="none" w:sz="0" w:space="0" w:color="auto"/>
        <w:left w:val="none" w:sz="0" w:space="0" w:color="auto"/>
        <w:bottom w:val="none" w:sz="0" w:space="0" w:color="auto"/>
        <w:right w:val="none" w:sz="0" w:space="0" w:color="auto"/>
      </w:divBdr>
    </w:div>
    <w:div w:id="1204442183">
      <w:bodyDiv w:val="1"/>
      <w:marLeft w:val="0"/>
      <w:marRight w:val="0"/>
      <w:marTop w:val="0"/>
      <w:marBottom w:val="0"/>
      <w:divBdr>
        <w:top w:val="none" w:sz="0" w:space="0" w:color="auto"/>
        <w:left w:val="none" w:sz="0" w:space="0" w:color="auto"/>
        <w:bottom w:val="none" w:sz="0" w:space="0" w:color="auto"/>
        <w:right w:val="none" w:sz="0" w:space="0" w:color="auto"/>
      </w:divBdr>
    </w:div>
    <w:div w:id="1218669008">
      <w:bodyDiv w:val="1"/>
      <w:marLeft w:val="0"/>
      <w:marRight w:val="0"/>
      <w:marTop w:val="0"/>
      <w:marBottom w:val="0"/>
      <w:divBdr>
        <w:top w:val="none" w:sz="0" w:space="0" w:color="auto"/>
        <w:left w:val="none" w:sz="0" w:space="0" w:color="auto"/>
        <w:bottom w:val="none" w:sz="0" w:space="0" w:color="auto"/>
        <w:right w:val="none" w:sz="0" w:space="0" w:color="auto"/>
      </w:divBdr>
    </w:div>
    <w:div w:id="1241404915">
      <w:bodyDiv w:val="1"/>
      <w:marLeft w:val="0"/>
      <w:marRight w:val="0"/>
      <w:marTop w:val="0"/>
      <w:marBottom w:val="0"/>
      <w:divBdr>
        <w:top w:val="none" w:sz="0" w:space="0" w:color="auto"/>
        <w:left w:val="none" w:sz="0" w:space="0" w:color="auto"/>
        <w:bottom w:val="none" w:sz="0" w:space="0" w:color="auto"/>
        <w:right w:val="none" w:sz="0" w:space="0" w:color="auto"/>
      </w:divBdr>
    </w:div>
    <w:div w:id="1333142555">
      <w:bodyDiv w:val="1"/>
      <w:marLeft w:val="0"/>
      <w:marRight w:val="0"/>
      <w:marTop w:val="0"/>
      <w:marBottom w:val="0"/>
      <w:divBdr>
        <w:top w:val="none" w:sz="0" w:space="0" w:color="auto"/>
        <w:left w:val="none" w:sz="0" w:space="0" w:color="auto"/>
        <w:bottom w:val="none" w:sz="0" w:space="0" w:color="auto"/>
        <w:right w:val="none" w:sz="0" w:space="0" w:color="auto"/>
      </w:divBdr>
    </w:div>
    <w:div w:id="1344668732">
      <w:bodyDiv w:val="1"/>
      <w:marLeft w:val="0"/>
      <w:marRight w:val="0"/>
      <w:marTop w:val="0"/>
      <w:marBottom w:val="0"/>
      <w:divBdr>
        <w:top w:val="none" w:sz="0" w:space="0" w:color="auto"/>
        <w:left w:val="none" w:sz="0" w:space="0" w:color="auto"/>
        <w:bottom w:val="none" w:sz="0" w:space="0" w:color="auto"/>
        <w:right w:val="none" w:sz="0" w:space="0" w:color="auto"/>
      </w:divBdr>
    </w:div>
    <w:div w:id="1345862570">
      <w:bodyDiv w:val="1"/>
      <w:marLeft w:val="0"/>
      <w:marRight w:val="0"/>
      <w:marTop w:val="0"/>
      <w:marBottom w:val="0"/>
      <w:divBdr>
        <w:top w:val="none" w:sz="0" w:space="0" w:color="auto"/>
        <w:left w:val="none" w:sz="0" w:space="0" w:color="auto"/>
        <w:bottom w:val="none" w:sz="0" w:space="0" w:color="auto"/>
        <w:right w:val="none" w:sz="0" w:space="0" w:color="auto"/>
      </w:divBdr>
    </w:div>
    <w:div w:id="1362127266">
      <w:bodyDiv w:val="1"/>
      <w:marLeft w:val="0"/>
      <w:marRight w:val="0"/>
      <w:marTop w:val="0"/>
      <w:marBottom w:val="0"/>
      <w:divBdr>
        <w:top w:val="none" w:sz="0" w:space="0" w:color="auto"/>
        <w:left w:val="none" w:sz="0" w:space="0" w:color="auto"/>
        <w:bottom w:val="none" w:sz="0" w:space="0" w:color="auto"/>
        <w:right w:val="none" w:sz="0" w:space="0" w:color="auto"/>
      </w:divBdr>
    </w:div>
    <w:div w:id="1368530210">
      <w:bodyDiv w:val="1"/>
      <w:marLeft w:val="0"/>
      <w:marRight w:val="0"/>
      <w:marTop w:val="0"/>
      <w:marBottom w:val="0"/>
      <w:divBdr>
        <w:top w:val="none" w:sz="0" w:space="0" w:color="auto"/>
        <w:left w:val="none" w:sz="0" w:space="0" w:color="auto"/>
        <w:bottom w:val="none" w:sz="0" w:space="0" w:color="auto"/>
        <w:right w:val="none" w:sz="0" w:space="0" w:color="auto"/>
      </w:divBdr>
    </w:div>
    <w:div w:id="1424567721">
      <w:bodyDiv w:val="1"/>
      <w:marLeft w:val="0"/>
      <w:marRight w:val="0"/>
      <w:marTop w:val="0"/>
      <w:marBottom w:val="0"/>
      <w:divBdr>
        <w:top w:val="none" w:sz="0" w:space="0" w:color="auto"/>
        <w:left w:val="none" w:sz="0" w:space="0" w:color="auto"/>
        <w:bottom w:val="none" w:sz="0" w:space="0" w:color="auto"/>
        <w:right w:val="none" w:sz="0" w:space="0" w:color="auto"/>
      </w:divBdr>
    </w:div>
    <w:div w:id="1466242593">
      <w:bodyDiv w:val="1"/>
      <w:marLeft w:val="0"/>
      <w:marRight w:val="0"/>
      <w:marTop w:val="0"/>
      <w:marBottom w:val="0"/>
      <w:divBdr>
        <w:top w:val="none" w:sz="0" w:space="0" w:color="auto"/>
        <w:left w:val="none" w:sz="0" w:space="0" w:color="auto"/>
        <w:bottom w:val="none" w:sz="0" w:space="0" w:color="auto"/>
        <w:right w:val="none" w:sz="0" w:space="0" w:color="auto"/>
      </w:divBdr>
    </w:div>
    <w:div w:id="1488859957">
      <w:bodyDiv w:val="1"/>
      <w:marLeft w:val="0"/>
      <w:marRight w:val="0"/>
      <w:marTop w:val="0"/>
      <w:marBottom w:val="0"/>
      <w:divBdr>
        <w:top w:val="none" w:sz="0" w:space="0" w:color="auto"/>
        <w:left w:val="none" w:sz="0" w:space="0" w:color="auto"/>
        <w:bottom w:val="none" w:sz="0" w:space="0" w:color="auto"/>
        <w:right w:val="none" w:sz="0" w:space="0" w:color="auto"/>
      </w:divBdr>
    </w:div>
    <w:div w:id="1515614390">
      <w:bodyDiv w:val="1"/>
      <w:marLeft w:val="0"/>
      <w:marRight w:val="0"/>
      <w:marTop w:val="0"/>
      <w:marBottom w:val="0"/>
      <w:divBdr>
        <w:top w:val="none" w:sz="0" w:space="0" w:color="auto"/>
        <w:left w:val="none" w:sz="0" w:space="0" w:color="auto"/>
        <w:bottom w:val="none" w:sz="0" w:space="0" w:color="auto"/>
        <w:right w:val="none" w:sz="0" w:space="0" w:color="auto"/>
      </w:divBdr>
    </w:div>
    <w:div w:id="1536382705">
      <w:bodyDiv w:val="1"/>
      <w:marLeft w:val="0"/>
      <w:marRight w:val="0"/>
      <w:marTop w:val="0"/>
      <w:marBottom w:val="0"/>
      <w:divBdr>
        <w:top w:val="none" w:sz="0" w:space="0" w:color="auto"/>
        <w:left w:val="none" w:sz="0" w:space="0" w:color="auto"/>
        <w:bottom w:val="none" w:sz="0" w:space="0" w:color="auto"/>
        <w:right w:val="none" w:sz="0" w:space="0" w:color="auto"/>
      </w:divBdr>
    </w:div>
    <w:div w:id="1536432169">
      <w:bodyDiv w:val="1"/>
      <w:marLeft w:val="0"/>
      <w:marRight w:val="0"/>
      <w:marTop w:val="0"/>
      <w:marBottom w:val="0"/>
      <w:divBdr>
        <w:top w:val="none" w:sz="0" w:space="0" w:color="auto"/>
        <w:left w:val="none" w:sz="0" w:space="0" w:color="auto"/>
        <w:bottom w:val="none" w:sz="0" w:space="0" w:color="auto"/>
        <w:right w:val="none" w:sz="0" w:space="0" w:color="auto"/>
      </w:divBdr>
    </w:div>
    <w:div w:id="1563249367">
      <w:bodyDiv w:val="1"/>
      <w:marLeft w:val="0"/>
      <w:marRight w:val="0"/>
      <w:marTop w:val="0"/>
      <w:marBottom w:val="0"/>
      <w:divBdr>
        <w:top w:val="none" w:sz="0" w:space="0" w:color="auto"/>
        <w:left w:val="none" w:sz="0" w:space="0" w:color="auto"/>
        <w:bottom w:val="none" w:sz="0" w:space="0" w:color="auto"/>
        <w:right w:val="none" w:sz="0" w:space="0" w:color="auto"/>
      </w:divBdr>
    </w:div>
    <w:div w:id="1567186137">
      <w:bodyDiv w:val="1"/>
      <w:marLeft w:val="0"/>
      <w:marRight w:val="0"/>
      <w:marTop w:val="0"/>
      <w:marBottom w:val="0"/>
      <w:divBdr>
        <w:top w:val="none" w:sz="0" w:space="0" w:color="auto"/>
        <w:left w:val="none" w:sz="0" w:space="0" w:color="auto"/>
        <w:bottom w:val="none" w:sz="0" w:space="0" w:color="auto"/>
        <w:right w:val="none" w:sz="0" w:space="0" w:color="auto"/>
      </w:divBdr>
    </w:div>
    <w:div w:id="1585990097">
      <w:bodyDiv w:val="1"/>
      <w:marLeft w:val="0"/>
      <w:marRight w:val="0"/>
      <w:marTop w:val="0"/>
      <w:marBottom w:val="0"/>
      <w:divBdr>
        <w:top w:val="none" w:sz="0" w:space="0" w:color="auto"/>
        <w:left w:val="none" w:sz="0" w:space="0" w:color="auto"/>
        <w:bottom w:val="none" w:sz="0" w:space="0" w:color="auto"/>
        <w:right w:val="none" w:sz="0" w:space="0" w:color="auto"/>
      </w:divBdr>
    </w:div>
    <w:div w:id="1595749362">
      <w:bodyDiv w:val="1"/>
      <w:marLeft w:val="0"/>
      <w:marRight w:val="0"/>
      <w:marTop w:val="0"/>
      <w:marBottom w:val="0"/>
      <w:divBdr>
        <w:top w:val="none" w:sz="0" w:space="0" w:color="auto"/>
        <w:left w:val="none" w:sz="0" w:space="0" w:color="auto"/>
        <w:bottom w:val="none" w:sz="0" w:space="0" w:color="auto"/>
        <w:right w:val="none" w:sz="0" w:space="0" w:color="auto"/>
      </w:divBdr>
    </w:div>
    <w:div w:id="1607158939">
      <w:bodyDiv w:val="1"/>
      <w:marLeft w:val="0"/>
      <w:marRight w:val="0"/>
      <w:marTop w:val="0"/>
      <w:marBottom w:val="0"/>
      <w:divBdr>
        <w:top w:val="none" w:sz="0" w:space="0" w:color="auto"/>
        <w:left w:val="none" w:sz="0" w:space="0" w:color="auto"/>
        <w:bottom w:val="none" w:sz="0" w:space="0" w:color="auto"/>
        <w:right w:val="none" w:sz="0" w:space="0" w:color="auto"/>
      </w:divBdr>
    </w:div>
    <w:div w:id="1626160753">
      <w:bodyDiv w:val="1"/>
      <w:marLeft w:val="0"/>
      <w:marRight w:val="0"/>
      <w:marTop w:val="0"/>
      <w:marBottom w:val="0"/>
      <w:divBdr>
        <w:top w:val="none" w:sz="0" w:space="0" w:color="auto"/>
        <w:left w:val="none" w:sz="0" w:space="0" w:color="auto"/>
        <w:bottom w:val="none" w:sz="0" w:space="0" w:color="auto"/>
        <w:right w:val="none" w:sz="0" w:space="0" w:color="auto"/>
      </w:divBdr>
    </w:div>
    <w:div w:id="1627159008">
      <w:bodyDiv w:val="1"/>
      <w:marLeft w:val="0"/>
      <w:marRight w:val="0"/>
      <w:marTop w:val="0"/>
      <w:marBottom w:val="0"/>
      <w:divBdr>
        <w:top w:val="none" w:sz="0" w:space="0" w:color="auto"/>
        <w:left w:val="none" w:sz="0" w:space="0" w:color="auto"/>
        <w:bottom w:val="none" w:sz="0" w:space="0" w:color="auto"/>
        <w:right w:val="none" w:sz="0" w:space="0" w:color="auto"/>
      </w:divBdr>
    </w:div>
    <w:div w:id="1629164319">
      <w:bodyDiv w:val="1"/>
      <w:marLeft w:val="0"/>
      <w:marRight w:val="0"/>
      <w:marTop w:val="0"/>
      <w:marBottom w:val="0"/>
      <w:divBdr>
        <w:top w:val="none" w:sz="0" w:space="0" w:color="auto"/>
        <w:left w:val="none" w:sz="0" w:space="0" w:color="auto"/>
        <w:bottom w:val="none" w:sz="0" w:space="0" w:color="auto"/>
        <w:right w:val="none" w:sz="0" w:space="0" w:color="auto"/>
      </w:divBdr>
    </w:div>
    <w:div w:id="1657607338">
      <w:bodyDiv w:val="1"/>
      <w:marLeft w:val="0"/>
      <w:marRight w:val="0"/>
      <w:marTop w:val="0"/>
      <w:marBottom w:val="0"/>
      <w:divBdr>
        <w:top w:val="none" w:sz="0" w:space="0" w:color="auto"/>
        <w:left w:val="none" w:sz="0" w:space="0" w:color="auto"/>
        <w:bottom w:val="none" w:sz="0" w:space="0" w:color="auto"/>
        <w:right w:val="none" w:sz="0" w:space="0" w:color="auto"/>
      </w:divBdr>
    </w:div>
    <w:div w:id="1689216371">
      <w:bodyDiv w:val="1"/>
      <w:marLeft w:val="0"/>
      <w:marRight w:val="0"/>
      <w:marTop w:val="0"/>
      <w:marBottom w:val="0"/>
      <w:divBdr>
        <w:top w:val="none" w:sz="0" w:space="0" w:color="auto"/>
        <w:left w:val="none" w:sz="0" w:space="0" w:color="auto"/>
        <w:bottom w:val="none" w:sz="0" w:space="0" w:color="auto"/>
        <w:right w:val="none" w:sz="0" w:space="0" w:color="auto"/>
      </w:divBdr>
    </w:div>
    <w:div w:id="1722097380">
      <w:bodyDiv w:val="1"/>
      <w:marLeft w:val="0"/>
      <w:marRight w:val="0"/>
      <w:marTop w:val="0"/>
      <w:marBottom w:val="0"/>
      <w:divBdr>
        <w:top w:val="none" w:sz="0" w:space="0" w:color="auto"/>
        <w:left w:val="none" w:sz="0" w:space="0" w:color="auto"/>
        <w:bottom w:val="none" w:sz="0" w:space="0" w:color="auto"/>
        <w:right w:val="none" w:sz="0" w:space="0" w:color="auto"/>
      </w:divBdr>
    </w:div>
    <w:div w:id="1732532361">
      <w:bodyDiv w:val="1"/>
      <w:marLeft w:val="0"/>
      <w:marRight w:val="0"/>
      <w:marTop w:val="0"/>
      <w:marBottom w:val="0"/>
      <w:divBdr>
        <w:top w:val="none" w:sz="0" w:space="0" w:color="auto"/>
        <w:left w:val="none" w:sz="0" w:space="0" w:color="auto"/>
        <w:bottom w:val="none" w:sz="0" w:space="0" w:color="auto"/>
        <w:right w:val="none" w:sz="0" w:space="0" w:color="auto"/>
      </w:divBdr>
    </w:div>
    <w:div w:id="1825127229">
      <w:bodyDiv w:val="1"/>
      <w:marLeft w:val="0"/>
      <w:marRight w:val="0"/>
      <w:marTop w:val="0"/>
      <w:marBottom w:val="0"/>
      <w:divBdr>
        <w:top w:val="none" w:sz="0" w:space="0" w:color="auto"/>
        <w:left w:val="none" w:sz="0" w:space="0" w:color="auto"/>
        <w:bottom w:val="none" w:sz="0" w:space="0" w:color="auto"/>
        <w:right w:val="none" w:sz="0" w:space="0" w:color="auto"/>
      </w:divBdr>
    </w:div>
    <w:div w:id="1850558129">
      <w:bodyDiv w:val="1"/>
      <w:marLeft w:val="0"/>
      <w:marRight w:val="0"/>
      <w:marTop w:val="0"/>
      <w:marBottom w:val="0"/>
      <w:divBdr>
        <w:top w:val="none" w:sz="0" w:space="0" w:color="auto"/>
        <w:left w:val="none" w:sz="0" w:space="0" w:color="auto"/>
        <w:bottom w:val="none" w:sz="0" w:space="0" w:color="auto"/>
        <w:right w:val="none" w:sz="0" w:space="0" w:color="auto"/>
      </w:divBdr>
    </w:div>
    <w:div w:id="1868369640">
      <w:bodyDiv w:val="1"/>
      <w:marLeft w:val="0"/>
      <w:marRight w:val="0"/>
      <w:marTop w:val="0"/>
      <w:marBottom w:val="0"/>
      <w:divBdr>
        <w:top w:val="none" w:sz="0" w:space="0" w:color="auto"/>
        <w:left w:val="none" w:sz="0" w:space="0" w:color="auto"/>
        <w:bottom w:val="none" w:sz="0" w:space="0" w:color="auto"/>
        <w:right w:val="none" w:sz="0" w:space="0" w:color="auto"/>
      </w:divBdr>
    </w:div>
    <w:div w:id="1966231660">
      <w:bodyDiv w:val="1"/>
      <w:marLeft w:val="0"/>
      <w:marRight w:val="0"/>
      <w:marTop w:val="0"/>
      <w:marBottom w:val="0"/>
      <w:divBdr>
        <w:top w:val="none" w:sz="0" w:space="0" w:color="auto"/>
        <w:left w:val="none" w:sz="0" w:space="0" w:color="auto"/>
        <w:bottom w:val="none" w:sz="0" w:space="0" w:color="auto"/>
        <w:right w:val="none" w:sz="0" w:space="0" w:color="auto"/>
      </w:divBdr>
    </w:div>
    <w:div w:id="1977637079">
      <w:bodyDiv w:val="1"/>
      <w:marLeft w:val="0"/>
      <w:marRight w:val="0"/>
      <w:marTop w:val="0"/>
      <w:marBottom w:val="0"/>
      <w:divBdr>
        <w:top w:val="none" w:sz="0" w:space="0" w:color="auto"/>
        <w:left w:val="none" w:sz="0" w:space="0" w:color="auto"/>
        <w:bottom w:val="none" w:sz="0" w:space="0" w:color="auto"/>
        <w:right w:val="none" w:sz="0" w:space="0" w:color="auto"/>
      </w:divBdr>
    </w:div>
    <w:div w:id="2008366596">
      <w:bodyDiv w:val="1"/>
      <w:marLeft w:val="0"/>
      <w:marRight w:val="0"/>
      <w:marTop w:val="0"/>
      <w:marBottom w:val="0"/>
      <w:divBdr>
        <w:top w:val="none" w:sz="0" w:space="0" w:color="auto"/>
        <w:left w:val="none" w:sz="0" w:space="0" w:color="auto"/>
        <w:bottom w:val="none" w:sz="0" w:space="0" w:color="auto"/>
        <w:right w:val="none" w:sz="0" w:space="0" w:color="auto"/>
      </w:divBdr>
    </w:div>
    <w:div w:id="2041322012">
      <w:bodyDiv w:val="1"/>
      <w:marLeft w:val="0"/>
      <w:marRight w:val="0"/>
      <w:marTop w:val="0"/>
      <w:marBottom w:val="0"/>
      <w:divBdr>
        <w:top w:val="none" w:sz="0" w:space="0" w:color="auto"/>
        <w:left w:val="none" w:sz="0" w:space="0" w:color="auto"/>
        <w:bottom w:val="none" w:sz="0" w:space="0" w:color="auto"/>
        <w:right w:val="none" w:sz="0" w:space="0" w:color="auto"/>
      </w:divBdr>
    </w:div>
    <w:div w:id="2057267420">
      <w:bodyDiv w:val="1"/>
      <w:marLeft w:val="0"/>
      <w:marRight w:val="0"/>
      <w:marTop w:val="0"/>
      <w:marBottom w:val="0"/>
      <w:divBdr>
        <w:top w:val="none" w:sz="0" w:space="0" w:color="auto"/>
        <w:left w:val="none" w:sz="0" w:space="0" w:color="auto"/>
        <w:bottom w:val="none" w:sz="0" w:space="0" w:color="auto"/>
        <w:right w:val="none" w:sz="0" w:space="0" w:color="auto"/>
      </w:divBdr>
    </w:div>
    <w:div w:id="2061631855">
      <w:bodyDiv w:val="1"/>
      <w:marLeft w:val="0"/>
      <w:marRight w:val="0"/>
      <w:marTop w:val="0"/>
      <w:marBottom w:val="0"/>
      <w:divBdr>
        <w:top w:val="none" w:sz="0" w:space="0" w:color="auto"/>
        <w:left w:val="none" w:sz="0" w:space="0" w:color="auto"/>
        <w:bottom w:val="none" w:sz="0" w:space="0" w:color="auto"/>
        <w:right w:val="none" w:sz="0" w:space="0" w:color="auto"/>
      </w:divBdr>
    </w:div>
    <w:div w:id="2062433510">
      <w:bodyDiv w:val="1"/>
      <w:marLeft w:val="0"/>
      <w:marRight w:val="0"/>
      <w:marTop w:val="0"/>
      <w:marBottom w:val="0"/>
      <w:divBdr>
        <w:top w:val="none" w:sz="0" w:space="0" w:color="auto"/>
        <w:left w:val="none" w:sz="0" w:space="0" w:color="auto"/>
        <w:bottom w:val="none" w:sz="0" w:space="0" w:color="auto"/>
        <w:right w:val="none" w:sz="0" w:space="0" w:color="auto"/>
      </w:divBdr>
    </w:div>
    <w:div w:id="2068020220">
      <w:bodyDiv w:val="1"/>
      <w:marLeft w:val="0"/>
      <w:marRight w:val="0"/>
      <w:marTop w:val="0"/>
      <w:marBottom w:val="0"/>
      <w:divBdr>
        <w:top w:val="none" w:sz="0" w:space="0" w:color="auto"/>
        <w:left w:val="none" w:sz="0" w:space="0" w:color="auto"/>
        <w:bottom w:val="none" w:sz="0" w:space="0" w:color="auto"/>
        <w:right w:val="none" w:sz="0" w:space="0" w:color="auto"/>
      </w:divBdr>
    </w:div>
    <w:div w:id="2080325126">
      <w:bodyDiv w:val="1"/>
      <w:marLeft w:val="0"/>
      <w:marRight w:val="0"/>
      <w:marTop w:val="0"/>
      <w:marBottom w:val="0"/>
      <w:divBdr>
        <w:top w:val="none" w:sz="0" w:space="0" w:color="auto"/>
        <w:left w:val="none" w:sz="0" w:space="0" w:color="auto"/>
        <w:bottom w:val="none" w:sz="0" w:space="0" w:color="auto"/>
        <w:right w:val="none" w:sz="0" w:space="0" w:color="auto"/>
      </w:divBdr>
    </w:div>
    <w:div w:id="21047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0776B-2CCC-49FF-928A-DF95BF68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Pages>
  <Words>1912</Words>
  <Characters>10519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IECG</cp:lastModifiedBy>
  <cp:revision>35</cp:revision>
  <cp:lastPrinted>2025-04-29T23:18:00Z</cp:lastPrinted>
  <dcterms:created xsi:type="dcterms:W3CDTF">2023-07-20T18:07:00Z</dcterms:created>
  <dcterms:modified xsi:type="dcterms:W3CDTF">2025-10-24T20:22:00Z</dcterms:modified>
</cp:coreProperties>
</file>