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9E4B" w14:textId="77777777" w:rsidR="00C137AC" w:rsidRPr="00C137AC" w:rsidRDefault="00C137AC" w:rsidP="00C137AC">
      <w:pPr>
        <w:pStyle w:val="Texto"/>
        <w:spacing w:after="0" w:line="240" w:lineRule="exact"/>
        <w:ind w:firstLine="0"/>
        <w:jc w:val="center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t>c) NOTAS DE GESTIÓN ADMINISTRATIVA</w:t>
      </w:r>
    </w:p>
    <w:p w14:paraId="735D9E4C" w14:textId="77777777" w:rsidR="00C137AC" w:rsidRDefault="00C137AC" w:rsidP="00C137AC">
      <w:pPr>
        <w:pStyle w:val="Texto"/>
        <w:spacing w:after="0" w:line="240" w:lineRule="exact"/>
        <w:ind w:firstLine="0"/>
        <w:jc w:val="left"/>
        <w:rPr>
          <w:b/>
          <w:sz w:val="20"/>
          <w:lang w:val="es-MX"/>
        </w:rPr>
      </w:pPr>
    </w:p>
    <w:p w14:paraId="735D9E51" w14:textId="4B77FDFA" w:rsidR="00C137AC" w:rsidRDefault="00D74EF0" w:rsidP="00D74EF0">
      <w:pPr>
        <w:pStyle w:val="Texto"/>
        <w:numPr>
          <w:ilvl w:val="0"/>
          <w:numId w:val="22"/>
        </w:numPr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Describir el p</w:t>
      </w:r>
      <w:r w:rsidR="00C137AC" w:rsidRPr="00C137AC">
        <w:rPr>
          <w:b/>
          <w:sz w:val="20"/>
          <w:lang w:val="es-MX"/>
        </w:rPr>
        <w:t>anorama Económico y Financiero</w:t>
      </w:r>
    </w:p>
    <w:p w14:paraId="1D3D15BF" w14:textId="77777777" w:rsidR="00D74EF0" w:rsidRPr="00C137AC" w:rsidRDefault="00D74EF0" w:rsidP="00D74EF0">
      <w:pPr>
        <w:pStyle w:val="Texto"/>
        <w:spacing w:after="0" w:line="240" w:lineRule="exact"/>
        <w:ind w:left="708" w:firstLine="0"/>
        <w:rPr>
          <w:b/>
          <w:sz w:val="20"/>
          <w:lang w:val="es-MX"/>
        </w:rPr>
      </w:pPr>
    </w:p>
    <w:p w14:paraId="735D9E52" w14:textId="77777777" w:rsidR="00B0579C" w:rsidRPr="00B0579C" w:rsidRDefault="00B0579C" w:rsidP="00B0579C">
      <w:pPr>
        <w:pStyle w:val="Texto"/>
        <w:spacing w:after="0" w:line="240" w:lineRule="exact"/>
        <w:rPr>
          <w:b/>
          <w:sz w:val="20"/>
          <w:lang w:val="es-MX"/>
        </w:rPr>
      </w:pPr>
      <w:r w:rsidRPr="00B0579C">
        <w:rPr>
          <w:sz w:val="20"/>
          <w:lang w:val="es-MX"/>
        </w:rPr>
        <w:t>El Instituto recibirá recursos de la Federación, Estado y Propios ejerciéndolos de manera íntegra sujetándose a las leyes vigentes aplicables.</w:t>
      </w:r>
      <w:r w:rsidRPr="00B0579C">
        <w:rPr>
          <w:b/>
          <w:sz w:val="20"/>
          <w:lang w:val="es-MX"/>
        </w:rPr>
        <w:tab/>
      </w:r>
    </w:p>
    <w:p w14:paraId="735D9E53" w14:textId="77777777" w:rsidR="00C137AC" w:rsidRPr="00C137AC" w:rsidRDefault="00C137AC" w:rsidP="00C137AC">
      <w:pPr>
        <w:pStyle w:val="Texto"/>
        <w:spacing w:after="0" w:line="240" w:lineRule="exact"/>
        <w:rPr>
          <w:sz w:val="20"/>
        </w:rPr>
      </w:pPr>
    </w:p>
    <w:p w14:paraId="735D9E54" w14:textId="501D2683" w:rsidR="00B0579C" w:rsidRDefault="00D74EF0" w:rsidP="00B0579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2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Autorización e Historia</w:t>
      </w:r>
    </w:p>
    <w:p w14:paraId="735D9E55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56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B0579C">
        <w:rPr>
          <w:sz w:val="20"/>
        </w:rPr>
        <w:t>a) Fecha de creación del ente.</w:t>
      </w:r>
    </w:p>
    <w:p w14:paraId="735D9E57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B0579C">
        <w:rPr>
          <w:sz w:val="20"/>
        </w:rPr>
        <w:t>En fecha 20 de octubre de 1995, se expide el Decreto Gubernativo núm. 8 mediante el cual se crea el Instituto T</w:t>
      </w:r>
      <w:r>
        <w:rPr>
          <w:sz w:val="20"/>
        </w:rPr>
        <w:t>ecnológico Superior de Irapuato</w:t>
      </w:r>
    </w:p>
    <w:p w14:paraId="735D9E58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59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B0579C">
        <w:rPr>
          <w:sz w:val="20"/>
        </w:rPr>
        <w:t>b) Principales cambios en su estructura (interna históricamente)</w:t>
      </w:r>
    </w:p>
    <w:p w14:paraId="735D9E5A" w14:textId="77777777" w:rsidR="00C137AC" w:rsidRDefault="00B0579C" w:rsidP="00B0579C">
      <w:pPr>
        <w:pStyle w:val="Texto"/>
        <w:spacing w:after="0" w:line="240" w:lineRule="exact"/>
        <w:rPr>
          <w:sz w:val="20"/>
        </w:rPr>
      </w:pPr>
      <w:r w:rsidRPr="00B0579C">
        <w:rPr>
          <w:sz w:val="20"/>
        </w:rPr>
        <w:t xml:space="preserve">En atención a lo dispuesto por el artículo décimo primero transitorio de la Ley Orgánica del Poder Ejecutivo para el Estado de Guanajuato, se emitió el </w:t>
      </w:r>
      <w:r>
        <w:rPr>
          <w:sz w:val="20"/>
        </w:rPr>
        <w:t>R</w:t>
      </w:r>
      <w:r w:rsidRPr="00B0579C">
        <w:rPr>
          <w:sz w:val="20"/>
        </w:rPr>
        <w:t>eglamento Interior mediante Decreto Gubernativo número 64, de fecha 30 de junio del 2001, publicado en el Periódico Oficial del Gobierno del Estado de Guanajuato, número 52-B, Tercera Parte, para regular y normar la estructura orgánica y las funciones de sus diferentes áreas administrativas del Instituto Tecnológico Superior de Irapuato.</w:t>
      </w:r>
    </w:p>
    <w:p w14:paraId="735D9E5B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5D" w14:textId="2F52ACA1" w:rsidR="00B0579C" w:rsidRDefault="00D74EF0" w:rsidP="00B0579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3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Organización y Objeto Social</w:t>
      </w:r>
    </w:p>
    <w:p w14:paraId="735D9E5E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5F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a) Objeto social</w:t>
      </w:r>
    </w:p>
    <w:p w14:paraId="735D9E60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C</w:t>
      </w:r>
      <w:r w:rsidRPr="00AD7A37">
        <w:rPr>
          <w:sz w:val="20"/>
        </w:rPr>
        <w:t xml:space="preserve">ontribuir a través del proceso educativo, a mejorar las condiciones de vida de los guanajuatenses, ampliar las posibilidades de la Educación Superior Tecnológica, realizar investigación aplicada e innovación científica tecnológica, así como desarrollar programas educativos de buena calidad, formar profesionales e </w:t>
      </w:r>
      <w:r w:rsidR="00D255CB">
        <w:rPr>
          <w:sz w:val="20"/>
        </w:rPr>
        <w:t>&lt;</w:t>
      </w:r>
      <w:r w:rsidRPr="00AD7A37">
        <w:rPr>
          <w:sz w:val="20"/>
        </w:rPr>
        <w:t>investigadores en diversos campos de la ciencia y tecnología.</w:t>
      </w:r>
    </w:p>
    <w:p w14:paraId="735D9E61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62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b) Principal actividad</w:t>
      </w:r>
    </w:p>
    <w:p w14:paraId="735D9E63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Educativa</w:t>
      </w:r>
    </w:p>
    <w:p w14:paraId="735D9E64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65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c) Ejercicio fiscal</w:t>
      </w:r>
      <w:r>
        <w:rPr>
          <w:sz w:val="20"/>
        </w:rPr>
        <w:t xml:space="preserve"> </w:t>
      </w:r>
    </w:p>
    <w:p w14:paraId="735D9E66" w14:textId="00555543" w:rsidR="00B0579C" w:rsidRDefault="00ED396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enero</w:t>
      </w:r>
      <w:r w:rsidR="0091414F">
        <w:rPr>
          <w:sz w:val="20"/>
        </w:rPr>
        <w:t xml:space="preserve"> </w:t>
      </w:r>
      <w:r w:rsidR="006A7700">
        <w:rPr>
          <w:sz w:val="20"/>
        </w:rPr>
        <w:t>–</w:t>
      </w:r>
      <w:r w:rsidR="00BF73A7">
        <w:rPr>
          <w:sz w:val="20"/>
        </w:rPr>
        <w:t xml:space="preserve"> </w:t>
      </w:r>
      <w:r w:rsidR="001231B5">
        <w:rPr>
          <w:sz w:val="20"/>
        </w:rPr>
        <w:t>diciembre</w:t>
      </w:r>
      <w:r w:rsidR="006A7700">
        <w:rPr>
          <w:sz w:val="20"/>
        </w:rPr>
        <w:t xml:space="preserve"> 202</w:t>
      </w:r>
      <w:r>
        <w:rPr>
          <w:sz w:val="20"/>
        </w:rPr>
        <w:t>4</w:t>
      </w:r>
    </w:p>
    <w:p w14:paraId="735D9E67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68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d) Régimen jurídico</w:t>
      </w:r>
      <w:r>
        <w:rPr>
          <w:sz w:val="20"/>
        </w:rPr>
        <w:t>.</w:t>
      </w:r>
      <w:r w:rsidRPr="0030393A">
        <w:rPr>
          <w:sz w:val="20"/>
        </w:rPr>
        <w:t xml:space="preserve"> </w:t>
      </w:r>
    </w:p>
    <w:p w14:paraId="735D9E69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Personas Morales No Contribuyentes</w:t>
      </w:r>
    </w:p>
    <w:p w14:paraId="735D9E6A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6B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e) Consideraciones fiscales del ente: revelar el tipo de contribuciones que esté obligado a pagar o retener</w:t>
      </w:r>
    </w:p>
    <w:p w14:paraId="735D9E6C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ISR retenciones por salarios</w:t>
      </w:r>
    </w:p>
    <w:p w14:paraId="735D9E6D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ISR retenciones por servicio profesionales</w:t>
      </w:r>
    </w:p>
    <w:p w14:paraId="735D9E6E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Retención de impuesto cedular</w:t>
      </w:r>
    </w:p>
    <w:p w14:paraId="735D9E6F" w14:textId="2742D213" w:rsidR="00B0579C" w:rsidRDefault="00B0579C" w:rsidP="00B0579C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Impuesto al Valor Agregado</w:t>
      </w:r>
    </w:p>
    <w:p w14:paraId="4981E5AA" w14:textId="77777777" w:rsidR="00D74EF0" w:rsidRDefault="00D74EF0" w:rsidP="00B0579C">
      <w:pPr>
        <w:pStyle w:val="Texto"/>
        <w:spacing w:after="0" w:line="240" w:lineRule="exact"/>
        <w:rPr>
          <w:sz w:val="20"/>
        </w:rPr>
      </w:pPr>
    </w:p>
    <w:p w14:paraId="735D9E70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71" w14:textId="77777777" w:rsidR="00B0579C" w:rsidRPr="0030393A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lastRenderedPageBreak/>
        <w:t>f) Estructura organizacional básica</w:t>
      </w:r>
    </w:p>
    <w:p w14:paraId="735D9E72" w14:textId="77777777" w:rsidR="008C6168" w:rsidRDefault="00B0579C" w:rsidP="00B0579C">
      <w:pPr>
        <w:pStyle w:val="INCISO"/>
        <w:spacing w:after="0" w:line="240" w:lineRule="exact"/>
        <w:rPr>
          <w:sz w:val="20"/>
          <w:szCs w:val="20"/>
        </w:rPr>
      </w:pPr>
      <w:r w:rsidRPr="0030393A">
        <w:rPr>
          <w:sz w:val="20"/>
          <w:szCs w:val="20"/>
        </w:rPr>
        <w:t>*Anexar organigrama de la entidad</w:t>
      </w:r>
    </w:p>
    <w:p w14:paraId="735D9E73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4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35D9F64" wp14:editId="735D9F65">
            <wp:simplePos x="0" y="0"/>
            <wp:positionH relativeFrom="column">
              <wp:posOffset>701954</wp:posOffset>
            </wp:positionH>
            <wp:positionV relativeFrom="paragraph">
              <wp:posOffset>16663</wp:posOffset>
            </wp:positionV>
            <wp:extent cx="5610225" cy="3657600"/>
            <wp:effectExtent l="0" t="0" r="9525" b="0"/>
            <wp:wrapThrough wrapText="bothSides">
              <wp:wrapPolygon edited="0">
                <wp:start x="0" y="0"/>
                <wp:lineTo x="0" y="21488"/>
                <wp:lineTo x="21563" y="21488"/>
                <wp:lineTo x="2156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22461" r="2588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D9E75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6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7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8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9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A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B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C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D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E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7F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80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81" w14:textId="77777777" w:rsidR="00B0579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82" w14:textId="77777777" w:rsidR="00B0579C" w:rsidRPr="00C137AC" w:rsidRDefault="00B0579C" w:rsidP="00B0579C">
      <w:pPr>
        <w:pStyle w:val="INCISO"/>
        <w:spacing w:after="0" w:line="240" w:lineRule="exact"/>
        <w:rPr>
          <w:sz w:val="20"/>
          <w:szCs w:val="20"/>
        </w:rPr>
      </w:pPr>
    </w:p>
    <w:p w14:paraId="735D9E83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4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5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6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7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8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9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A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B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C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D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8E" w14:textId="77777777" w:rsidR="00B0579C" w:rsidRPr="0030393A" w:rsidRDefault="00B0579C" w:rsidP="00B0579C">
      <w:pPr>
        <w:jc w:val="both"/>
        <w:rPr>
          <w:rFonts w:ascii="Arial" w:hAnsi="Arial" w:cs="Arial"/>
          <w:sz w:val="20"/>
          <w:szCs w:val="20"/>
        </w:rPr>
      </w:pPr>
      <w:r w:rsidRPr="0030393A">
        <w:rPr>
          <w:rFonts w:ascii="Arial" w:hAnsi="Arial" w:cs="Arial"/>
          <w:sz w:val="20"/>
          <w:szCs w:val="20"/>
        </w:rPr>
        <w:t>g) Fideicomisos, mandatos y análogos de los cuales es fideicomitente o fiduciario.</w:t>
      </w:r>
    </w:p>
    <w:p w14:paraId="735D9E8F" w14:textId="77777777" w:rsidR="00B0579C" w:rsidRDefault="00B0579C" w:rsidP="00B0579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sz w:val="20"/>
        </w:rPr>
        <w:t>No aplica</w:t>
      </w:r>
      <w:r w:rsidRPr="0030393A">
        <w:rPr>
          <w:sz w:val="20"/>
        </w:rPr>
        <w:tab/>
      </w:r>
    </w:p>
    <w:p w14:paraId="735D9E90" w14:textId="77777777" w:rsidR="00B0579C" w:rsidRDefault="00B0579C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99" w14:textId="08D10156" w:rsidR="00B0579C" w:rsidRDefault="00D74EF0" w:rsidP="00B0579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4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Bases de Preparación de los Estados Financieros</w:t>
      </w:r>
    </w:p>
    <w:p w14:paraId="0A21EDB1" w14:textId="77777777" w:rsidR="00D74EF0" w:rsidRDefault="00D74EF0" w:rsidP="00B0579C">
      <w:pPr>
        <w:pStyle w:val="Texto"/>
        <w:spacing w:after="0" w:line="240" w:lineRule="exact"/>
        <w:rPr>
          <w:sz w:val="20"/>
        </w:rPr>
      </w:pPr>
    </w:p>
    <w:p w14:paraId="735D9E9A" w14:textId="4DA9E779" w:rsidR="00B0579C" w:rsidRDefault="00B0579C" w:rsidP="00B0579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Se informará sobre:</w:t>
      </w:r>
    </w:p>
    <w:p w14:paraId="735D9E9B" w14:textId="77777777" w:rsidR="00B0579C" w:rsidRDefault="00B0579C" w:rsidP="00B0579C">
      <w:pPr>
        <w:pStyle w:val="Texto"/>
        <w:spacing w:after="0" w:line="240" w:lineRule="exact"/>
        <w:rPr>
          <w:sz w:val="20"/>
        </w:rPr>
      </w:pPr>
    </w:p>
    <w:p w14:paraId="735D9E9C" w14:textId="77777777" w:rsidR="00B0579C" w:rsidRDefault="00B0579C" w:rsidP="00B0579C">
      <w:pPr>
        <w:pStyle w:val="Texto"/>
        <w:numPr>
          <w:ilvl w:val="0"/>
          <w:numId w:val="17"/>
        </w:numPr>
        <w:spacing w:after="0" w:line="240" w:lineRule="exact"/>
        <w:rPr>
          <w:sz w:val="20"/>
        </w:rPr>
      </w:pPr>
      <w:r w:rsidRPr="0030393A">
        <w:rPr>
          <w:sz w:val="20"/>
        </w:rPr>
        <w:t>Si se ha observado la normatividad emitida por el CONAC y las disposiciones legales aplicables.</w:t>
      </w:r>
    </w:p>
    <w:p w14:paraId="735D9E9D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Se ha observado la Ley General de Contabilidad Gubernamental (LGCG) y se ha observado en cierta medida la normatividad emitida por el CONAC para la preparación y emisión de los estados financieros contables y presupuestales.</w:t>
      </w:r>
    </w:p>
    <w:p w14:paraId="735D9E9E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</w:p>
    <w:p w14:paraId="735D9E9F" w14:textId="77777777" w:rsidR="00B0579C" w:rsidRDefault="00B0579C" w:rsidP="00B0579C">
      <w:pPr>
        <w:pStyle w:val="Texto"/>
        <w:numPr>
          <w:ilvl w:val="0"/>
          <w:numId w:val="17"/>
        </w:numPr>
        <w:spacing w:after="0" w:line="240" w:lineRule="exact"/>
        <w:rPr>
          <w:sz w:val="20"/>
        </w:rPr>
      </w:pPr>
      <w:r w:rsidRPr="0030393A">
        <w:rPr>
          <w:sz w:val="20"/>
        </w:rPr>
        <w:lastRenderedPageBreak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14:paraId="735D9EA0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Todos los eventos que afectan económicamente al ITESI están cuantificados en términos monetarios y se registran al costo histórico. El costo histórico de las operaciones correspondiente el monto erogado para su adquisición conforme a la documentación contable original justificativa y comprobatoria.</w:t>
      </w:r>
    </w:p>
    <w:p w14:paraId="735D9EA1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</w:p>
    <w:p w14:paraId="735D9EA2" w14:textId="77777777" w:rsidR="00B0579C" w:rsidRDefault="00B0579C" w:rsidP="00B0579C">
      <w:pPr>
        <w:pStyle w:val="Texto"/>
        <w:numPr>
          <w:ilvl w:val="0"/>
          <w:numId w:val="17"/>
        </w:numPr>
        <w:spacing w:after="0" w:line="240" w:lineRule="exact"/>
        <w:rPr>
          <w:sz w:val="20"/>
        </w:rPr>
      </w:pPr>
      <w:r w:rsidRPr="0030393A">
        <w:rPr>
          <w:sz w:val="20"/>
        </w:rPr>
        <w:t>Postulados básicos</w:t>
      </w:r>
    </w:p>
    <w:p w14:paraId="735D9EA3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Las bases de preparación de los Estados Financieros del ITESI, aplican los Postulados Básicos de Sustancia Económica, Entes Públicos, Existencia Permanente, Revelación Suficiente, Importancia Relativa, Registro e Integración presupuestaria, Devengo Contable, Valuación, Dualidad Económica y Consistencia.</w:t>
      </w:r>
    </w:p>
    <w:p w14:paraId="735D9EA4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</w:p>
    <w:p w14:paraId="735D9EA5" w14:textId="77777777" w:rsidR="00B0579C" w:rsidRDefault="00B0579C" w:rsidP="00B0579C">
      <w:pPr>
        <w:pStyle w:val="Texto"/>
        <w:numPr>
          <w:ilvl w:val="0"/>
          <w:numId w:val="17"/>
        </w:numPr>
        <w:spacing w:after="0" w:line="240" w:lineRule="exact"/>
        <w:rPr>
          <w:sz w:val="20"/>
        </w:rPr>
      </w:pPr>
      <w:r w:rsidRPr="0030393A">
        <w:rPr>
          <w:sz w:val="20"/>
        </w:rPr>
        <w:t>Normatividad supletoria. En caso de emplear varios grupos de normatividades (normatividades supletorias), deberá realizar la justificación razonable correspondiente, su alineación con los PBCG y a las características cualitativas asociadas descritas en el MCCG (documentos publicados en el Diario Oficial de la Federación, agosto 2009).</w:t>
      </w:r>
    </w:p>
    <w:p w14:paraId="735D9EA6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A7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</w:p>
    <w:p w14:paraId="735D9EA8" w14:textId="77777777" w:rsidR="00B0579C" w:rsidRDefault="00B0579C" w:rsidP="00B0579C">
      <w:pPr>
        <w:pStyle w:val="Texto"/>
        <w:numPr>
          <w:ilvl w:val="0"/>
          <w:numId w:val="17"/>
        </w:numPr>
        <w:spacing w:after="0" w:line="240" w:lineRule="exact"/>
        <w:rPr>
          <w:sz w:val="20"/>
        </w:rPr>
      </w:pPr>
      <w:r w:rsidRPr="0030393A">
        <w:rPr>
          <w:sz w:val="20"/>
        </w:rPr>
        <w:t xml:space="preserve">Para las entidades que por primera vez estén implementando </w:t>
      </w:r>
      <w:r w:rsidR="00737EA1" w:rsidRPr="0030393A">
        <w:rPr>
          <w:sz w:val="20"/>
        </w:rPr>
        <w:t>la base devengada</w:t>
      </w:r>
      <w:r w:rsidRPr="0030393A">
        <w:rPr>
          <w:sz w:val="20"/>
        </w:rPr>
        <w:t xml:space="preserve"> de acuerdo a la Ley de Contabilidad, deberán:</w:t>
      </w:r>
    </w:p>
    <w:p w14:paraId="735D9EA9" w14:textId="77777777" w:rsidR="00B0579C" w:rsidRDefault="00B0579C" w:rsidP="00B0579C">
      <w:pPr>
        <w:pStyle w:val="Texto"/>
        <w:spacing w:after="0" w:line="240" w:lineRule="exact"/>
        <w:ind w:left="288" w:firstLine="0"/>
        <w:rPr>
          <w:rFonts w:ascii="Cambria Math" w:hAnsi="Cambria Math" w:cs="Cambria Math"/>
          <w:sz w:val="20"/>
        </w:rPr>
      </w:pPr>
    </w:p>
    <w:p w14:paraId="735D9EAA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 w:rsidRPr="0030393A">
        <w:rPr>
          <w:rFonts w:ascii="Cambria Math" w:hAnsi="Cambria Math" w:cs="Cambria Math"/>
          <w:sz w:val="20"/>
        </w:rPr>
        <w:t>‐</w:t>
      </w:r>
      <w:r w:rsidRPr="0030393A">
        <w:rPr>
          <w:sz w:val="20"/>
        </w:rPr>
        <w:t>Revelar las nuevas políticas de reconocimiento:</w:t>
      </w:r>
    </w:p>
    <w:p w14:paraId="735D9EAB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 xml:space="preserve">Ingresos: Los ingresos se reconocen cuando se tienen derecho </w:t>
      </w:r>
    </w:p>
    <w:p w14:paraId="735D9EAC" w14:textId="77777777" w:rsidR="00B0579C" w:rsidRDefault="00B0579C" w:rsidP="00B0579C">
      <w:pPr>
        <w:pStyle w:val="Texto"/>
        <w:spacing w:after="0" w:line="240" w:lineRule="exact"/>
        <w:ind w:left="288" w:firstLine="0"/>
        <w:rPr>
          <w:rFonts w:ascii="Cambria Math" w:hAnsi="Cambria Math" w:cs="Cambria Math"/>
          <w:sz w:val="20"/>
        </w:rPr>
      </w:pPr>
    </w:p>
    <w:p w14:paraId="735D9EAD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 w:rsidRPr="0030393A">
        <w:rPr>
          <w:rFonts w:ascii="Cambria Math" w:hAnsi="Cambria Math" w:cs="Cambria Math"/>
          <w:sz w:val="20"/>
        </w:rPr>
        <w:t>‐</w:t>
      </w:r>
      <w:r w:rsidRPr="0030393A">
        <w:rPr>
          <w:sz w:val="20"/>
        </w:rPr>
        <w:t>Plan de implementación:</w:t>
      </w:r>
    </w:p>
    <w:p w14:paraId="735D9EAE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AF" w14:textId="77777777" w:rsidR="00B0579C" w:rsidRDefault="00B0579C" w:rsidP="00B0579C">
      <w:pPr>
        <w:pStyle w:val="Texto"/>
        <w:spacing w:after="0" w:line="240" w:lineRule="exact"/>
        <w:ind w:left="288" w:firstLine="0"/>
        <w:rPr>
          <w:rFonts w:ascii="Cambria Math" w:hAnsi="Cambria Math" w:cs="Cambria Math"/>
          <w:sz w:val="20"/>
        </w:rPr>
      </w:pPr>
    </w:p>
    <w:p w14:paraId="735D9EB0" w14:textId="77777777" w:rsidR="00B0579C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 w:rsidRPr="0030393A">
        <w:rPr>
          <w:rFonts w:ascii="Cambria Math" w:hAnsi="Cambria Math" w:cs="Cambria Math"/>
          <w:sz w:val="20"/>
        </w:rPr>
        <w:t>‐</w:t>
      </w:r>
      <w:r w:rsidRPr="0030393A">
        <w:rPr>
          <w:sz w:val="20"/>
        </w:rPr>
        <w:t>Revelar los cambios en las políticas, la clasificación y medición de las mismas, así como su impacto en la información financiera:</w:t>
      </w:r>
    </w:p>
    <w:p w14:paraId="735D9EB1" w14:textId="77777777" w:rsidR="00B0579C" w:rsidRPr="0030393A" w:rsidRDefault="00B0579C" w:rsidP="00B0579C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B2" w14:textId="77777777" w:rsidR="00C137AC" w:rsidRPr="00C137AC" w:rsidRDefault="00C137AC" w:rsidP="00C137AC">
      <w:pPr>
        <w:pStyle w:val="Texto"/>
        <w:spacing w:after="0" w:line="240" w:lineRule="exact"/>
        <w:ind w:left="1440" w:hanging="360"/>
        <w:rPr>
          <w:sz w:val="20"/>
        </w:rPr>
      </w:pPr>
    </w:p>
    <w:p w14:paraId="735D9EB3" w14:textId="376978B5" w:rsidR="00502005" w:rsidRDefault="00D74EF0" w:rsidP="00502005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5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Políticas de Contabilidad Significativas</w:t>
      </w:r>
    </w:p>
    <w:p w14:paraId="21596CFD" w14:textId="77777777" w:rsidR="00D74EF0" w:rsidRDefault="00D74EF0" w:rsidP="00502005">
      <w:pPr>
        <w:pStyle w:val="Texto"/>
        <w:spacing w:after="0" w:line="240" w:lineRule="exact"/>
        <w:rPr>
          <w:sz w:val="20"/>
        </w:rPr>
      </w:pPr>
    </w:p>
    <w:p w14:paraId="735D9EB4" w14:textId="1ED99EF5" w:rsidR="00502005" w:rsidRDefault="00502005" w:rsidP="00502005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Se informará sobre:</w:t>
      </w:r>
    </w:p>
    <w:p w14:paraId="1DB3F054" w14:textId="77777777" w:rsidR="00D74EF0" w:rsidRDefault="00D74EF0" w:rsidP="00502005">
      <w:pPr>
        <w:pStyle w:val="Texto"/>
        <w:spacing w:after="0" w:line="240" w:lineRule="exact"/>
        <w:rPr>
          <w:sz w:val="20"/>
        </w:rPr>
      </w:pPr>
    </w:p>
    <w:p w14:paraId="735D9EB5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 xml:space="preserve">Actualización: se informará del método utilizado para la actualización del valor de los activos, pasivos y Hacienda Pública y/o patrimonio y las razones </w:t>
      </w:r>
      <w:r>
        <w:rPr>
          <w:sz w:val="20"/>
        </w:rPr>
        <w:t>d</w:t>
      </w:r>
      <w:r w:rsidRPr="0030393A">
        <w:rPr>
          <w:sz w:val="20"/>
        </w:rPr>
        <w:t>e dicha elección. Así como informar de la desconexión o reconexión inflacionaria:</w:t>
      </w:r>
    </w:p>
    <w:p w14:paraId="735D9EB6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B7" w14:textId="77777777" w:rsidR="00502005" w:rsidRDefault="00502005" w:rsidP="00502005">
      <w:pPr>
        <w:pStyle w:val="Texto"/>
        <w:spacing w:after="0" w:line="240" w:lineRule="exact"/>
        <w:rPr>
          <w:sz w:val="20"/>
        </w:rPr>
      </w:pPr>
    </w:p>
    <w:p w14:paraId="735D9EB8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>Informar sobre la realización de operaciones en el extranjero y de sus efectos en la información financiera gubernamental:</w:t>
      </w:r>
    </w:p>
    <w:p w14:paraId="735D9EB9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BA" w14:textId="77777777" w:rsidR="00502005" w:rsidRDefault="00502005" w:rsidP="00502005">
      <w:pPr>
        <w:pStyle w:val="Texto"/>
        <w:spacing w:after="0" w:line="240" w:lineRule="exact"/>
        <w:ind w:left="648" w:firstLine="0"/>
        <w:rPr>
          <w:sz w:val="20"/>
        </w:rPr>
      </w:pPr>
    </w:p>
    <w:p w14:paraId="735D9EBB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>Método de valuación de la inversión en acciones de Compañías subsidiarias no consolidadas y asociadas:</w:t>
      </w:r>
    </w:p>
    <w:p w14:paraId="735D9EBC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BE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lastRenderedPageBreak/>
        <w:t>Sistema y método de valuación de inventarios y costo de lo vendido:</w:t>
      </w:r>
    </w:p>
    <w:p w14:paraId="735D9EBF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C0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C1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>Beneficios a empleados: revelar el cálculo de la reserva actuarial, valor presente de los ingresos esperados comparado con el valor presente de la estimación de gastos tanto de los beneficiarios actuales como futuros:</w:t>
      </w:r>
    </w:p>
    <w:p w14:paraId="735D9EC2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C3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C4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>Provisiones: objetivo de su creación, monto y plazo:</w:t>
      </w:r>
    </w:p>
    <w:p w14:paraId="735D9EC5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C6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C7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>Reservas: objetivo de su creación, monto y plazo:</w:t>
      </w:r>
    </w:p>
    <w:p w14:paraId="735D9EC8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C9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CA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 xml:space="preserve">Cambios en políticas contables y corrección de errores junto con la revelación de los efectos que se tendrá en la </w:t>
      </w:r>
      <w:r>
        <w:rPr>
          <w:sz w:val="20"/>
        </w:rPr>
        <w:t xml:space="preserve">información financiera del ente </w:t>
      </w:r>
      <w:r w:rsidRPr="0030393A">
        <w:rPr>
          <w:sz w:val="20"/>
        </w:rPr>
        <w:t>público, ya sea retrospectivos o prospectivos:</w:t>
      </w:r>
    </w:p>
    <w:p w14:paraId="735D9ECB" w14:textId="77777777" w:rsidR="00BF73A7" w:rsidRDefault="00BF73A7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CC" w14:textId="77777777" w:rsidR="00502005" w:rsidRP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 w:rsidRPr="00502005">
        <w:rPr>
          <w:sz w:val="20"/>
        </w:rPr>
        <w:t xml:space="preserve">Los Organismos Descentralizados, a partir del ejercicio fiscal 2011 han venido presentando la nueva estructura de registro contable y presupuestal normada por el CONAC. Asimismo, las guías contabilizadoras, la matriz de conversión y los nuevos procesos de Registro que de ellas emanan han sido aplicadas en el SIHP </w:t>
      </w:r>
    </w:p>
    <w:p w14:paraId="735D9ECD" w14:textId="77777777" w:rsidR="00502005" w:rsidRDefault="00502005" w:rsidP="00502005">
      <w:pPr>
        <w:pStyle w:val="Prrafodelista"/>
        <w:rPr>
          <w:sz w:val="20"/>
        </w:rPr>
      </w:pPr>
    </w:p>
    <w:p w14:paraId="735D9ECE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502005">
        <w:rPr>
          <w:sz w:val="20"/>
        </w:rPr>
        <w:t>Reclasificaciones: Se deben revelar todos aquellos movimientos entre cuentas por efectos de cambios en los tipos de operaciones:</w:t>
      </w:r>
    </w:p>
    <w:p w14:paraId="735D9ECF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D0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D1" w14:textId="77777777" w:rsidR="00502005" w:rsidRDefault="00502005" w:rsidP="00502005">
      <w:pPr>
        <w:pStyle w:val="Texto"/>
        <w:numPr>
          <w:ilvl w:val="0"/>
          <w:numId w:val="18"/>
        </w:numPr>
        <w:spacing w:after="0" w:line="240" w:lineRule="exact"/>
        <w:rPr>
          <w:sz w:val="20"/>
        </w:rPr>
      </w:pPr>
      <w:r w:rsidRPr="0030393A">
        <w:rPr>
          <w:sz w:val="20"/>
        </w:rPr>
        <w:t>Depuración y cancelación de saldos:</w:t>
      </w:r>
    </w:p>
    <w:p w14:paraId="735D9ED2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D3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D7" w14:textId="1575E3D1" w:rsidR="00502005" w:rsidRDefault="00D74EF0" w:rsidP="00502005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6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Posición en Moneda Extranjera y Protección por Riesgo Cambiario</w:t>
      </w:r>
    </w:p>
    <w:p w14:paraId="735D9ED8" w14:textId="77777777" w:rsidR="00502005" w:rsidRPr="00D74EF0" w:rsidRDefault="00502005" w:rsidP="00502005">
      <w:pPr>
        <w:pStyle w:val="Texto"/>
        <w:spacing w:after="0" w:line="240" w:lineRule="exact"/>
        <w:rPr>
          <w:sz w:val="20"/>
          <w:lang w:val="es-MX"/>
        </w:rPr>
      </w:pPr>
    </w:p>
    <w:p w14:paraId="735D9ED9" w14:textId="77777777" w:rsidR="00502005" w:rsidRDefault="00502005" w:rsidP="00502005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Se informará sobre:</w:t>
      </w:r>
    </w:p>
    <w:p w14:paraId="735D9EDA" w14:textId="77777777" w:rsidR="00502005" w:rsidRDefault="00502005" w:rsidP="00502005">
      <w:pPr>
        <w:pStyle w:val="Texto"/>
        <w:spacing w:after="0" w:line="240" w:lineRule="exact"/>
        <w:rPr>
          <w:sz w:val="20"/>
        </w:rPr>
      </w:pPr>
    </w:p>
    <w:p w14:paraId="735D9EDB" w14:textId="77777777" w:rsidR="00502005" w:rsidRDefault="00502005" w:rsidP="00502005">
      <w:pPr>
        <w:pStyle w:val="Texto"/>
        <w:numPr>
          <w:ilvl w:val="0"/>
          <w:numId w:val="19"/>
        </w:numPr>
        <w:spacing w:after="0" w:line="240" w:lineRule="exact"/>
        <w:rPr>
          <w:sz w:val="20"/>
        </w:rPr>
      </w:pPr>
      <w:r w:rsidRPr="0030393A">
        <w:rPr>
          <w:sz w:val="20"/>
        </w:rPr>
        <w:t>Activos en moneda extranjera:</w:t>
      </w:r>
    </w:p>
    <w:p w14:paraId="735D9EDC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DD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DE" w14:textId="77777777" w:rsidR="00502005" w:rsidRDefault="00502005" w:rsidP="00502005">
      <w:pPr>
        <w:pStyle w:val="Texto"/>
        <w:numPr>
          <w:ilvl w:val="0"/>
          <w:numId w:val="19"/>
        </w:numPr>
        <w:spacing w:after="0" w:line="240" w:lineRule="exact"/>
        <w:rPr>
          <w:sz w:val="20"/>
        </w:rPr>
      </w:pPr>
      <w:r w:rsidRPr="0030393A">
        <w:rPr>
          <w:sz w:val="20"/>
        </w:rPr>
        <w:t>Pasivos en moneda extranjera:</w:t>
      </w:r>
    </w:p>
    <w:p w14:paraId="735D9EDF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E0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E1" w14:textId="77777777" w:rsidR="00502005" w:rsidRDefault="00502005" w:rsidP="00502005">
      <w:pPr>
        <w:pStyle w:val="Texto"/>
        <w:numPr>
          <w:ilvl w:val="0"/>
          <w:numId w:val="19"/>
        </w:numPr>
        <w:spacing w:after="0" w:line="240" w:lineRule="exact"/>
        <w:rPr>
          <w:sz w:val="20"/>
        </w:rPr>
      </w:pPr>
      <w:r w:rsidRPr="0030393A">
        <w:rPr>
          <w:sz w:val="20"/>
        </w:rPr>
        <w:t>Posición en moneda extranjera:</w:t>
      </w:r>
    </w:p>
    <w:p w14:paraId="735D9EE2" w14:textId="17547E88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1F86DDBB" w14:textId="77777777" w:rsidR="00D74EF0" w:rsidRDefault="00D74EF0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E3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E4" w14:textId="77777777" w:rsidR="00502005" w:rsidRDefault="00502005" w:rsidP="00502005">
      <w:pPr>
        <w:pStyle w:val="Texto"/>
        <w:numPr>
          <w:ilvl w:val="0"/>
          <w:numId w:val="19"/>
        </w:numPr>
        <w:spacing w:after="0" w:line="240" w:lineRule="exact"/>
        <w:rPr>
          <w:sz w:val="20"/>
        </w:rPr>
      </w:pPr>
      <w:r w:rsidRPr="0030393A">
        <w:rPr>
          <w:sz w:val="20"/>
        </w:rPr>
        <w:lastRenderedPageBreak/>
        <w:t>Tipo de cambio:</w:t>
      </w:r>
    </w:p>
    <w:p w14:paraId="735D9EE5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>
        <w:rPr>
          <w:sz w:val="20"/>
        </w:rPr>
        <w:t>No aplica</w:t>
      </w:r>
    </w:p>
    <w:p w14:paraId="735D9EE6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E7" w14:textId="77777777" w:rsidR="00502005" w:rsidRDefault="00502005" w:rsidP="00502005">
      <w:pPr>
        <w:pStyle w:val="Texto"/>
        <w:numPr>
          <w:ilvl w:val="0"/>
          <w:numId w:val="19"/>
        </w:numPr>
        <w:spacing w:after="0" w:line="240" w:lineRule="exact"/>
        <w:rPr>
          <w:sz w:val="20"/>
        </w:rPr>
      </w:pPr>
      <w:r w:rsidRPr="0030393A">
        <w:rPr>
          <w:sz w:val="20"/>
        </w:rPr>
        <w:t>Equivalente en moneda nacional:</w:t>
      </w:r>
    </w:p>
    <w:p w14:paraId="735D9EE8" w14:textId="77777777" w:rsidR="00502005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</w:p>
    <w:p w14:paraId="735D9EE9" w14:textId="77777777" w:rsidR="00502005" w:rsidRPr="0030393A" w:rsidRDefault="00502005" w:rsidP="00502005">
      <w:pPr>
        <w:pStyle w:val="Texto"/>
        <w:spacing w:after="0" w:line="240" w:lineRule="exact"/>
        <w:ind w:left="288" w:firstLine="0"/>
        <w:rPr>
          <w:sz w:val="20"/>
        </w:rPr>
      </w:pPr>
      <w:r w:rsidRPr="0030393A">
        <w:rPr>
          <w:sz w:val="20"/>
        </w:rPr>
        <w:t>Lo anterior por cada tipo de moneda extranjera que se encuentre en los rubros de activo y pasivo.</w:t>
      </w:r>
    </w:p>
    <w:p w14:paraId="735D9EEA" w14:textId="77777777" w:rsidR="00BF73A7" w:rsidRDefault="00BF73A7" w:rsidP="00502005">
      <w:pPr>
        <w:pStyle w:val="Texto"/>
        <w:spacing w:after="0" w:line="240" w:lineRule="exact"/>
        <w:rPr>
          <w:sz w:val="20"/>
        </w:rPr>
      </w:pPr>
    </w:p>
    <w:p w14:paraId="735D9EEB" w14:textId="77777777" w:rsidR="00C137AC" w:rsidRPr="00C137AC" w:rsidRDefault="00502005" w:rsidP="00502005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Adicionalmente se informará sobre los métodos de protección de riesgo por variaciones en el tipo de cambio.</w:t>
      </w:r>
      <w:r w:rsidRPr="0030393A">
        <w:rPr>
          <w:sz w:val="20"/>
        </w:rPr>
        <w:tab/>
      </w:r>
    </w:p>
    <w:p w14:paraId="735D9EEC" w14:textId="77777777" w:rsidR="00502005" w:rsidRDefault="00502005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ED" w14:textId="78A28C2D" w:rsidR="008602AC" w:rsidRDefault="00D74EF0" w:rsidP="008602A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7</w:t>
      </w:r>
      <w:r w:rsidR="00C137AC" w:rsidRPr="00C137AC">
        <w:rPr>
          <w:b/>
          <w:sz w:val="20"/>
          <w:lang w:val="es-MX"/>
        </w:rPr>
        <w:t xml:space="preserve">. </w:t>
      </w:r>
      <w:r w:rsidR="00C137AC" w:rsidRPr="008602AC">
        <w:rPr>
          <w:b/>
          <w:sz w:val="20"/>
          <w:lang w:val="es-MX"/>
        </w:rPr>
        <w:t>Reporte Analítico del Activo</w:t>
      </w:r>
    </w:p>
    <w:p w14:paraId="0EE88C04" w14:textId="77777777" w:rsidR="00D74EF0" w:rsidRDefault="00D74EF0" w:rsidP="008602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EEE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Debe mostrar la siguiente información:</w:t>
      </w:r>
      <w:r w:rsidRPr="008602AC">
        <w:rPr>
          <w:sz w:val="20"/>
          <w:lang w:val="es-MX"/>
        </w:rPr>
        <w:tab/>
      </w:r>
      <w:r w:rsidRPr="008602AC">
        <w:rPr>
          <w:sz w:val="20"/>
          <w:lang w:val="es-MX"/>
        </w:rPr>
        <w:tab/>
      </w:r>
      <w:r w:rsidRPr="008602AC">
        <w:rPr>
          <w:sz w:val="20"/>
          <w:lang w:val="es-MX"/>
        </w:rPr>
        <w:tab/>
      </w:r>
    </w:p>
    <w:p w14:paraId="735D9EEF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EF0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Vida útil o porcentajes de depreciación, deterioro o amortización utilizados en los diferentes tipos de activos:</w:t>
      </w:r>
    </w:p>
    <w:p w14:paraId="735D9EF1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EF2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EF3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Cambios en el porcentaje de depreciación o valor residual de los activos:</w:t>
      </w:r>
    </w:p>
    <w:p w14:paraId="735D9EF4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EF5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EF6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Importe de los gastos capitalizados en el ejercicio, tanto financieros como de investigación y desarrollo:</w:t>
      </w:r>
    </w:p>
    <w:p w14:paraId="735D9EF7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EF8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EF9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Riegos por tipo de cambio o tipo de interés de las inversiones financieras:</w:t>
      </w:r>
    </w:p>
    <w:p w14:paraId="735D9EFA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EFB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EFC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Valor activado en el ejercicio de los bienes construidos por la entidad:</w:t>
      </w:r>
    </w:p>
    <w:p w14:paraId="735D9EFD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EFE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EFF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Otras circunstancias de carácter significativo que afecten el activo, tales como bienes en garantía, señalados en</w:t>
      </w:r>
      <w:r>
        <w:rPr>
          <w:sz w:val="20"/>
          <w:lang w:val="es-MX"/>
        </w:rPr>
        <w:t xml:space="preserve"> embargos, litigios, títulos de </w:t>
      </w:r>
      <w:r w:rsidRPr="008602AC">
        <w:rPr>
          <w:sz w:val="20"/>
          <w:lang w:val="es-MX"/>
        </w:rPr>
        <w:t>inversiones entregados en garantías, baja significativa del valor de inversiones financieras, etc.:</w:t>
      </w:r>
    </w:p>
    <w:p w14:paraId="735D9F00" w14:textId="77777777" w:rsidR="008602AC" w:rsidRDefault="008602AC" w:rsidP="008602AC">
      <w:pPr>
        <w:pStyle w:val="Texto"/>
        <w:spacing w:after="0" w:line="240" w:lineRule="exact"/>
        <w:ind w:left="288" w:firstLine="0"/>
        <w:rPr>
          <w:sz w:val="20"/>
          <w:lang w:val="es-MX"/>
        </w:rPr>
      </w:pPr>
      <w:r>
        <w:rPr>
          <w:sz w:val="20"/>
          <w:lang w:val="es-MX"/>
        </w:rPr>
        <w:t xml:space="preserve">      </w:t>
      </w:r>
      <w:r w:rsidRPr="008602AC">
        <w:rPr>
          <w:sz w:val="20"/>
          <w:lang w:val="es-MX"/>
        </w:rPr>
        <w:t>No aplica</w:t>
      </w:r>
    </w:p>
    <w:p w14:paraId="735D9F01" w14:textId="77777777" w:rsidR="008602AC" w:rsidRDefault="008602AC" w:rsidP="008602AC">
      <w:pPr>
        <w:pStyle w:val="Texto"/>
        <w:spacing w:after="0" w:line="240" w:lineRule="exact"/>
        <w:ind w:left="288" w:firstLine="0"/>
        <w:rPr>
          <w:sz w:val="20"/>
          <w:lang w:val="es-MX"/>
        </w:rPr>
      </w:pPr>
    </w:p>
    <w:p w14:paraId="735D9F02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Desmantelamiento de Activos, procedimientos, implicaciones, efectos contables:</w:t>
      </w:r>
    </w:p>
    <w:p w14:paraId="735D9F03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F04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F05" w14:textId="77777777" w:rsidR="008602AC" w:rsidRDefault="008602AC" w:rsidP="008602AC">
      <w:pPr>
        <w:pStyle w:val="Texto"/>
        <w:numPr>
          <w:ilvl w:val="0"/>
          <w:numId w:val="20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Administración de activos; planeación con el objetivo de que el ente los utilice de manera más efectiva:</w:t>
      </w:r>
    </w:p>
    <w:p w14:paraId="735D9F06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  <w:r w:rsidRPr="008602AC">
        <w:rPr>
          <w:sz w:val="20"/>
          <w:lang w:val="es-MX"/>
        </w:rPr>
        <w:tab/>
      </w:r>
    </w:p>
    <w:p w14:paraId="735D9F07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8503DBF" w14:textId="77777777" w:rsidR="00D74EF0" w:rsidRDefault="00D74EF0" w:rsidP="008602AC">
      <w:pPr>
        <w:pStyle w:val="Texto"/>
        <w:spacing w:after="0" w:line="240" w:lineRule="exact"/>
        <w:rPr>
          <w:sz w:val="20"/>
          <w:lang w:val="es-MX"/>
        </w:rPr>
      </w:pPr>
    </w:p>
    <w:p w14:paraId="5A0E06D5" w14:textId="77777777" w:rsidR="00D74EF0" w:rsidRDefault="00D74EF0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F09" w14:textId="4A1FDD84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lastRenderedPageBreak/>
        <w:t>Adicionalmente, se deben incluir las explicaciones de las principales variaciones en el activo, en cua</w:t>
      </w:r>
      <w:r>
        <w:rPr>
          <w:sz w:val="20"/>
          <w:lang w:val="es-MX"/>
        </w:rPr>
        <w:t>dros comparativos como sigue:</w:t>
      </w:r>
    </w:p>
    <w:p w14:paraId="4381F488" w14:textId="77777777" w:rsidR="00D74EF0" w:rsidRDefault="00D74EF0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F0A" w14:textId="77777777" w:rsidR="008602AC" w:rsidRDefault="008602AC" w:rsidP="008602AC">
      <w:pPr>
        <w:pStyle w:val="Texto"/>
        <w:numPr>
          <w:ilvl w:val="0"/>
          <w:numId w:val="21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Inversiones en valores:</w:t>
      </w:r>
    </w:p>
    <w:p w14:paraId="735D9F0B" w14:textId="77777777" w:rsidR="008602AC" w:rsidRDefault="008602AC" w:rsidP="008602AC">
      <w:pPr>
        <w:pStyle w:val="Texto"/>
        <w:spacing w:after="0" w:line="240" w:lineRule="exact"/>
        <w:ind w:left="288" w:firstLine="0"/>
        <w:rPr>
          <w:sz w:val="20"/>
          <w:lang w:val="es-MX"/>
        </w:rPr>
      </w:pPr>
      <w:r>
        <w:rPr>
          <w:sz w:val="20"/>
          <w:lang w:val="es-MX"/>
        </w:rPr>
        <w:t xml:space="preserve">      </w:t>
      </w:r>
      <w:r w:rsidRPr="008602AC">
        <w:rPr>
          <w:sz w:val="20"/>
          <w:lang w:val="es-MX"/>
        </w:rPr>
        <w:t>No aplica</w:t>
      </w:r>
    </w:p>
    <w:p w14:paraId="735D9F0C" w14:textId="77777777" w:rsidR="008602AC" w:rsidRDefault="008602AC" w:rsidP="008602AC">
      <w:pPr>
        <w:pStyle w:val="Texto"/>
        <w:spacing w:after="0" w:line="240" w:lineRule="exact"/>
        <w:ind w:left="288" w:firstLine="0"/>
        <w:rPr>
          <w:sz w:val="20"/>
          <w:lang w:val="es-MX"/>
        </w:rPr>
      </w:pPr>
    </w:p>
    <w:p w14:paraId="735D9F0D" w14:textId="77777777" w:rsidR="008602AC" w:rsidRDefault="008602AC" w:rsidP="008602AC">
      <w:pPr>
        <w:pStyle w:val="Texto"/>
        <w:numPr>
          <w:ilvl w:val="0"/>
          <w:numId w:val="21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Patrimonio de Organismos descentralizados de Control Presupuestario Indirecto:</w:t>
      </w:r>
    </w:p>
    <w:p w14:paraId="735D9F0E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F0F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F10" w14:textId="77777777" w:rsidR="008602AC" w:rsidRDefault="008602AC" w:rsidP="008602AC">
      <w:pPr>
        <w:pStyle w:val="Texto"/>
        <w:numPr>
          <w:ilvl w:val="0"/>
          <w:numId w:val="21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Inversiones en empresas de participación mayoritaria:</w:t>
      </w:r>
    </w:p>
    <w:p w14:paraId="735D9F11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F12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F13" w14:textId="77777777" w:rsidR="008602AC" w:rsidRDefault="008602AC" w:rsidP="008602AC">
      <w:pPr>
        <w:pStyle w:val="Texto"/>
        <w:numPr>
          <w:ilvl w:val="0"/>
          <w:numId w:val="21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Inversiones en empresas de participación minoritaria:</w:t>
      </w:r>
    </w:p>
    <w:p w14:paraId="735D9F14" w14:textId="77777777" w:rsid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F15" w14:textId="77777777" w:rsidR="008602AC" w:rsidRDefault="008602AC" w:rsidP="008602AC">
      <w:pPr>
        <w:pStyle w:val="Texto"/>
        <w:spacing w:after="0" w:line="240" w:lineRule="exact"/>
        <w:rPr>
          <w:sz w:val="20"/>
          <w:lang w:val="es-MX"/>
        </w:rPr>
      </w:pPr>
    </w:p>
    <w:p w14:paraId="735D9F16" w14:textId="77777777" w:rsidR="008602AC" w:rsidRDefault="008602AC" w:rsidP="008602AC">
      <w:pPr>
        <w:pStyle w:val="Texto"/>
        <w:numPr>
          <w:ilvl w:val="0"/>
          <w:numId w:val="21"/>
        </w:numPr>
        <w:spacing w:after="0" w:line="240" w:lineRule="exact"/>
        <w:rPr>
          <w:sz w:val="20"/>
          <w:lang w:val="es-MX"/>
        </w:rPr>
      </w:pPr>
      <w:r w:rsidRPr="008602AC">
        <w:rPr>
          <w:sz w:val="20"/>
          <w:lang w:val="es-MX"/>
        </w:rPr>
        <w:t>Patrimonio de organismos descentralizados de control presupuestario directo, según corresponda:</w:t>
      </w:r>
    </w:p>
    <w:p w14:paraId="735D9F17" w14:textId="77777777" w:rsidR="008602AC" w:rsidRPr="008602AC" w:rsidRDefault="008602AC" w:rsidP="008602AC">
      <w:pPr>
        <w:pStyle w:val="Texto"/>
        <w:spacing w:after="0" w:line="240" w:lineRule="exact"/>
        <w:ind w:left="648" w:firstLine="0"/>
        <w:rPr>
          <w:sz w:val="20"/>
          <w:lang w:val="es-MX"/>
        </w:rPr>
      </w:pPr>
      <w:r w:rsidRPr="008602AC">
        <w:rPr>
          <w:sz w:val="20"/>
          <w:lang w:val="es-MX"/>
        </w:rPr>
        <w:t>No aplica</w:t>
      </w:r>
    </w:p>
    <w:p w14:paraId="735D9F18" w14:textId="77777777" w:rsidR="00C137AC" w:rsidRPr="00C137AC" w:rsidRDefault="00C137AC" w:rsidP="00C137AC">
      <w:pPr>
        <w:pStyle w:val="INCISO"/>
        <w:spacing w:after="0" w:line="240" w:lineRule="exact"/>
        <w:ind w:left="0" w:firstLine="0"/>
        <w:rPr>
          <w:sz w:val="20"/>
          <w:szCs w:val="20"/>
        </w:rPr>
      </w:pPr>
    </w:p>
    <w:p w14:paraId="735D9F19" w14:textId="65648B0B" w:rsidR="00C137AC" w:rsidRPr="00C137AC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8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Fideicomisos, Mandatos y Análogos</w:t>
      </w:r>
    </w:p>
    <w:p w14:paraId="735D9F1A" w14:textId="77777777" w:rsidR="008602AC" w:rsidRDefault="008602AC" w:rsidP="008602AC">
      <w:pPr>
        <w:pStyle w:val="Texto"/>
        <w:spacing w:line="240" w:lineRule="exact"/>
        <w:rPr>
          <w:sz w:val="20"/>
        </w:rPr>
      </w:pPr>
    </w:p>
    <w:p w14:paraId="735D9F1B" w14:textId="77777777" w:rsidR="008602AC" w:rsidRPr="008602AC" w:rsidRDefault="008602AC" w:rsidP="008602AC">
      <w:pPr>
        <w:pStyle w:val="Texto"/>
        <w:spacing w:line="240" w:lineRule="exact"/>
        <w:rPr>
          <w:sz w:val="20"/>
        </w:rPr>
      </w:pPr>
      <w:r w:rsidRPr="008602AC">
        <w:rPr>
          <w:sz w:val="20"/>
        </w:rPr>
        <w:t>a) Análisis del comportamiento de la recaudación correspondiente al ente público o cualquier tipo de ingreso, de forma separada los ingresos locales de los federales:</w:t>
      </w:r>
    </w:p>
    <w:p w14:paraId="735D9F1C" w14:textId="77777777" w:rsidR="008602AC" w:rsidRPr="008602AC" w:rsidRDefault="008602AC" w:rsidP="008602AC">
      <w:pPr>
        <w:pStyle w:val="Texto"/>
        <w:spacing w:line="240" w:lineRule="exact"/>
        <w:rPr>
          <w:sz w:val="20"/>
        </w:rPr>
      </w:pPr>
      <w:r w:rsidRPr="008602AC">
        <w:rPr>
          <w:sz w:val="20"/>
        </w:rPr>
        <w:t>No aplica</w:t>
      </w:r>
      <w:r w:rsidRPr="008602AC">
        <w:rPr>
          <w:sz w:val="20"/>
        </w:rPr>
        <w:tab/>
      </w:r>
    </w:p>
    <w:p w14:paraId="735D9F1D" w14:textId="77777777" w:rsidR="008602AC" w:rsidRDefault="008602AC" w:rsidP="008602AC">
      <w:pPr>
        <w:pStyle w:val="Texto"/>
        <w:spacing w:line="240" w:lineRule="exact"/>
        <w:rPr>
          <w:sz w:val="20"/>
        </w:rPr>
      </w:pPr>
    </w:p>
    <w:p w14:paraId="735D9F1E" w14:textId="77777777" w:rsidR="008602AC" w:rsidRPr="008602AC" w:rsidRDefault="008602AC" w:rsidP="008602AC">
      <w:pPr>
        <w:pStyle w:val="Texto"/>
        <w:spacing w:line="240" w:lineRule="exact"/>
        <w:rPr>
          <w:sz w:val="20"/>
        </w:rPr>
      </w:pPr>
      <w:r w:rsidRPr="008602AC">
        <w:rPr>
          <w:sz w:val="20"/>
        </w:rPr>
        <w:t>b) Proyección de la recaudación e ingresos en el mediano plazo:</w:t>
      </w:r>
    </w:p>
    <w:p w14:paraId="735D9F1F" w14:textId="77777777" w:rsidR="008602AC" w:rsidRDefault="008602AC" w:rsidP="008602AC">
      <w:pPr>
        <w:pStyle w:val="Texto"/>
        <w:spacing w:after="0" w:line="240" w:lineRule="exact"/>
        <w:rPr>
          <w:sz w:val="20"/>
        </w:rPr>
      </w:pPr>
      <w:r w:rsidRPr="008602AC">
        <w:rPr>
          <w:sz w:val="20"/>
        </w:rPr>
        <w:t>No aplica</w:t>
      </w:r>
    </w:p>
    <w:p w14:paraId="735D9F20" w14:textId="1C3A7600" w:rsidR="008602AC" w:rsidRDefault="008602AC" w:rsidP="008602AC">
      <w:pPr>
        <w:pStyle w:val="Texto"/>
        <w:spacing w:after="0" w:line="240" w:lineRule="exact"/>
        <w:rPr>
          <w:sz w:val="20"/>
        </w:rPr>
      </w:pPr>
    </w:p>
    <w:p w14:paraId="735D9F23" w14:textId="5AA217C1" w:rsidR="008602AC" w:rsidRDefault="00D74EF0" w:rsidP="008602AC">
      <w:pPr>
        <w:pStyle w:val="Texto"/>
        <w:spacing w:after="0" w:line="240" w:lineRule="exact"/>
        <w:rPr>
          <w:b/>
          <w:sz w:val="20"/>
          <w:lang w:val="es-MX"/>
        </w:rPr>
      </w:pPr>
      <w:r>
        <w:rPr>
          <w:b/>
          <w:sz w:val="20"/>
          <w:lang w:val="es-MX"/>
        </w:rPr>
        <w:t>9</w:t>
      </w:r>
      <w:r w:rsidR="00C137AC" w:rsidRPr="00C137AC">
        <w:rPr>
          <w:b/>
          <w:sz w:val="20"/>
          <w:lang w:val="es-MX"/>
        </w:rPr>
        <w:t>.</w:t>
      </w:r>
      <w:r w:rsidR="00C137AC" w:rsidRPr="00C137AC">
        <w:rPr>
          <w:b/>
          <w:sz w:val="20"/>
          <w:lang w:val="es-MX"/>
        </w:rPr>
        <w:tab/>
        <w:t>Reporte de la Recaudación</w:t>
      </w:r>
    </w:p>
    <w:p w14:paraId="735D9F24" w14:textId="77777777" w:rsidR="008602AC" w:rsidRDefault="008602AC" w:rsidP="008602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25" w14:textId="77777777" w:rsidR="008602AC" w:rsidRPr="008602AC" w:rsidRDefault="008602AC" w:rsidP="008602AC">
      <w:pPr>
        <w:pStyle w:val="Texto"/>
        <w:spacing w:after="0" w:line="240" w:lineRule="exact"/>
        <w:ind w:left="288" w:firstLine="0"/>
        <w:rPr>
          <w:b/>
          <w:sz w:val="20"/>
          <w:lang w:val="es-MX"/>
        </w:rPr>
      </w:pPr>
      <w:r w:rsidRPr="0030393A">
        <w:rPr>
          <w:sz w:val="20"/>
        </w:rPr>
        <w:t>a) Análisis del comportamiento de la recaudación correspondiente al ente público o cualquier tipo de ingreso, de forma separada los ingresos locales de los federales:</w:t>
      </w:r>
    </w:p>
    <w:p w14:paraId="735D9F26" w14:textId="70107517" w:rsidR="008602AC" w:rsidRDefault="008602AC" w:rsidP="008602AC">
      <w:pPr>
        <w:ind w:firstLine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aplica</w:t>
      </w:r>
      <w:r w:rsidRPr="0030393A">
        <w:rPr>
          <w:rFonts w:ascii="Arial" w:hAnsi="Arial" w:cs="Arial"/>
          <w:sz w:val="20"/>
          <w:szCs w:val="20"/>
        </w:rPr>
        <w:tab/>
      </w:r>
    </w:p>
    <w:p w14:paraId="4268DEF4" w14:textId="77777777" w:rsidR="00D74EF0" w:rsidRDefault="00D74EF0" w:rsidP="008602AC">
      <w:pPr>
        <w:ind w:firstLine="288"/>
        <w:jc w:val="both"/>
        <w:rPr>
          <w:rFonts w:ascii="Arial" w:hAnsi="Arial" w:cs="Arial"/>
          <w:sz w:val="20"/>
          <w:szCs w:val="20"/>
        </w:rPr>
      </w:pPr>
    </w:p>
    <w:p w14:paraId="735D9F27" w14:textId="77777777" w:rsidR="008602AC" w:rsidRDefault="008602AC" w:rsidP="008602AC">
      <w:pPr>
        <w:ind w:firstLine="288"/>
        <w:jc w:val="both"/>
        <w:rPr>
          <w:rFonts w:ascii="Arial" w:hAnsi="Arial" w:cs="Arial"/>
          <w:sz w:val="20"/>
          <w:szCs w:val="20"/>
        </w:rPr>
      </w:pPr>
      <w:r w:rsidRPr="0030393A">
        <w:rPr>
          <w:rFonts w:ascii="Arial" w:hAnsi="Arial" w:cs="Arial"/>
          <w:sz w:val="20"/>
          <w:szCs w:val="20"/>
        </w:rPr>
        <w:t>b) Proyección de la recaudación e ingresos en el mediano plazo:</w:t>
      </w:r>
    </w:p>
    <w:p w14:paraId="735D9F28" w14:textId="77777777" w:rsidR="008602AC" w:rsidRPr="0030393A" w:rsidRDefault="008602AC" w:rsidP="008602AC">
      <w:pPr>
        <w:ind w:firstLine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aplica</w:t>
      </w:r>
    </w:p>
    <w:p w14:paraId="735D9F29" w14:textId="0CD5FEFA" w:rsidR="00C137AC" w:rsidRDefault="00C137AC" w:rsidP="00C137AC">
      <w:pPr>
        <w:pStyle w:val="INCISO"/>
        <w:spacing w:after="0" w:line="240" w:lineRule="exact"/>
        <w:ind w:left="0" w:firstLine="0"/>
        <w:rPr>
          <w:sz w:val="20"/>
          <w:szCs w:val="20"/>
        </w:rPr>
      </w:pPr>
    </w:p>
    <w:p w14:paraId="08A365A9" w14:textId="7F7FB7A4" w:rsidR="00D74EF0" w:rsidRDefault="00D74EF0" w:rsidP="00C137AC">
      <w:pPr>
        <w:pStyle w:val="INCISO"/>
        <w:spacing w:after="0" w:line="240" w:lineRule="exact"/>
        <w:ind w:left="0" w:firstLine="0"/>
        <w:rPr>
          <w:sz w:val="20"/>
          <w:szCs w:val="20"/>
        </w:rPr>
      </w:pPr>
    </w:p>
    <w:p w14:paraId="61B51812" w14:textId="7B69505D" w:rsidR="00D74EF0" w:rsidRDefault="00D74EF0" w:rsidP="00C137AC">
      <w:pPr>
        <w:pStyle w:val="INCISO"/>
        <w:spacing w:after="0" w:line="240" w:lineRule="exact"/>
        <w:ind w:left="0" w:firstLine="0"/>
        <w:rPr>
          <w:sz w:val="20"/>
          <w:szCs w:val="20"/>
        </w:rPr>
      </w:pPr>
    </w:p>
    <w:p w14:paraId="123CFA39" w14:textId="485808B1" w:rsidR="00D74EF0" w:rsidRDefault="00D74EF0" w:rsidP="00C137AC">
      <w:pPr>
        <w:pStyle w:val="INCISO"/>
        <w:spacing w:after="0" w:line="240" w:lineRule="exact"/>
        <w:ind w:left="0" w:firstLine="0"/>
        <w:rPr>
          <w:sz w:val="20"/>
          <w:szCs w:val="20"/>
        </w:rPr>
      </w:pPr>
    </w:p>
    <w:p w14:paraId="735D9F2A" w14:textId="2B08D4BC" w:rsidR="008602AC" w:rsidRDefault="00C137AC" w:rsidP="008602AC">
      <w:pPr>
        <w:pStyle w:val="Texto"/>
        <w:spacing w:after="0" w:line="240" w:lineRule="exact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lastRenderedPageBreak/>
        <w:t>1</w:t>
      </w:r>
      <w:r w:rsidR="00D74EF0">
        <w:rPr>
          <w:b/>
          <w:sz w:val="20"/>
          <w:lang w:val="es-MX"/>
        </w:rPr>
        <w:t>0</w:t>
      </w:r>
      <w:r w:rsidRPr="00C137AC">
        <w:rPr>
          <w:b/>
          <w:sz w:val="20"/>
          <w:lang w:val="es-MX"/>
        </w:rPr>
        <w:t>.</w:t>
      </w:r>
      <w:r w:rsidRPr="00C137AC">
        <w:rPr>
          <w:b/>
          <w:sz w:val="20"/>
          <w:lang w:val="es-MX"/>
        </w:rPr>
        <w:tab/>
        <w:t>Información sobre la Deuda y el Reporte Analítico de la Deuda</w:t>
      </w:r>
    </w:p>
    <w:p w14:paraId="735D9F2B" w14:textId="77777777" w:rsidR="008602AC" w:rsidRDefault="008602AC" w:rsidP="008602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2C" w14:textId="77777777" w:rsidR="008602AC" w:rsidRDefault="008602AC" w:rsidP="008602AC">
      <w:pPr>
        <w:pStyle w:val="Texto"/>
        <w:spacing w:after="0" w:line="240" w:lineRule="exact"/>
        <w:rPr>
          <w:sz w:val="20"/>
        </w:rPr>
      </w:pPr>
      <w:r w:rsidRPr="0030393A">
        <w:rPr>
          <w:sz w:val="20"/>
        </w:rPr>
        <w:t>Se informará lo siguiente:</w:t>
      </w:r>
    </w:p>
    <w:p w14:paraId="735D9F2D" w14:textId="77777777" w:rsidR="008602AC" w:rsidRDefault="008602AC" w:rsidP="008602AC">
      <w:pPr>
        <w:pStyle w:val="Texto"/>
        <w:spacing w:after="0" w:line="240" w:lineRule="exact"/>
        <w:rPr>
          <w:sz w:val="20"/>
        </w:rPr>
      </w:pPr>
    </w:p>
    <w:p w14:paraId="735D9F2E" w14:textId="77777777" w:rsidR="008602AC" w:rsidRDefault="008602AC" w:rsidP="008602AC">
      <w:pPr>
        <w:pStyle w:val="Texto"/>
        <w:spacing w:after="0" w:line="240" w:lineRule="exact"/>
        <w:ind w:left="288" w:firstLine="0"/>
        <w:rPr>
          <w:sz w:val="20"/>
        </w:rPr>
      </w:pPr>
      <w:r w:rsidRPr="0030393A">
        <w:rPr>
          <w:sz w:val="20"/>
        </w:rPr>
        <w:t>a) Utilizar al menos los siguientes indicadores: deuda respecto al PIB y deuda respecto a la recaudación tomando, como mínimo, un período igual o menor a 5 años.</w:t>
      </w:r>
    </w:p>
    <w:p w14:paraId="735D9F2F" w14:textId="77777777" w:rsidR="008602AC" w:rsidRDefault="008602AC" w:rsidP="008602AC">
      <w:pPr>
        <w:pStyle w:val="Texto"/>
        <w:spacing w:after="0" w:line="240" w:lineRule="exact"/>
        <w:rPr>
          <w:sz w:val="20"/>
        </w:rPr>
      </w:pPr>
    </w:p>
    <w:p w14:paraId="735D9F30" w14:textId="77777777" w:rsidR="008602AC" w:rsidRPr="0030393A" w:rsidRDefault="008602AC" w:rsidP="008602AC">
      <w:pPr>
        <w:pStyle w:val="Texto"/>
        <w:spacing w:after="0" w:line="240" w:lineRule="exact"/>
        <w:ind w:left="288" w:firstLine="0"/>
        <w:rPr>
          <w:sz w:val="20"/>
        </w:rPr>
      </w:pPr>
      <w:r w:rsidRPr="0030393A">
        <w:rPr>
          <w:sz w:val="20"/>
        </w:rPr>
        <w:t>b) Información de manera agrupada por tipo de valor gubernamental o instrumento financiero en la que se considere intereses, comisiones, tasa, perfil de vencimiento y otros gastos de la deuda.</w:t>
      </w:r>
    </w:p>
    <w:p w14:paraId="735D9F31" w14:textId="77777777" w:rsidR="008602AC" w:rsidRDefault="008602AC" w:rsidP="008602AC">
      <w:pPr>
        <w:jc w:val="both"/>
        <w:rPr>
          <w:rFonts w:ascii="Arial" w:hAnsi="Arial" w:cs="Arial"/>
          <w:sz w:val="20"/>
          <w:szCs w:val="20"/>
        </w:rPr>
      </w:pPr>
    </w:p>
    <w:p w14:paraId="735D9F32" w14:textId="576985AF" w:rsidR="008602AC" w:rsidRPr="0030393A" w:rsidRDefault="008602AC" w:rsidP="008602AC">
      <w:pPr>
        <w:ind w:firstLine="288"/>
        <w:jc w:val="both"/>
        <w:rPr>
          <w:rFonts w:ascii="Arial" w:hAnsi="Arial" w:cs="Arial"/>
          <w:sz w:val="20"/>
          <w:szCs w:val="20"/>
        </w:rPr>
      </w:pPr>
      <w:r w:rsidRPr="0030393A">
        <w:rPr>
          <w:rFonts w:ascii="Arial" w:hAnsi="Arial" w:cs="Arial"/>
          <w:sz w:val="20"/>
          <w:szCs w:val="20"/>
        </w:rPr>
        <w:t xml:space="preserve">* Se </w:t>
      </w:r>
      <w:r w:rsidR="00B05924" w:rsidRPr="0030393A">
        <w:rPr>
          <w:rFonts w:ascii="Arial" w:hAnsi="Arial" w:cs="Arial"/>
          <w:sz w:val="20"/>
          <w:szCs w:val="20"/>
        </w:rPr>
        <w:t>anexará</w:t>
      </w:r>
      <w:r w:rsidRPr="0030393A">
        <w:rPr>
          <w:rFonts w:ascii="Arial" w:hAnsi="Arial" w:cs="Arial"/>
          <w:sz w:val="20"/>
          <w:szCs w:val="20"/>
        </w:rPr>
        <w:t xml:space="preserve"> la información en las notas de desglose.</w:t>
      </w:r>
      <w:r w:rsidRPr="0030393A">
        <w:rPr>
          <w:rFonts w:ascii="Arial" w:hAnsi="Arial" w:cs="Arial"/>
          <w:sz w:val="20"/>
          <w:szCs w:val="20"/>
        </w:rPr>
        <w:tab/>
      </w:r>
      <w:r w:rsidRPr="0030393A">
        <w:rPr>
          <w:rFonts w:ascii="Arial" w:hAnsi="Arial" w:cs="Arial"/>
          <w:sz w:val="20"/>
          <w:szCs w:val="20"/>
        </w:rPr>
        <w:tab/>
      </w:r>
      <w:r w:rsidRPr="0030393A">
        <w:rPr>
          <w:rFonts w:ascii="Arial" w:hAnsi="Arial" w:cs="Arial"/>
          <w:sz w:val="20"/>
          <w:szCs w:val="20"/>
        </w:rPr>
        <w:tab/>
      </w:r>
      <w:r w:rsidRPr="0030393A">
        <w:rPr>
          <w:rFonts w:ascii="Arial" w:hAnsi="Arial" w:cs="Arial"/>
          <w:sz w:val="20"/>
          <w:szCs w:val="20"/>
        </w:rPr>
        <w:tab/>
      </w:r>
      <w:r w:rsidRPr="0030393A">
        <w:rPr>
          <w:rFonts w:ascii="Arial" w:hAnsi="Arial" w:cs="Arial"/>
          <w:sz w:val="20"/>
          <w:szCs w:val="20"/>
        </w:rPr>
        <w:tab/>
      </w:r>
    </w:p>
    <w:p w14:paraId="735D9F33" w14:textId="77777777" w:rsidR="00C137AC" w:rsidRDefault="00C137AC" w:rsidP="00C137AC">
      <w:pPr>
        <w:pStyle w:val="INCISO"/>
        <w:spacing w:after="0" w:line="240" w:lineRule="exact"/>
        <w:rPr>
          <w:sz w:val="20"/>
          <w:szCs w:val="20"/>
          <w:lang w:val="es-MX"/>
        </w:rPr>
      </w:pPr>
    </w:p>
    <w:p w14:paraId="735D9F35" w14:textId="08648DA3" w:rsidR="00C137AC" w:rsidRDefault="00C137AC" w:rsidP="00C137AC">
      <w:pPr>
        <w:pStyle w:val="Texto"/>
        <w:spacing w:after="0" w:line="240" w:lineRule="exact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t>1</w:t>
      </w:r>
      <w:r w:rsidR="00D74EF0">
        <w:rPr>
          <w:b/>
          <w:sz w:val="20"/>
          <w:lang w:val="es-MX"/>
        </w:rPr>
        <w:t>1</w:t>
      </w:r>
      <w:r w:rsidRPr="00C137AC">
        <w:rPr>
          <w:b/>
          <w:sz w:val="20"/>
          <w:lang w:val="es-MX"/>
        </w:rPr>
        <w:t>. Calificaciones otorgadas</w:t>
      </w:r>
    </w:p>
    <w:p w14:paraId="149A54FA" w14:textId="77777777" w:rsidR="00D74EF0" w:rsidRPr="00C137AC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36" w14:textId="77777777" w:rsidR="00C137AC" w:rsidRPr="00C137AC" w:rsidRDefault="00C137AC" w:rsidP="00C137AC">
      <w:pPr>
        <w:pStyle w:val="Texto"/>
        <w:spacing w:after="0" w:line="240" w:lineRule="exact"/>
        <w:rPr>
          <w:sz w:val="20"/>
        </w:rPr>
      </w:pPr>
      <w:r w:rsidRPr="00C137AC">
        <w:rPr>
          <w:sz w:val="20"/>
        </w:rPr>
        <w:t>Informar, tanto del ente público como cualquier transacción realizada, que haya sido sujeta a una calificación crediticia.</w:t>
      </w:r>
    </w:p>
    <w:p w14:paraId="735D9F37" w14:textId="77777777" w:rsidR="00C137AC" w:rsidRPr="00C137AC" w:rsidRDefault="00C137AC" w:rsidP="00C137AC">
      <w:pPr>
        <w:pStyle w:val="Texto"/>
        <w:spacing w:after="0" w:line="240" w:lineRule="exact"/>
        <w:rPr>
          <w:sz w:val="20"/>
        </w:rPr>
      </w:pPr>
    </w:p>
    <w:p w14:paraId="735D9F38" w14:textId="7FBAAC1C" w:rsidR="00C137AC" w:rsidRDefault="00C137AC" w:rsidP="00C137AC">
      <w:pPr>
        <w:pStyle w:val="Texto"/>
        <w:spacing w:after="0" w:line="240" w:lineRule="exact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t>1</w:t>
      </w:r>
      <w:r w:rsidR="00D74EF0">
        <w:rPr>
          <w:b/>
          <w:sz w:val="20"/>
          <w:lang w:val="es-MX"/>
        </w:rPr>
        <w:t>2</w:t>
      </w:r>
      <w:r w:rsidRPr="00C137AC">
        <w:rPr>
          <w:b/>
          <w:sz w:val="20"/>
          <w:lang w:val="es-MX"/>
        </w:rPr>
        <w:t>.</w:t>
      </w:r>
      <w:r w:rsidRPr="00C137AC">
        <w:rPr>
          <w:b/>
          <w:sz w:val="20"/>
          <w:lang w:val="es-MX"/>
        </w:rPr>
        <w:tab/>
        <w:t>Proceso de Mejora</w:t>
      </w:r>
    </w:p>
    <w:p w14:paraId="3769B30F" w14:textId="77777777" w:rsidR="00D74EF0" w:rsidRPr="00C137AC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39" w14:textId="6D071280" w:rsidR="00C137AC" w:rsidRDefault="00C137AC" w:rsidP="00C137AC">
      <w:pPr>
        <w:pStyle w:val="Texto"/>
        <w:spacing w:after="0" w:line="240" w:lineRule="exact"/>
        <w:rPr>
          <w:sz w:val="20"/>
        </w:rPr>
      </w:pPr>
      <w:r w:rsidRPr="00C137AC">
        <w:rPr>
          <w:sz w:val="20"/>
        </w:rPr>
        <w:t>Se informará de:</w:t>
      </w:r>
    </w:p>
    <w:p w14:paraId="435DA05A" w14:textId="77777777" w:rsidR="00D74EF0" w:rsidRPr="00C137AC" w:rsidRDefault="00D74EF0" w:rsidP="00C137AC">
      <w:pPr>
        <w:pStyle w:val="Texto"/>
        <w:spacing w:after="0" w:line="240" w:lineRule="exact"/>
        <w:rPr>
          <w:sz w:val="20"/>
        </w:rPr>
      </w:pPr>
    </w:p>
    <w:p w14:paraId="735D9F3A" w14:textId="77777777" w:rsidR="00C137AC" w:rsidRPr="00C137AC" w:rsidRDefault="00C137AC" w:rsidP="00C137AC">
      <w:pPr>
        <w:pStyle w:val="INCISO"/>
        <w:spacing w:after="0" w:line="240" w:lineRule="exact"/>
        <w:rPr>
          <w:sz w:val="20"/>
          <w:szCs w:val="20"/>
        </w:rPr>
      </w:pPr>
      <w:r w:rsidRPr="00C137AC">
        <w:rPr>
          <w:sz w:val="20"/>
          <w:szCs w:val="20"/>
        </w:rPr>
        <w:t>a)</w:t>
      </w:r>
      <w:r w:rsidRPr="00C137AC">
        <w:rPr>
          <w:sz w:val="20"/>
          <w:szCs w:val="20"/>
        </w:rPr>
        <w:tab/>
        <w:t>Principales Políticas de control interno</w:t>
      </w:r>
    </w:p>
    <w:p w14:paraId="735D9F3B" w14:textId="77777777" w:rsidR="00C137AC" w:rsidRPr="00C137AC" w:rsidRDefault="00C137AC" w:rsidP="00C137AC">
      <w:pPr>
        <w:pStyle w:val="INCISO"/>
        <w:spacing w:after="0" w:line="240" w:lineRule="exact"/>
        <w:rPr>
          <w:sz w:val="20"/>
          <w:szCs w:val="20"/>
        </w:rPr>
      </w:pPr>
      <w:r w:rsidRPr="00C137AC">
        <w:rPr>
          <w:sz w:val="20"/>
          <w:szCs w:val="20"/>
        </w:rPr>
        <w:t>b)</w:t>
      </w:r>
      <w:r w:rsidRPr="00C137AC">
        <w:rPr>
          <w:sz w:val="20"/>
          <w:szCs w:val="20"/>
        </w:rPr>
        <w:tab/>
        <w:t>Medidas de desempeño financiero, metas y alcance.</w:t>
      </w:r>
    </w:p>
    <w:p w14:paraId="735D9F3C" w14:textId="77777777" w:rsidR="00C137AC" w:rsidRPr="00C137AC" w:rsidRDefault="00C137AC" w:rsidP="00C137AC">
      <w:pPr>
        <w:pStyle w:val="INCISO"/>
        <w:spacing w:after="0" w:line="240" w:lineRule="exact"/>
        <w:rPr>
          <w:sz w:val="20"/>
          <w:szCs w:val="20"/>
        </w:rPr>
      </w:pPr>
    </w:p>
    <w:p w14:paraId="735D9F3D" w14:textId="79DD6D3D" w:rsidR="00C137AC" w:rsidRDefault="00C137AC" w:rsidP="00C137AC">
      <w:pPr>
        <w:pStyle w:val="Texto"/>
        <w:spacing w:after="0" w:line="240" w:lineRule="exact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t>1</w:t>
      </w:r>
      <w:r w:rsidR="00D74EF0">
        <w:rPr>
          <w:b/>
          <w:sz w:val="20"/>
          <w:lang w:val="es-MX"/>
        </w:rPr>
        <w:t>3</w:t>
      </w:r>
      <w:r w:rsidRPr="00C137AC">
        <w:rPr>
          <w:b/>
          <w:sz w:val="20"/>
          <w:lang w:val="es-MX"/>
        </w:rPr>
        <w:t>.</w:t>
      </w:r>
      <w:r w:rsidRPr="00C137AC">
        <w:rPr>
          <w:b/>
          <w:sz w:val="20"/>
          <w:lang w:val="es-MX"/>
        </w:rPr>
        <w:tab/>
        <w:t>Información por Segmentos</w:t>
      </w:r>
    </w:p>
    <w:p w14:paraId="3EB4C77A" w14:textId="77777777" w:rsidR="00D74EF0" w:rsidRPr="00C137AC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3E" w14:textId="77777777" w:rsidR="00C137AC" w:rsidRPr="00C137AC" w:rsidRDefault="00C137AC" w:rsidP="00C137AC">
      <w:pPr>
        <w:pStyle w:val="Texto"/>
        <w:spacing w:after="0" w:line="240" w:lineRule="exact"/>
        <w:rPr>
          <w:sz w:val="20"/>
          <w:lang w:val="es-MX"/>
        </w:rPr>
      </w:pPr>
      <w:r w:rsidRPr="00C137AC">
        <w:rPr>
          <w:sz w:val="20"/>
          <w:lang w:val="es-MX"/>
        </w:rPr>
        <w:t>Cuando se considere necesario se podrá revelar la información financiera de manera segmentada debido a la diversidad de las actividades y operaciones que se realizan los entes públicos, ya que la misma proporciona información acerca de las diferentes actividades operativas en las cuales participa, de los productos o servicios que maneja, de las diferentes áreas geográficas, de los grupos homogéneos con el objetivo de entender el desempeño del ente, evaluar mejor los riesgos y beneficios del mismo; y entenderlo como un todo y sus partes integrantes.</w:t>
      </w:r>
    </w:p>
    <w:p w14:paraId="735D9F3F" w14:textId="77777777" w:rsidR="00C137AC" w:rsidRPr="00C137AC" w:rsidRDefault="00C137AC" w:rsidP="00C137AC">
      <w:pPr>
        <w:pStyle w:val="Texto"/>
        <w:spacing w:after="0" w:line="240" w:lineRule="exact"/>
        <w:rPr>
          <w:sz w:val="20"/>
          <w:lang w:val="es-MX"/>
        </w:rPr>
      </w:pPr>
    </w:p>
    <w:p w14:paraId="735D9F40" w14:textId="77777777" w:rsidR="00C137AC" w:rsidRPr="00C137AC" w:rsidRDefault="00C137AC" w:rsidP="00C137AC">
      <w:pPr>
        <w:pStyle w:val="Texto"/>
        <w:spacing w:after="0" w:line="240" w:lineRule="exact"/>
        <w:rPr>
          <w:sz w:val="20"/>
          <w:lang w:val="es-MX"/>
        </w:rPr>
      </w:pPr>
      <w:r w:rsidRPr="00C137AC">
        <w:rPr>
          <w:sz w:val="20"/>
          <w:lang w:val="es-MX"/>
        </w:rPr>
        <w:t>Consecuentemente, esta información contribuye al análisis más preciso de la situación financiera, grados y fuentes de riesgo.</w:t>
      </w:r>
    </w:p>
    <w:p w14:paraId="735D9F41" w14:textId="2E66E617" w:rsidR="00C137AC" w:rsidRDefault="00C137AC" w:rsidP="00C137AC">
      <w:pPr>
        <w:pStyle w:val="Texto"/>
        <w:spacing w:after="0" w:line="240" w:lineRule="exact"/>
        <w:rPr>
          <w:sz w:val="20"/>
          <w:lang w:val="es-MX"/>
        </w:rPr>
      </w:pPr>
    </w:p>
    <w:p w14:paraId="735D9F42" w14:textId="38557926" w:rsidR="00C137AC" w:rsidRDefault="00C137AC" w:rsidP="00C137AC">
      <w:pPr>
        <w:pStyle w:val="Texto"/>
        <w:spacing w:after="0" w:line="240" w:lineRule="exact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t>1</w:t>
      </w:r>
      <w:r w:rsidR="00D74EF0">
        <w:rPr>
          <w:b/>
          <w:sz w:val="20"/>
          <w:lang w:val="es-MX"/>
        </w:rPr>
        <w:t>4</w:t>
      </w:r>
      <w:r w:rsidRPr="00C137AC">
        <w:rPr>
          <w:b/>
          <w:sz w:val="20"/>
          <w:lang w:val="es-MX"/>
        </w:rPr>
        <w:t>.</w:t>
      </w:r>
      <w:r w:rsidRPr="00C137AC">
        <w:rPr>
          <w:b/>
          <w:sz w:val="20"/>
          <w:lang w:val="es-MX"/>
        </w:rPr>
        <w:tab/>
        <w:t>Eventos Posteriores al Cierre</w:t>
      </w:r>
    </w:p>
    <w:p w14:paraId="42157AE0" w14:textId="77777777" w:rsidR="00D74EF0" w:rsidRPr="00C137AC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43" w14:textId="77777777" w:rsidR="00C137AC" w:rsidRPr="00C137AC" w:rsidRDefault="00C137AC" w:rsidP="00C137AC">
      <w:pPr>
        <w:pStyle w:val="Texto"/>
        <w:spacing w:after="0" w:line="240" w:lineRule="exact"/>
        <w:rPr>
          <w:sz w:val="20"/>
        </w:rPr>
      </w:pPr>
      <w:r w:rsidRPr="00C137AC">
        <w:rPr>
          <w:sz w:val="20"/>
        </w:rPr>
        <w:t>El ente público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14:paraId="735D9F44" w14:textId="77777777" w:rsidR="00C137AC" w:rsidRPr="00C137AC" w:rsidRDefault="00C137AC" w:rsidP="00C137AC">
      <w:pPr>
        <w:pStyle w:val="Texto"/>
        <w:spacing w:after="0" w:line="240" w:lineRule="exact"/>
        <w:ind w:firstLine="0"/>
        <w:rPr>
          <w:sz w:val="20"/>
        </w:rPr>
      </w:pPr>
    </w:p>
    <w:p w14:paraId="219D85D9" w14:textId="77777777" w:rsidR="00D74EF0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1B63F0FF" w14:textId="77777777" w:rsidR="00D74EF0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64EDDC77" w14:textId="77777777" w:rsidR="00D74EF0" w:rsidRDefault="00D74EF0" w:rsidP="00C137AC">
      <w:pPr>
        <w:pStyle w:val="Texto"/>
        <w:spacing w:after="0" w:line="240" w:lineRule="exact"/>
        <w:rPr>
          <w:b/>
          <w:sz w:val="20"/>
          <w:lang w:val="es-MX"/>
        </w:rPr>
      </w:pPr>
    </w:p>
    <w:p w14:paraId="735D9F45" w14:textId="642119F6" w:rsidR="00C137AC" w:rsidRPr="00C137AC" w:rsidRDefault="00C137AC" w:rsidP="00C137AC">
      <w:pPr>
        <w:pStyle w:val="Texto"/>
        <w:spacing w:after="0" w:line="240" w:lineRule="exact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lastRenderedPageBreak/>
        <w:t>1</w:t>
      </w:r>
      <w:r w:rsidR="00D74EF0">
        <w:rPr>
          <w:b/>
          <w:sz w:val="20"/>
          <w:lang w:val="es-MX"/>
        </w:rPr>
        <w:t>5</w:t>
      </w:r>
      <w:r w:rsidRPr="00C137AC">
        <w:rPr>
          <w:b/>
          <w:sz w:val="20"/>
          <w:lang w:val="es-MX"/>
        </w:rPr>
        <w:t>.</w:t>
      </w:r>
      <w:r w:rsidRPr="00C137AC">
        <w:rPr>
          <w:b/>
          <w:sz w:val="20"/>
          <w:lang w:val="es-MX"/>
        </w:rPr>
        <w:tab/>
        <w:t>Partes Relacionadas</w:t>
      </w:r>
    </w:p>
    <w:p w14:paraId="6D21B5EA" w14:textId="77777777" w:rsidR="00D74EF0" w:rsidRDefault="00D74EF0" w:rsidP="00C137AC">
      <w:pPr>
        <w:pStyle w:val="Texto"/>
        <w:spacing w:after="0" w:line="240" w:lineRule="exact"/>
        <w:rPr>
          <w:sz w:val="20"/>
        </w:rPr>
      </w:pPr>
    </w:p>
    <w:p w14:paraId="735D9F46" w14:textId="79B6993D" w:rsidR="00C137AC" w:rsidRPr="00C137AC" w:rsidRDefault="00C137AC" w:rsidP="00C137AC">
      <w:pPr>
        <w:pStyle w:val="Texto"/>
        <w:spacing w:after="0" w:line="240" w:lineRule="exact"/>
        <w:rPr>
          <w:sz w:val="20"/>
        </w:rPr>
      </w:pPr>
      <w:r w:rsidRPr="00C137AC">
        <w:rPr>
          <w:sz w:val="20"/>
        </w:rPr>
        <w:t>Se debe establecer por escrito que no existen partes relacionadas que pudieran ejercer influencia significativa sobre la toma de decisiones financieras y operativas.</w:t>
      </w:r>
    </w:p>
    <w:p w14:paraId="735D9F47" w14:textId="4E3731F2" w:rsidR="00F41A59" w:rsidRDefault="00F41A59" w:rsidP="00C137AC">
      <w:pPr>
        <w:pStyle w:val="Texto"/>
        <w:spacing w:after="0" w:line="240" w:lineRule="exact"/>
        <w:rPr>
          <w:sz w:val="20"/>
        </w:rPr>
      </w:pPr>
    </w:p>
    <w:p w14:paraId="7F3920BD" w14:textId="77777777" w:rsidR="00D74EF0" w:rsidRPr="00C137AC" w:rsidRDefault="00D74EF0" w:rsidP="00C137AC">
      <w:pPr>
        <w:pStyle w:val="Texto"/>
        <w:spacing w:after="0" w:line="240" w:lineRule="exact"/>
        <w:rPr>
          <w:sz w:val="20"/>
        </w:rPr>
      </w:pPr>
    </w:p>
    <w:p w14:paraId="735D9F48" w14:textId="414CBC7B" w:rsidR="00C137AC" w:rsidRDefault="00C137AC" w:rsidP="00C137AC">
      <w:pPr>
        <w:pStyle w:val="Texto"/>
        <w:spacing w:after="0" w:line="240" w:lineRule="auto"/>
        <w:ind w:firstLine="289"/>
        <w:rPr>
          <w:b/>
          <w:sz w:val="20"/>
          <w:lang w:val="es-MX"/>
        </w:rPr>
      </w:pPr>
      <w:r w:rsidRPr="00C137AC">
        <w:rPr>
          <w:b/>
          <w:sz w:val="20"/>
          <w:lang w:val="es-MX"/>
        </w:rPr>
        <w:t>1</w:t>
      </w:r>
      <w:r w:rsidR="00D74EF0">
        <w:rPr>
          <w:b/>
          <w:sz w:val="20"/>
          <w:lang w:val="es-MX"/>
        </w:rPr>
        <w:t>6</w:t>
      </w:r>
      <w:r w:rsidRPr="00C137AC">
        <w:rPr>
          <w:b/>
          <w:sz w:val="20"/>
          <w:lang w:val="es-MX"/>
        </w:rPr>
        <w:t>.</w:t>
      </w:r>
      <w:r w:rsidRPr="00C137AC">
        <w:rPr>
          <w:b/>
          <w:sz w:val="20"/>
          <w:lang w:val="es-MX"/>
        </w:rPr>
        <w:tab/>
        <w:t>Responsabilidad Sobre la Presentación Razonable de la Información Contable</w:t>
      </w:r>
    </w:p>
    <w:p w14:paraId="37E798DF" w14:textId="77777777" w:rsidR="00D74EF0" w:rsidRPr="00C137AC" w:rsidRDefault="00D74EF0" w:rsidP="00C137AC">
      <w:pPr>
        <w:pStyle w:val="Texto"/>
        <w:spacing w:after="0" w:line="240" w:lineRule="auto"/>
        <w:ind w:firstLine="289"/>
        <w:rPr>
          <w:b/>
          <w:sz w:val="20"/>
          <w:lang w:val="es-MX"/>
        </w:rPr>
      </w:pPr>
    </w:p>
    <w:p w14:paraId="0B608372" w14:textId="77777777" w:rsidR="009F609E" w:rsidRDefault="008602AC" w:rsidP="008602AC">
      <w:pPr>
        <w:jc w:val="both"/>
        <w:rPr>
          <w:rFonts w:ascii="Arial" w:hAnsi="Arial" w:cs="Arial"/>
          <w:sz w:val="20"/>
          <w:szCs w:val="20"/>
        </w:rPr>
      </w:pPr>
      <w:r w:rsidRPr="0030393A">
        <w:rPr>
          <w:rFonts w:ascii="Arial" w:hAnsi="Arial" w:cs="Arial"/>
          <w:sz w:val="20"/>
          <w:szCs w:val="20"/>
        </w:rPr>
        <w:t>Los Estados Financieros deberán estar rubricados en cada página de los mismos e incluir al final la siguiente leyenda: “Bajo protesta de decir verdad declaramos que los Estados Financieros y sus notas, son razonablemente correctos y son responsabilidad del emisor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4F64C606" w14:textId="48514A11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71934205" w14:textId="39589D79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179DF4EA" w14:textId="21C97333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48553C3A" w14:textId="08F4489A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1E91F305" w14:textId="6024CDB2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7EF41F6B" w14:textId="77777777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6ED9F2FF" w14:textId="77777777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12FCA7A8" w14:textId="367032D5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E715F" wp14:editId="1AE5CE09">
                <wp:simplePos x="0" y="0"/>
                <wp:positionH relativeFrom="column">
                  <wp:posOffset>4608033</wp:posOffset>
                </wp:positionH>
                <wp:positionV relativeFrom="paragraph">
                  <wp:posOffset>51435</wp:posOffset>
                </wp:positionV>
                <wp:extent cx="3220085" cy="77914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72B5A" w14:textId="77777777" w:rsidR="009F609E" w:rsidRDefault="009F609E" w:rsidP="009F609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_____________________________________</w:t>
                            </w:r>
                          </w:p>
                          <w:p w14:paraId="0E310687" w14:textId="4AB53CB7" w:rsidR="009F609E" w:rsidRPr="009F609E" w:rsidRDefault="009F609E" w:rsidP="009F60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9F60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LIC. FERNANDO NUÑEZ ROJAS                             TITULAR DE LA SUBDIRECCIÓN DE SERVICIOS ADMINISTRATIVOS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E715F" id="Rectángulo 10" o:spid="_x0000_s1026" style="position:absolute;left:0;text-align:left;margin-left:362.85pt;margin-top:4.05pt;width:253.5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" filled="f" stroked="f" strokeweight="2pt">
                <v:textbox>
                  <w:txbxContent>
                    <w:p w14:paraId="45A72B5A" w14:textId="77777777" w:rsidR="009F609E" w:rsidRDefault="009F609E" w:rsidP="009F609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_____________________________________</w:t>
                      </w:r>
                    </w:p>
                    <w:p w14:paraId="0E310687" w14:textId="4AB53CB7" w:rsidR="009F609E" w:rsidRPr="009F609E" w:rsidRDefault="009F609E" w:rsidP="009F609E">
                      <w:pPr>
                        <w:jc w:val="center"/>
                        <w:rPr>
                          <w:lang w:val="es-MX"/>
                        </w:rPr>
                      </w:pPr>
                      <w:r w:rsidRPr="009F609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LIC. FERNANDO NUÑEZ ROJAS                             TITULAR DE LA SUBDIRECCIÓN DE SERVICIOS ADMINISTRATIVOS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D01DD" wp14:editId="095AEB40">
                <wp:simplePos x="0" y="0"/>
                <wp:positionH relativeFrom="column">
                  <wp:posOffset>1020283</wp:posOffset>
                </wp:positionH>
                <wp:positionV relativeFrom="paragraph">
                  <wp:posOffset>59690</wp:posOffset>
                </wp:positionV>
                <wp:extent cx="2877820" cy="65151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591BA" w14:textId="410A6DA7" w:rsidR="009F609E" w:rsidRDefault="009F609E" w:rsidP="009F609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_____________________________________</w:t>
                            </w:r>
                          </w:p>
                          <w:p w14:paraId="2D0A948D" w14:textId="65580CF2" w:rsidR="009F609E" w:rsidRPr="009F609E" w:rsidRDefault="009F609E" w:rsidP="009F609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F60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DRA. MIRNA IRERI SÁNCHEZ GÓMEZ                                                    TITULAR DE LA DIRECCIÓN GENERAL                                                                                      </w:t>
                            </w:r>
                          </w:p>
                          <w:p w14:paraId="25997636" w14:textId="77777777" w:rsidR="009F609E" w:rsidRPr="009F609E" w:rsidRDefault="009F609E" w:rsidP="009F60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D01DD" id="Rectángulo 8" o:spid="_x0000_s1027" style="position:absolute;left:0;text-align:left;margin-left:80.35pt;margin-top:4.7pt;width:226.6pt;height:5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" filled="f" stroked="f" strokeweight="2pt">
                <v:textbox>
                  <w:txbxContent>
                    <w:p w14:paraId="7DF591BA" w14:textId="410A6DA7" w:rsidR="009F609E" w:rsidRDefault="009F609E" w:rsidP="009F609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_____________________________________</w:t>
                      </w:r>
                    </w:p>
                    <w:p w14:paraId="2D0A948D" w14:textId="65580CF2" w:rsidR="009F609E" w:rsidRPr="009F609E" w:rsidRDefault="009F609E" w:rsidP="009F609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 w:rsidRPr="009F609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DRA. MIRNA IRERI SÁNCHEZ GÓMEZ                                                    TITULAR DE LA DIRECCIÓN GENERAL                                                                                      </w:t>
                      </w:r>
                    </w:p>
                    <w:p w14:paraId="25997636" w14:textId="77777777" w:rsidR="009F609E" w:rsidRPr="009F609E" w:rsidRDefault="009F609E" w:rsidP="009F609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AA78F6" w14:textId="6C5F109A" w:rsidR="009F609E" w:rsidRDefault="009F609E" w:rsidP="008602AC">
      <w:pPr>
        <w:jc w:val="both"/>
        <w:rPr>
          <w:rFonts w:ascii="Arial" w:hAnsi="Arial" w:cs="Arial"/>
          <w:sz w:val="20"/>
          <w:szCs w:val="20"/>
        </w:rPr>
      </w:pPr>
    </w:p>
    <w:p w14:paraId="735D9F49" w14:textId="01B883F2" w:rsidR="008602AC" w:rsidRDefault="008602AC" w:rsidP="008602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5D9F4A" w14:textId="77777777" w:rsidR="008602AC" w:rsidRDefault="008602AC" w:rsidP="008602AC">
      <w:pPr>
        <w:jc w:val="both"/>
        <w:rPr>
          <w:rFonts w:ascii="Arial" w:hAnsi="Arial" w:cs="Arial"/>
          <w:sz w:val="20"/>
          <w:szCs w:val="20"/>
        </w:rPr>
      </w:pPr>
    </w:p>
    <w:p w14:paraId="735D9F4C" w14:textId="77777777" w:rsidR="008602AC" w:rsidRDefault="008602AC" w:rsidP="008602AC">
      <w:pPr>
        <w:jc w:val="both"/>
        <w:rPr>
          <w:rFonts w:ascii="Arial" w:hAnsi="Arial" w:cs="Arial"/>
          <w:sz w:val="20"/>
          <w:szCs w:val="20"/>
        </w:rPr>
      </w:pPr>
    </w:p>
    <w:p w14:paraId="735D9F4D" w14:textId="77777777" w:rsidR="008602AC" w:rsidRDefault="008602AC" w:rsidP="008602AC">
      <w:pPr>
        <w:jc w:val="both"/>
        <w:rPr>
          <w:rFonts w:ascii="Arial" w:hAnsi="Arial" w:cs="Arial"/>
          <w:sz w:val="20"/>
          <w:szCs w:val="20"/>
        </w:rPr>
      </w:pPr>
    </w:p>
    <w:p w14:paraId="735D9F4E" w14:textId="77777777" w:rsidR="008602AC" w:rsidRDefault="008602AC" w:rsidP="008602AC">
      <w:pPr>
        <w:jc w:val="both"/>
        <w:rPr>
          <w:rFonts w:ascii="Arial" w:hAnsi="Arial" w:cs="Arial"/>
          <w:sz w:val="20"/>
          <w:szCs w:val="20"/>
        </w:rPr>
      </w:pPr>
    </w:p>
    <w:p w14:paraId="735D9F4F" w14:textId="69AFF27F" w:rsidR="00491D38" w:rsidRDefault="00491D38" w:rsidP="008602AC">
      <w:pPr>
        <w:jc w:val="both"/>
        <w:rPr>
          <w:rFonts w:ascii="Arial" w:hAnsi="Arial" w:cs="Arial"/>
          <w:sz w:val="20"/>
          <w:szCs w:val="20"/>
        </w:rPr>
      </w:pPr>
    </w:p>
    <w:p w14:paraId="1DF6F317" w14:textId="25D883FC" w:rsidR="003B655F" w:rsidRDefault="003B655F" w:rsidP="008602AC">
      <w:pPr>
        <w:jc w:val="both"/>
        <w:rPr>
          <w:rFonts w:ascii="Arial" w:hAnsi="Arial" w:cs="Arial"/>
          <w:sz w:val="20"/>
          <w:szCs w:val="20"/>
        </w:rPr>
      </w:pPr>
    </w:p>
    <w:p w14:paraId="7E4C3116" w14:textId="4C041154" w:rsidR="003B655F" w:rsidRDefault="003B655F" w:rsidP="008602AC">
      <w:pPr>
        <w:jc w:val="both"/>
        <w:rPr>
          <w:rFonts w:ascii="Arial" w:hAnsi="Arial" w:cs="Arial"/>
          <w:sz w:val="20"/>
          <w:szCs w:val="20"/>
        </w:rPr>
      </w:pPr>
    </w:p>
    <w:p w14:paraId="53199290" w14:textId="77777777" w:rsidR="003B655F" w:rsidRDefault="003B655F" w:rsidP="008602AC">
      <w:pPr>
        <w:jc w:val="both"/>
        <w:rPr>
          <w:rFonts w:ascii="Arial" w:hAnsi="Arial" w:cs="Arial"/>
          <w:sz w:val="20"/>
          <w:szCs w:val="20"/>
        </w:rPr>
      </w:pPr>
    </w:p>
    <w:p w14:paraId="735D9F61" w14:textId="77777777" w:rsidR="008C6168" w:rsidRDefault="008C6168" w:rsidP="00C137AC">
      <w:pPr>
        <w:jc w:val="center"/>
        <w:rPr>
          <w:rFonts w:ascii="Arial" w:hAnsi="Arial" w:cs="Arial"/>
          <w:b/>
          <w:sz w:val="20"/>
          <w:szCs w:val="20"/>
        </w:rPr>
      </w:pPr>
    </w:p>
    <w:p w14:paraId="735D9F62" w14:textId="77777777" w:rsidR="008C6168" w:rsidRPr="00C137AC" w:rsidRDefault="008C6168" w:rsidP="00C137AC">
      <w:pPr>
        <w:jc w:val="center"/>
        <w:rPr>
          <w:rFonts w:ascii="Arial" w:hAnsi="Arial" w:cs="Arial"/>
          <w:b/>
          <w:sz w:val="20"/>
          <w:szCs w:val="20"/>
        </w:rPr>
      </w:pPr>
    </w:p>
    <w:p w14:paraId="735D9F63" w14:textId="77777777" w:rsidR="00C77D0C" w:rsidRPr="00C137AC" w:rsidRDefault="00C77D0C" w:rsidP="00C77D0C">
      <w:pPr>
        <w:rPr>
          <w:rFonts w:ascii="Arial" w:hAnsi="Arial" w:cs="Arial"/>
          <w:sz w:val="20"/>
          <w:szCs w:val="20"/>
        </w:rPr>
      </w:pPr>
    </w:p>
    <w:sectPr w:rsidR="00C77D0C" w:rsidRPr="00C137AC" w:rsidSect="000E1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/>
      <w:pgMar w:top="1531" w:right="1077" w:bottom="1077" w:left="1077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9CBD" w14:textId="77777777" w:rsidR="00A12E10" w:rsidRDefault="00A12E10" w:rsidP="00EA5418">
      <w:r>
        <w:separator/>
      </w:r>
    </w:p>
  </w:endnote>
  <w:endnote w:type="continuationSeparator" w:id="0">
    <w:p w14:paraId="0A676AEF" w14:textId="77777777" w:rsidR="00A12E10" w:rsidRDefault="00A12E10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F6D" w14:textId="5CDD4D51" w:rsidR="0013011C" w:rsidRPr="001E3B9D" w:rsidRDefault="0014179A" w:rsidP="0013011C">
    <w:pPr>
      <w:pStyle w:val="Piedepgin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color w:val="808080" w:themeColor="background1" w:themeShade="8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35D9F79" wp14:editId="735D9F7A">
              <wp:simplePos x="0" y="0"/>
              <wp:positionH relativeFrom="column">
                <wp:posOffset>-676275</wp:posOffset>
              </wp:positionH>
              <wp:positionV relativeFrom="paragraph">
                <wp:posOffset>-32385</wp:posOffset>
              </wp:positionV>
              <wp:extent cx="10029825" cy="0"/>
              <wp:effectExtent l="9525" t="15240" r="9525" b="1333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29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05E29" id="Line 2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3.25pt,-2.55pt" to="736.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" strokecolor="#4579b8 [3044]" strokeweight="1.5pt"/>
          </w:pict>
        </mc:Fallback>
      </mc:AlternateContent>
    </w:r>
    <w:r w:rsidR="008B4216" w:rsidRPr="008B4216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906646">
      <w:rPr>
        <w:rFonts w:ascii="Arial" w:hAnsi="Arial" w:cs="Arial"/>
        <w:color w:val="808080" w:themeColor="background1" w:themeShade="80"/>
        <w:sz w:val="20"/>
        <w:szCs w:val="20"/>
      </w:rPr>
      <w:t xml:space="preserve">Información Financiera </w:t>
    </w:r>
    <w:r w:rsidR="0013011C" w:rsidRPr="001E3B9D">
      <w:rPr>
        <w:rFonts w:ascii="Arial" w:hAnsi="Arial" w:cs="Arial"/>
        <w:color w:val="808080" w:themeColor="background1" w:themeShade="80"/>
        <w:sz w:val="20"/>
        <w:szCs w:val="20"/>
      </w:rPr>
      <w:t xml:space="preserve">/ </w:t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893461025"/>
        <w:docPartObj>
          <w:docPartGallery w:val="Page Numbers (Bottom of Page)"/>
          <w:docPartUnique/>
        </w:docPartObj>
      </w:sdtPr>
      <w:sdtContent>
        <w:r w:rsidR="0053052A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13011C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="0053052A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5C3C84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36</w:t>
        </w:r>
        <w:r w:rsidR="0053052A" w:rsidRPr="001E3B9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F6E" w14:textId="697587CD" w:rsidR="008E3652" w:rsidRPr="00584484" w:rsidRDefault="0014179A" w:rsidP="008E3652">
    <w:pPr>
      <w:pStyle w:val="Piedepgin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color w:val="808080" w:themeColor="background1" w:themeShade="8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5D9F7B" wp14:editId="735D9F7C">
              <wp:simplePos x="0" y="0"/>
              <wp:positionH relativeFrom="column">
                <wp:posOffset>-676275</wp:posOffset>
              </wp:positionH>
              <wp:positionV relativeFrom="paragraph">
                <wp:posOffset>-32385</wp:posOffset>
              </wp:positionV>
              <wp:extent cx="10029825" cy="0"/>
              <wp:effectExtent l="9525" t="15240" r="9525" b="13335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29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E63FA" id="Line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3.25pt,-2.55pt" to="736.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" strokecolor="#4579b8 [3044]" strokeweight="1.5pt"/>
          </w:pict>
        </mc:Fallback>
      </mc:AlternateContent>
    </w:r>
    <w:r w:rsidR="00DB2F7D">
      <w:rPr>
        <w:rFonts w:ascii="Arial" w:hAnsi="Arial" w:cs="Arial"/>
        <w:color w:val="808080" w:themeColor="background1" w:themeShade="80"/>
        <w:sz w:val="20"/>
        <w:szCs w:val="20"/>
      </w:rPr>
      <w:t>Información Financiera</w:t>
    </w:r>
    <w:r w:rsidR="008B4216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t>/</w:t>
        </w:r>
        <w:r w:rsidR="0053052A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8E3652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="0053052A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5C3C84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37</w:t>
        </w:r>
        <w:r w:rsidR="0053052A" w:rsidRPr="00584484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7206" w14:textId="77777777" w:rsidR="00A12E10" w:rsidRDefault="00A12E10" w:rsidP="00EA5418">
      <w:r>
        <w:separator/>
      </w:r>
    </w:p>
  </w:footnote>
  <w:footnote w:type="continuationSeparator" w:id="0">
    <w:p w14:paraId="7C43E639" w14:textId="77777777" w:rsidR="00A12E10" w:rsidRDefault="00A12E10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F6A" w14:textId="2490BCC5" w:rsidR="0013011C" w:rsidRDefault="0014179A" w:rsidP="000029CA">
    <w:pPr>
      <w:pStyle w:val="Encabezado"/>
      <w:tabs>
        <w:tab w:val="clear" w:pos="4419"/>
        <w:tab w:val="clear" w:pos="8838"/>
        <w:tab w:val="left" w:pos="7961"/>
      </w:tabs>
      <w:jc w:val="center"/>
    </w:pPr>
    <w:r>
      <w:rPr>
        <w:rFonts w:ascii="Soberana Sans Light" w:hAnsi="Soberana Sans Ligh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D9F71" wp14:editId="735D9F72">
              <wp:simplePos x="0" y="0"/>
              <wp:positionH relativeFrom="column">
                <wp:posOffset>-676275</wp:posOffset>
              </wp:positionH>
              <wp:positionV relativeFrom="paragraph">
                <wp:posOffset>210820</wp:posOffset>
              </wp:positionV>
              <wp:extent cx="10029825" cy="0"/>
              <wp:effectExtent l="9525" t="10795" r="9525" b="1778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29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A876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3.25pt,16.6pt" to="736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" strokecolor="#4579b8" strokeweight="1.5pt"/>
          </w:pict>
        </mc:Fallback>
      </mc:AlternateContent>
    </w:r>
    <w:r w:rsidR="000029CA">
      <w:rPr>
        <w:rFonts w:ascii="Arial" w:hAnsi="Arial" w:cs="Arial"/>
        <w:color w:val="808080" w:themeColor="background1" w:themeShade="80"/>
        <w:sz w:val="20"/>
        <w:szCs w:val="20"/>
      </w:rPr>
      <w:t>INSTITUTO TECNOLÓGICO SUPERIOR DE IRAPUATO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F6B" w14:textId="63876ED6" w:rsidR="00D66966" w:rsidRPr="00410C0A" w:rsidRDefault="00F727A4" w:rsidP="00D66966">
    <w:pPr>
      <w:pStyle w:val="Encabezado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Soberana Sans Light" w:hAnsi="Soberana Sans Ligh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00288D" wp14:editId="6260005F">
              <wp:simplePos x="0" y="0"/>
              <wp:positionH relativeFrom="column">
                <wp:posOffset>2866488</wp:posOffset>
              </wp:positionH>
              <wp:positionV relativeFrom="paragraph">
                <wp:posOffset>-130175</wp:posOffset>
              </wp:positionV>
              <wp:extent cx="3115138" cy="252441"/>
              <wp:effectExtent l="0" t="0" r="952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138" cy="252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71222" w14:textId="60963502" w:rsidR="000029CA" w:rsidRPr="00584484" w:rsidRDefault="00F727A4" w:rsidP="00F727A4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</w:t>
                          </w:r>
                          <w:r w:rsidRPr="00584484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ODER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EJECUTIVO / SECTOR PARAESTATAL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0288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left:0;text-align:left;margin-left:225.7pt;margin-top:-10.25pt;width:245.3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" stroked="f">
              <v:textbox>
                <w:txbxContent>
                  <w:p w14:paraId="52371222" w14:textId="60963502" w:rsidR="000029CA" w:rsidRPr="00584484" w:rsidRDefault="00F727A4" w:rsidP="00F727A4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P</w:t>
                    </w:r>
                    <w:r w:rsidRPr="00584484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ODER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EJECUTIVO / SECTOR PARAESTATAL</w:t>
                    </w:r>
                  </w:p>
                </w:txbxContent>
              </v:textbox>
            </v:shape>
          </w:pict>
        </mc:Fallback>
      </mc:AlternateContent>
    </w:r>
    <w:r w:rsidR="0014179A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5D9F77" wp14:editId="253B7D89">
              <wp:simplePos x="0" y="0"/>
              <wp:positionH relativeFrom="column">
                <wp:posOffset>-683895</wp:posOffset>
              </wp:positionH>
              <wp:positionV relativeFrom="paragraph">
                <wp:posOffset>213360</wp:posOffset>
              </wp:positionV>
              <wp:extent cx="10065385" cy="0"/>
              <wp:effectExtent l="11430" t="13335" r="10160" b="15240"/>
              <wp:wrapNone/>
              <wp:docPr id="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653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02E40" id="Line 3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3.85pt,16.8pt" to="738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" strokecolor="#4579b8 [3044]" strokeweight="1.5pt"/>
          </w:pict>
        </mc:Fallback>
      </mc:AlternateContent>
    </w:r>
    <w:r w:rsidR="000029CA">
      <w:rPr>
        <w:rFonts w:ascii="Soberana Sans Light" w:hAnsi="Soberana Sans Light"/>
        <w:noProof/>
        <w:lang w:val="es-MX" w:eastAsia="es-MX"/>
      </w:rPr>
      <w:t xml:space="preserve"> </w:t>
    </w:r>
  </w:p>
  <w:p w14:paraId="735D9F6C" w14:textId="77777777" w:rsidR="008E3652" w:rsidRPr="00D66966" w:rsidRDefault="008E3652" w:rsidP="00D66966">
    <w:pPr>
      <w:pStyle w:val="Encabezado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F6F" w14:textId="77777777" w:rsidR="0041301D" w:rsidRDefault="0041301D" w:rsidP="0041301D">
    <w:pPr>
      <w:pStyle w:val="Encabezado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color w:val="808080" w:themeColor="background1" w:themeShade="8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35D9F7D" wp14:editId="735D9F7E">
              <wp:simplePos x="0" y="0"/>
              <wp:positionH relativeFrom="column">
                <wp:posOffset>4970970</wp:posOffset>
              </wp:positionH>
              <wp:positionV relativeFrom="paragraph">
                <wp:posOffset>-33655</wp:posOffset>
              </wp:positionV>
              <wp:extent cx="700644" cy="308758"/>
              <wp:effectExtent l="0" t="0" r="444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644" cy="3087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D9F85" w14:textId="77777777" w:rsidR="0041301D" w:rsidRPr="0041301D" w:rsidRDefault="0041301D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41301D">
                            <w:rPr>
                              <w:rFonts w:ascii="Arial" w:hAnsi="Arial" w:cs="Arial"/>
                              <w:color w:val="808080" w:themeColor="background1" w:themeShade="80"/>
                              <w:sz w:val="32"/>
                              <w:szCs w:val="32"/>
                            </w:rPr>
                            <w:t>20</w:t>
                          </w:r>
                          <w:r w:rsidR="002165B7">
                            <w:rPr>
                              <w:rFonts w:ascii="Arial" w:hAnsi="Arial" w:cs="Arial"/>
                              <w:color w:val="808080" w:themeColor="background1" w:themeShade="80"/>
                              <w:sz w:val="32"/>
                              <w:szCs w:val="32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D9F7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391.4pt;margin-top:-2.65pt;width:55.15pt;height:24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" fillcolor="white [3212]" stroked="f" strokeweight=".5pt">
              <v:textbox>
                <w:txbxContent>
                  <w:p w14:paraId="735D9F85" w14:textId="77777777" w:rsidR="0041301D" w:rsidRPr="0041301D" w:rsidRDefault="0041301D">
                    <w:pPr>
                      <w:rPr>
                        <w:rFonts w:ascii="Arial" w:hAnsi="Arial" w:cs="Arial"/>
                        <w:color w:val="808080" w:themeColor="background1" w:themeShade="80"/>
                        <w:sz w:val="32"/>
                        <w:szCs w:val="32"/>
                      </w:rPr>
                    </w:pPr>
                    <w:r w:rsidRPr="0041301D">
                      <w:rPr>
                        <w:rFonts w:ascii="Arial" w:hAnsi="Arial" w:cs="Arial"/>
                        <w:color w:val="808080" w:themeColor="background1" w:themeShade="80"/>
                        <w:sz w:val="32"/>
                        <w:szCs w:val="32"/>
                      </w:rPr>
                      <w:t>20</w:t>
                    </w:r>
                    <w:r w:rsidR="002165B7">
                      <w:rPr>
                        <w:rFonts w:ascii="Arial" w:hAnsi="Arial" w:cs="Arial"/>
                        <w:color w:val="808080" w:themeColor="background1" w:themeShade="80"/>
                        <w:sz w:val="32"/>
                        <w:szCs w:val="32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Pr="0041301D">
      <w:rPr>
        <w:rFonts w:ascii="Arial" w:hAnsi="Arial" w:cs="Arial"/>
        <w:color w:val="808080" w:themeColor="background1" w:themeShade="80"/>
        <w:sz w:val="20"/>
        <w:szCs w:val="20"/>
      </w:rPr>
      <w:t>CUENTA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PÚBLICA</w:t>
    </w:r>
    <w:r w:rsidRPr="0041301D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</w:p>
  <w:p w14:paraId="735D9F70" w14:textId="77777777" w:rsidR="00243C9D" w:rsidRPr="0041301D" w:rsidRDefault="0041301D" w:rsidP="0041301D">
    <w:pPr>
      <w:pStyle w:val="Encabezado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35D9F7F" wp14:editId="735D9F80">
              <wp:simplePos x="0" y="0"/>
              <wp:positionH relativeFrom="column">
                <wp:posOffset>-701040</wp:posOffset>
              </wp:positionH>
              <wp:positionV relativeFrom="paragraph">
                <wp:posOffset>220155</wp:posOffset>
              </wp:positionV>
              <wp:extent cx="10065385" cy="0"/>
              <wp:effectExtent l="0" t="0" r="31115" b="19050"/>
              <wp:wrapNone/>
              <wp:docPr id="6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653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8F436" id="Line 3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17.35pt" to="737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" strokecolor="#4579b8 [3044]" strokeweight="1.5pt"/>
          </w:pict>
        </mc:Fallback>
      </mc:AlternateConten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      GUANAJUATO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6E49E4"/>
    <w:multiLevelType w:val="hybridMultilevel"/>
    <w:tmpl w:val="56AA253E"/>
    <w:lvl w:ilvl="0" w:tplc="BBFEA174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A9C3543"/>
    <w:multiLevelType w:val="hybridMultilevel"/>
    <w:tmpl w:val="24E2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1D1"/>
    <w:multiLevelType w:val="hybridMultilevel"/>
    <w:tmpl w:val="D6C6F3C0"/>
    <w:lvl w:ilvl="0" w:tplc="D0DC30C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BE27287"/>
    <w:multiLevelType w:val="hybridMultilevel"/>
    <w:tmpl w:val="F4B0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7076"/>
    <w:multiLevelType w:val="hybridMultilevel"/>
    <w:tmpl w:val="B9EADC4E"/>
    <w:lvl w:ilvl="0" w:tplc="170C951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0FFC"/>
    <w:multiLevelType w:val="hybridMultilevel"/>
    <w:tmpl w:val="D040D7C6"/>
    <w:lvl w:ilvl="0" w:tplc="13283BE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E7277B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9F66132"/>
    <w:multiLevelType w:val="hybridMultilevel"/>
    <w:tmpl w:val="1ED08FAC"/>
    <w:lvl w:ilvl="0" w:tplc="0CF43DE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2B73"/>
    <w:multiLevelType w:val="hybridMultilevel"/>
    <w:tmpl w:val="23D63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1011"/>
    <w:multiLevelType w:val="hybridMultilevel"/>
    <w:tmpl w:val="EF96FC1C"/>
    <w:lvl w:ilvl="0" w:tplc="BB426CD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5A524AE3"/>
    <w:multiLevelType w:val="hybridMultilevel"/>
    <w:tmpl w:val="105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E6776"/>
    <w:multiLevelType w:val="hybridMultilevel"/>
    <w:tmpl w:val="A4280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F66A7"/>
    <w:multiLevelType w:val="hybridMultilevel"/>
    <w:tmpl w:val="B4E65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57CF3"/>
    <w:multiLevelType w:val="hybridMultilevel"/>
    <w:tmpl w:val="E280DC8C"/>
    <w:lvl w:ilvl="0" w:tplc="9A88BF48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55935755">
    <w:abstractNumId w:val="0"/>
  </w:num>
  <w:num w:numId="2" w16cid:durableId="602497018">
    <w:abstractNumId w:val="4"/>
  </w:num>
  <w:num w:numId="3" w16cid:durableId="1140610404">
    <w:abstractNumId w:val="11"/>
  </w:num>
  <w:num w:numId="4" w16cid:durableId="3942077">
    <w:abstractNumId w:val="8"/>
  </w:num>
  <w:num w:numId="5" w16cid:durableId="2221782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378688">
    <w:abstractNumId w:val="20"/>
  </w:num>
  <w:num w:numId="7" w16cid:durableId="513887853">
    <w:abstractNumId w:val="14"/>
  </w:num>
  <w:num w:numId="8" w16cid:durableId="85000980">
    <w:abstractNumId w:val="5"/>
  </w:num>
  <w:num w:numId="9" w16cid:durableId="47925544">
    <w:abstractNumId w:val="17"/>
  </w:num>
  <w:num w:numId="10" w16cid:durableId="330790854">
    <w:abstractNumId w:val="2"/>
  </w:num>
  <w:num w:numId="11" w16cid:durableId="1322004918">
    <w:abstractNumId w:val="7"/>
  </w:num>
  <w:num w:numId="12" w16cid:durableId="1031298933">
    <w:abstractNumId w:val="13"/>
  </w:num>
  <w:num w:numId="13" w16cid:durableId="2042824371">
    <w:abstractNumId w:val="19"/>
  </w:num>
  <w:num w:numId="14" w16cid:durableId="1302152732">
    <w:abstractNumId w:val="15"/>
  </w:num>
  <w:num w:numId="15" w16cid:durableId="1579897081">
    <w:abstractNumId w:val="10"/>
  </w:num>
  <w:num w:numId="16" w16cid:durableId="219446061">
    <w:abstractNumId w:val="1"/>
  </w:num>
  <w:num w:numId="17" w16cid:durableId="1672373486">
    <w:abstractNumId w:val="12"/>
  </w:num>
  <w:num w:numId="18" w16cid:durableId="530652510">
    <w:abstractNumId w:val="9"/>
  </w:num>
  <w:num w:numId="19" w16cid:durableId="688064183">
    <w:abstractNumId w:val="21"/>
  </w:num>
  <w:num w:numId="20" w16cid:durableId="1167281843">
    <w:abstractNumId w:val="6"/>
  </w:num>
  <w:num w:numId="21" w16cid:durableId="1364095213">
    <w:abstractNumId w:val="3"/>
  </w:num>
  <w:num w:numId="22" w16cid:durableId="468135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A17"/>
    <w:rsid w:val="000029CA"/>
    <w:rsid w:val="00031801"/>
    <w:rsid w:val="00036468"/>
    <w:rsid w:val="00040466"/>
    <w:rsid w:val="00050208"/>
    <w:rsid w:val="00051ECA"/>
    <w:rsid w:val="00056042"/>
    <w:rsid w:val="00062DBE"/>
    <w:rsid w:val="00075042"/>
    <w:rsid w:val="00081F42"/>
    <w:rsid w:val="000821B7"/>
    <w:rsid w:val="0008576C"/>
    <w:rsid w:val="000958AC"/>
    <w:rsid w:val="000B1591"/>
    <w:rsid w:val="000B3C7C"/>
    <w:rsid w:val="000C4654"/>
    <w:rsid w:val="000D5278"/>
    <w:rsid w:val="000E16D5"/>
    <w:rsid w:val="000E268C"/>
    <w:rsid w:val="000F7B8B"/>
    <w:rsid w:val="0010245D"/>
    <w:rsid w:val="00116BF8"/>
    <w:rsid w:val="001179E1"/>
    <w:rsid w:val="00121C91"/>
    <w:rsid w:val="001231B5"/>
    <w:rsid w:val="00124C63"/>
    <w:rsid w:val="00126634"/>
    <w:rsid w:val="0013011C"/>
    <w:rsid w:val="001366D7"/>
    <w:rsid w:val="00137A25"/>
    <w:rsid w:val="0014179A"/>
    <w:rsid w:val="001439FE"/>
    <w:rsid w:val="00144005"/>
    <w:rsid w:val="001646D9"/>
    <w:rsid w:val="001650C8"/>
    <w:rsid w:val="00167BA3"/>
    <w:rsid w:val="0017381F"/>
    <w:rsid w:val="00175462"/>
    <w:rsid w:val="001853A4"/>
    <w:rsid w:val="001A254A"/>
    <w:rsid w:val="001B0D37"/>
    <w:rsid w:val="001B1B72"/>
    <w:rsid w:val="001D36FA"/>
    <w:rsid w:val="001E3B9D"/>
    <w:rsid w:val="001E7F9E"/>
    <w:rsid w:val="001F2B24"/>
    <w:rsid w:val="00205A47"/>
    <w:rsid w:val="00206BCF"/>
    <w:rsid w:val="002165B7"/>
    <w:rsid w:val="00217EA0"/>
    <w:rsid w:val="0022083B"/>
    <w:rsid w:val="00221F58"/>
    <w:rsid w:val="00224459"/>
    <w:rsid w:val="00230E0F"/>
    <w:rsid w:val="0023342A"/>
    <w:rsid w:val="00243C9D"/>
    <w:rsid w:val="00260EB3"/>
    <w:rsid w:val="0026144C"/>
    <w:rsid w:val="00267874"/>
    <w:rsid w:val="00281FEA"/>
    <w:rsid w:val="002A70B3"/>
    <w:rsid w:val="002B5BDD"/>
    <w:rsid w:val="002B6BA9"/>
    <w:rsid w:val="002C5642"/>
    <w:rsid w:val="002C7B6B"/>
    <w:rsid w:val="002E118C"/>
    <w:rsid w:val="002E3600"/>
    <w:rsid w:val="002E3AB7"/>
    <w:rsid w:val="002E7A4E"/>
    <w:rsid w:val="002F0183"/>
    <w:rsid w:val="003051AF"/>
    <w:rsid w:val="00307635"/>
    <w:rsid w:val="00312800"/>
    <w:rsid w:val="003147CE"/>
    <w:rsid w:val="003153DE"/>
    <w:rsid w:val="0032547C"/>
    <w:rsid w:val="00331802"/>
    <w:rsid w:val="00333F09"/>
    <w:rsid w:val="003400E4"/>
    <w:rsid w:val="00355821"/>
    <w:rsid w:val="003610E0"/>
    <w:rsid w:val="00370561"/>
    <w:rsid w:val="00372684"/>
    <w:rsid w:val="00372F40"/>
    <w:rsid w:val="003740F6"/>
    <w:rsid w:val="00380734"/>
    <w:rsid w:val="00387AD4"/>
    <w:rsid w:val="003A413C"/>
    <w:rsid w:val="003A7898"/>
    <w:rsid w:val="003B2878"/>
    <w:rsid w:val="003B655F"/>
    <w:rsid w:val="003D5DBF"/>
    <w:rsid w:val="003D6956"/>
    <w:rsid w:val="003E0C64"/>
    <w:rsid w:val="003E7FD0"/>
    <w:rsid w:val="004079F5"/>
    <w:rsid w:val="00410C0A"/>
    <w:rsid w:val="0041301D"/>
    <w:rsid w:val="00414245"/>
    <w:rsid w:val="004252AB"/>
    <w:rsid w:val="004277AF"/>
    <w:rsid w:val="0044253C"/>
    <w:rsid w:val="004671E4"/>
    <w:rsid w:val="0047223C"/>
    <w:rsid w:val="00475646"/>
    <w:rsid w:val="00477029"/>
    <w:rsid w:val="00481BB6"/>
    <w:rsid w:val="00486AE1"/>
    <w:rsid w:val="00490B51"/>
    <w:rsid w:val="004915D1"/>
    <w:rsid w:val="00491D38"/>
    <w:rsid w:val="00491F63"/>
    <w:rsid w:val="00497D8B"/>
    <w:rsid w:val="004B01D6"/>
    <w:rsid w:val="004D3C95"/>
    <w:rsid w:val="004D41B8"/>
    <w:rsid w:val="004D4E9E"/>
    <w:rsid w:val="004E1F7A"/>
    <w:rsid w:val="004F29CC"/>
    <w:rsid w:val="004F4C9A"/>
    <w:rsid w:val="00502005"/>
    <w:rsid w:val="00502D8E"/>
    <w:rsid w:val="00506351"/>
    <w:rsid w:val="0051061B"/>
    <w:rsid w:val="005117F4"/>
    <w:rsid w:val="00512C59"/>
    <w:rsid w:val="00522632"/>
    <w:rsid w:val="00524746"/>
    <w:rsid w:val="005253B6"/>
    <w:rsid w:val="00525A46"/>
    <w:rsid w:val="0053052A"/>
    <w:rsid w:val="00531310"/>
    <w:rsid w:val="0053320E"/>
    <w:rsid w:val="00534982"/>
    <w:rsid w:val="00540418"/>
    <w:rsid w:val="005425E9"/>
    <w:rsid w:val="00543D9D"/>
    <w:rsid w:val="005442BA"/>
    <w:rsid w:val="00546712"/>
    <w:rsid w:val="00553F1E"/>
    <w:rsid w:val="00553FE6"/>
    <w:rsid w:val="005540C2"/>
    <w:rsid w:val="005542F7"/>
    <w:rsid w:val="005706D9"/>
    <w:rsid w:val="00582405"/>
    <w:rsid w:val="00584060"/>
    <w:rsid w:val="00584484"/>
    <w:rsid w:val="005859FA"/>
    <w:rsid w:val="005A1A7B"/>
    <w:rsid w:val="005A4763"/>
    <w:rsid w:val="005B0742"/>
    <w:rsid w:val="005B6522"/>
    <w:rsid w:val="005C11C0"/>
    <w:rsid w:val="005C3C84"/>
    <w:rsid w:val="005C4017"/>
    <w:rsid w:val="005F38CB"/>
    <w:rsid w:val="006008D3"/>
    <w:rsid w:val="00601DE3"/>
    <w:rsid w:val="006039A4"/>
    <w:rsid w:val="00603D1A"/>
    <w:rsid w:val="006048D2"/>
    <w:rsid w:val="00611E39"/>
    <w:rsid w:val="006133D2"/>
    <w:rsid w:val="006223EE"/>
    <w:rsid w:val="00624AF0"/>
    <w:rsid w:val="00633237"/>
    <w:rsid w:val="006359FF"/>
    <w:rsid w:val="00640E11"/>
    <w:rsid w:val="00656AFE"/>
    <w:rsid w:val="00660A28"/>
    <w:rsid w:val="00661772"/>
    <w:rsid w:val="00662E1A"/>
    <w:rsid w:val="006638AC"/>
    <w:rsid w:val="00665222"/>
    <w:rsid w:val="006725E1"/>
    <w:rsid w:val="00682609"/>
    <w:rsid w:val="00693B78"/>
    <w:rsid w:val="006944F9"/>
    <w:rsid w:val="006A7700"/>
    <w:rsid w:val="006B3871"/>
    <w:rsid w:val="006B729B"/>
    <w:rsid w:val="006C0640"/>
    <w:rsid w:val="006C1D3E"/>
    <w:rsid w:val="006D350A"/>
    <w:rsid w:val="006D7978"/>
    <w:rsid w:val="006E54D7"/>
    <w:rsid w:val="006E6B8E"/>
    <w:rsid w:val="006E77DD"/>
    <w:rsid w:val="006F6105"/>
    <w:rsid w:val="00731D01"/>
    <w:rsid w:val="00733B97"/>
    <w:rsid w:val="00735C8C"/>
    <w:rsid w:val="00737EA1"/>
    <w:rsid w:val="007547E5"/>
    <w:rsid w:val="0078139D"/>
    <w:rsid w:val="00794F06"/>
    <w:rsid w:val="007957C2"/>
    <w:rsid w:val="0079582C"/>
    <w:rsid w:val="007A7555"/>
    <w:rsid w:val="007B11D4"/>
    <w:rsid w:val="007B1A84"/>
    <w:rsid w:val="007B395E"/>
    <w:rsid w:val="007B4655"/>
    <w:rsid w:val="007B71E0"/>
    <w:rsid w:val="007C040F"/>
    <w:rsid w:val="007C79D7"/>
    <w:rsid w:val="007D6E9A"/>
    <w:rsid w:val="007F0E35"/>
    <w:rsid w:val="0080591B"/>
    <w:rsid w:val="00816AF8"/>
    <w:rsid w:val="00816BF6"/>
    <w:rsid w:val="00817382"/>
    <w:rsid w:val="008210B3"/>
    <w:rsid w:val="008564A0"/>
    <w:rsid w:val="008602AC"/>
    <w:rsid w:val="00862DA8"/>
    <w:rsid w:val="00863436"/>
    <w:rsid w:val="0087007A"/>
    <w:rsid w:val="008825C2"/>
    <w:rsid w:val="008A546E"/>
    <w:rsid w:val="008A6E4D"/>
    <w:rsid w:val="008B0017"/>
    <w:rsid w:val="008B4216"/>
    <w:rsid w:val="008C6168"/>
    <w:rsid w:val="008D2722"/>
    <w:rsid w:val="008D4272"/>
    <w:rsid w:val="008D768C"/>
    <w:rsid w:val="008E3652"/>
    <w:rsid w:val="00906646"/>
    <w:rsid w:val="0091414F"/>
    <w:rsid w:val="00922416"/>
    <w:rsid w:val="00926EB9"/>
    <w:rsid w:val="00951352"/>
    <w:rsid w:val="0096474B"/>
    <w:rsid w:val="00966947"/>
    <w:rsid w:val="00970B6A"/>
    <w:rsid w:val="00972FEB"/>
    <w:rsid w:val="0097585A"/>
    <w:rsid w:val="0099048E"/>
    <w:rsid w:val="009909AB"/>
    <w:rsid w:val="00992E7E"/>
    <w:rsid w:val="00997717"/>
    <w:rsid w:val="009A40F6"/>
    <w:rsid w:val="009B00DE"/>
    <w:rsid w:val="009C1CD1"/>
    <w:rsid w:val="009C3DD4"/>
    <w:rsid w:val="009F2FF5"/>
    <w:rsid w:val="009F609E"/>
    <w:rsid w:val="00A05B12"/>
    <w:rsid w:val="00A0752F"/>
    <w:rsid w:val="00A12E10"/>
    <w:rsid w:val="00A14B74"/>
    <w:rsid w:val="00A225EE"/>
    <w:rsid w:val="00A269F2"/>
    <w:rsid w:val="00A303CB"/>
    <w:rsid w:val="00A3136D"/>
    <w:rsid w:val="00A34412"/>
    <w:rsid w:val="00A34915"/>
    <w:rsid w:val="00A43462"/>
    <w:rsid w:val="00A5610E"/>
    <w:rsid w:val="00A74171"/>
    <w:rsid w:val="00A74C35"/>
    <w:rsid w:val="00A83EF6"/>
    <w:rsid w:val="00A911BD"/>
    <w:rsid w:val="00A97B49"/>
    <w:rsid w:val="00AA4C6C"/>
    <w:rsid w:val="00AB13B7"/>
    <w:rsid w:val="00AC622E"/>
    <w:rsid w:val="00AD0E70"/>
    <w:rsid w:val="00AD1080"/>
    <w:rsid w:val="00AD1576"/>
    <w:rsid w:val="00AD41FC"/>
    <w:rsid w:val="00AD42C4"/>
    <w:rsid w:val="00AD4901"/>
    <w:rsid w:val="00AE0C4F"/>
    <w:rsid w:val="00AE5EA4"/>
    <w:rsid w:val="00B0579C"/>
    <w:rsid w:val="00B05924"/>
    <w:rsid w:val="00B05BA2"/>
    <w:rsid w:val="00B06832"/>
    <w:rsid w:val="00B1248C"/>
    <w:rsid w:val="00B13B37"/>
    <w:rsid w:val="00B17423"/>
    <w:rsid w:val="00B328E1"/>
    <w:rsid w:val="00B42A02"/>
    <w:rsid w:val="00B4605E"/>
    <w:rsid w:val="00B602FC"/>
    <w:rsid w:val="00B7083A"/>
    <w:rsid w:val="00B70B15"/>
    <w:rsid w:val="00B72E45"/>
    <w:rsid w:val="00B849EE"/>
    <w:rsid w:val="00B94CA9"/>
    <w:rsid w:val="00B96664"/>
    <w:rsid w:val="00BA5834"/>
    <w:rsid w:val="00BB6BB8"/>
    <w:rsid w:val="00BB78DE"/>
    <w:rsid w:val="00BC0341"/>
    <w:rsid w:val="00BC11BA"/>
    <w:rsid w:val="00BC7E9F"/>
    <w:rsid w:val="00BF73A7"/>
    <w:rsid w:val="00C137AC"/>
    <w:rsid w:val="00C22F80"/>
    <w:rsid w:val="00C41A6F"/>
    <w:rsid w:val="00C44F01"/>
    <w:rsid w:val="00C524AA"/>
    <w:rsid w:val="00C5336C"/>
    <w:rsid w:val="00C60673"/>
    <w:rsid w:val="00C6493A"/>
    <w:rsid w:val="00C65469"/>
    <w:rsid w:val="00C65E00"/>
    <w:rsid w:val="00C720B8"/>
    <w:rsid w:val="00C751D7"/>
    <w:rsid w:val="00C77D0C"/>
    <w:rsid w:val="00C84C19"/>
    <w:rsid w:val="00C84E62"/>
    <w:rsid w:val="00C94CD0"/>
    <w:rsid w:val="00C95417"/>
    <w:rsid w:val="00CA2D37"/>
    <w:rsid w:val="00CB01F4"/>
    <w:rsid w:val="00CB159B"/>
    <w:rsid w:val="00CC2455"/>
    <w:rsid w:val="00CC5CB6"/>
    <w:rsid w:val="00CD270F"/>
    <w:rsid w:val="00CD5EEE"/>
    <w:rsid w:val="00CE107D"/>
    <w:rsid w:val="00CF2236"/>
    <w:rsid w:val="00D0062C"/>
    <w:rsid w:val="00D055EC"/>
    <w:rsid w:val="00D23283"/>
    <w:rsid w:val="00D23466"/>
    <w:rsid w:val="00D255CB"/>
    <w:rsid w:val="00D325BD"/>
    <w:rsid w:val="00D34B4E"/>
    <w:rsid w:val="00D3760D"/>
    <w:rsid w:val="00D404ED"/>
    <w:rsid w:val="00D4350A"/>
    <w:rsid w:val="00D51261"/>
    <w:rsid w:val="00D54110"/>
    <w:rsid w:val="00D66966"/>
    <w:rsid w:val="00D72163"/>
    <w:rsid w:val="00D748D3"/>
    <w:rsid w:val="00D74EF0"/>
    <w:rsid w:val="00D95BB2"/>
    <w:rsid w:val="00DB2F7D"/>
    <w:rsid w:val="00DB6B93"/>
    <w:rsid w:val="00DD230F"/>
    <w:rsid w:val="00DD3642"/>
    <w:rsid w:val="00DD6926"/>
    <w:rsid w:val="00DE121C"/>
    <w:rsid w:val="00DE762C"/>
    <w:rsid w:val="00DF04BC"/>
    <w:rsid w:val="00DF3AD2"/>
    <w:rsid w:val="00E13FEA"/>
    <w:rsid w:val="00E227E7"/>
    <w:rsid w:val="00E26D37"/>
    <w:rsid w:val="00E32708"/>
    <w:rsid w:val="00E430F0"/>
    <w:rsid w:val="00E464BF"/>
    <w:rsid w:val="00E479BE"/>
    <w:rsid w:val="00E74945"/>
    <w:rsid w:val="00E757BB"/>
    <w:rsid w:val="00E9097D"/>
    <w:rsid w:val="00EA5418"/>
    <w:rsid w:val="00EC3A91"/>
    <w:rsid w:val="00EC7D24"/>
    <w:rsid w:val="00ED16FA"/>
    <w:rsid w:val="00ED396C"/>
    <w:rsid w:val="00ED7A80"/>
    <w:rsid w:val="00EF4AF6"/>
    <w:rsid w:val="00F17883"/>
    <w:rsid w:val="00F31901"/>
    <w:rsid w:val="00F41A59"/>
    <w:rsid w:val="00F421C7"/>
    <w:rsid w:val="00F727A4"/>
    <w:rsid w:val="00F837EE"/>
    <w:rsid w:val="00F96944"/>
    <w:rsid w:val="00FB77E4"/>
    <w:rsid w:val="00FC3675"/>
    <w:rsid w:val="00FE6888"/>
    <w:rsid w:val="00FF287A"/>
    <w:rsid w:val="00FF30D9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9E4B"/>
  <w15:docId w15:val="{05E67BC3-C060-4D17-B2A8-98B14FD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7978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6617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61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61772"/>
  </w:style>
  <w:style w:type="character" w:customStyle="1" w:styleId="Ttulo1Car">
    <w:name w:val="Título 1 Car"/>
    <w:basedOn w:val="Fuentedeprrafopredeter"/>
    <w:link w:val="Ttulo1"/>
    <w:rsid w:val="006D7978"/>
    <w:rPr>
      <w:rFonts w:ascii="Arial" w:eastAsia="Times New Roman" w:hAnsi="Arial" w:cs="Times New Roman"/>
      <w:b/>
      <w:spacing w:val="-3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51D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51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D5278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02B0-CD71-4B72-AA63-AB54169A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Carolina Guzmán Noria</cp:lastModifiedBy>
  <cp:revision>2</cp:revision>
  <cp:lastPrinted>2022-01-17T16:01:00Z</cp:lastPrinted>
  <dcterms:created xsi:type="dcterms:W3CDTF">2025-01-28T19:45:00Z</dcterms:created>
  <dcterms:modified xsi:type="dcterms:W3CDTF">2025-01-28T19:45:00Z</dcterms:modified>
</cp:coreProperties>
</file>