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EBA" w:rsidRPr="00091B6D" w:rsidRDefault="00C03B1A" w:rsidP="00000EBA">
      <w:pPr>
        <w:tabs>
          <w:tab w:val="left" w:leader="underscore" w:pos="9639"/>
        </w:tabs>
        <w:spacing w:after="0" w:line="240" w:lineRule="auto"/>
        <w:jc w:val="center"/>
        <w:rPr>
          <w:rFonts w:ascii="Arial" w:hAnsi="Arial" w:cs="Arial"/>
          <w:b/>
          <w:sz w:val="20"/>
          <w:szCs w:val="20"/>
        </w:rPr>
      </w:pPr>
      <w:hyperlink r:id="rId7" w:history="1">
        <w:r w:rsidR="00000EBA" w:rsidRPr="00091B6D">
          <w:rPr>
            <w:rStyle w:val="Hipervnculo"/>
            <w:rFonts w:ascii="Arial" w:hAnsi="Arial" w:cs="Arial"/>
            <w:b/>
            <w:sz w:val="20"/>
            <w:szCs w:val="20"/>
          </w:rPr>
          <w:t>NOTAS DE GESTIÓN ADMINISTRATIVA</w:t>
        </w:r>
      </w:hyperlink>
    </w:p>
    <w:p w:rsidR="00000EBA" w:rsidRPr="00091B6D" w:rsidRDefault="00000EBA" w:rsidP="00000EBA">
      <w:pPr>
        <w:tabs>
          <w:tab w:val="left" w:leader="underscore" w:pos="9639"/>
        </w:tabs>
        <w:spacing w:after="0" w:line="240" w:lineRule="auto"/>
        <w:jc w:val="both"/>
        <w:rPr>
          <w:rFonts w:ascii="Arial" w:hAnsi="Arial" w:cs="Arial"/>
          <w:sz w:val="20"/>
          <w:szCs w:val="20"/>
        </w:rPr>
      </w:pPr>
    </w:p>
    <w:sdt>
      <w:sdtPr>
        <w:rPr>
          <w:rFonts w:ascii="Arial" w:eastAsia="Calibri" w:hAnsi="Arial" w:cs="Arial"/>
          <w:color w:val="auto"/>
          <w:sz w:val="20"/>
          <w:szCs w:val="20"/>
          <w:lang w:val="es-ES" w:eastAsia="en-US"/>
        </w:rPr>
        <w:id w:val="-191922827"/>
        <w:docPartObj>
          <w:docPartGallery w:val="Table of Contents"/>
          <w:docPartUnique/>
        </w:docPartObj>
      </w:sdtPr>
      <w:sdtEndPr>
        <w:rPr>
          <w:b/>
          <w:bCs/>
        </w:rPr>
      </w:sdtEndPr>
      <w:sdtContent>
        <w:p w:rsidR="00000EBA" w:rsidRPr="00091B6D" w:rsidRDefault="00000EBA" w:rsidP="00000EBA">
          <w:pPr>
            <w:pStyle w:val="TtuloTDC"/>
            <w:spacing w:line="240" w:lineRule="auto"/>
            <w:rPr>
              <w:rFonts w:ascii="Arial" w:hAnsi="Arial" w:cs="Arial"/>
              <w:sz w:val="20"/>
              <w:szCs w:val="20"/>
              <w:lang w:val="es-ES"/>
            </w:rPr>
          </w:pPr>
          <w:r w:rsidRPr="00091B6D">
            <w:rPr>
              <w:rFonts w:ascii="Arial" w:hAnsi="Arial" w:cs="Arial"/>
              <w:sz w:val="20"/>
              <w:szCs w:val="20"/>
              <w:lang w:val="es-ES"/>
            </w:rPr>
            <w:t>Contenido</w:t>
          </w:r>
        </w:p>
        <w:p w:rsidR="00000EBA" w:rsidRPr="00091B6D" w:rsidRDefault="00000EBA" w:rsidP="00000EBA">
          <w:pPr>
            <w:spacing w:line="240" w:lineRule="auto"/>
            <w:rPr>
              <w:rFonts w:ascii="Arial" w:hAnsi="Arial" w:cs="Arial"/>
              <w:sz w:val="20"/>
              <w:szCs w:val="20"/>
              <w:lang w:val="es-ES" w:eastAsia="es-MX"/>
            </w:rPr>
          </w:pPr>
        </w:p>
        <w:p w:rsidR="00000EBA" w:rsidRDefault="00000EBA">
          <w:pPr>
            <w:pStyle w:val="TDC2"/>
            <w:tabs>
              <w:tab w:val="right" w:leader="dot" w:pos="13278"/>
            </w:tabs>
            <w:rPr>
              <w:rFonts w:asciiTheme="minorHAnsi" w:eastAsiaTheme="minorEastAsia" w:hAnsiTheme="minorHAnsi" w:cstheme="minorBidi"/>
              <w:noProof/>
              <w:lang w:eastAsia="es-MX"/>
            </w:rPr>
          </w:pPr>
          <w:r w:rsidRPr="00091B6D">
            <w:rPr>
              <w:rFonts w:ascii="Arial" w:hAnsi="Arial" w:cs="Arial"/>
              <w:sz w:val="20"/>
              <w:szCs w:val="20"/>
            </w:rPr>
            <w:fldChar w:fldCharType="begin"/>
          </w:r>
          <w:r w:rsidRPr="00091B6D">
            <w:rPr>
              <w:rFonts w:ascii="Arial" w:hAnsi="Arial" w:cs="Arial"/>
              <w:sz w:val="20"/>
              <w:szCs w:val="20"/>
            </w:rPr>
            <w:instrText xml:space="preserve"> TOC \o "1-3" \h \z \u </w:instrText>
          </w:r>
          <w:r w:rsidRPr="00091B6D">
            <w:rPr>
              <w:rFonts w:ascii="Arial" w:hAnsi="Arial" w:cs="Arial"/>
              <w:sz w:val="20"/>
              <w:szCs w:val="20"/>
            </w:rPr>
            <w:fldChar w:fldCharType="separate"/>
          </w:r>
          <w:hyperlink w:anchor="_Toc220077185" w:history="1">
            <w:r w:rsidRPr="00495280">
              <w:rPr>
                <w:rStyle w:val="Hipervnculo"/>
                <w:rFonts w:ascii="Arial" w:hAnsi="Arial" w:cs="Arial"/>
                <w:b/>
                <w:noProof/>
              </w:rPr>
              <w:t>1. Autorización e Historia:</w:t>
            </w:r>
            <w:r>
              <w:rPr>
                <w:noProof/>
                <w:webHidden/>
              </w:rPr>
              <w:tab/>
            </w:r>
            <w:r>
              <w:rPr>
                <w:noProof/>
                <w:webHidden/>
              </w:rPr>
              <w:fldChar w:fldCharType="begin"/>
            </w:r>
            <w:r>
              <w:rPr>
                <w:noProof/>
                <w:webHidden/>
              </w:rPr>
              <w:instrText xml:space="preserve"> PAGEREF _Toc220077185 \h </w:instrText>
            </w:r>
            <w:r>
              <w:rPr>
                <w:noProof/>
                <w:webHidden/>
              </w:rPr>
            </w:r>
            <w:r>
              <w:rPr>
                <w:noProof/>
                <w:webHidden/>
              </w:rPr>
              <w:fldChar w:fldCharType="separate"/>
            </w:r>
            <w:r w:rsidR="002564C0">
              <w:rPr>
                <w:noProof/>
                <w:webHidden/>
              </w:rPr>
              <w:t>2</w:t>
            </w:r>
            <w:r>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86" w:history="1">
            <w:r w:rsidR="00000EBA" w:rsidRPr="00495280">
              <w:rPr>
                <w:rStyle w:val="Hipervnculo"/>
                <w:rFonts w:ascii="Arial" w:hAnsi="Arial" w:cs="Arial"/>
                <w:b/>
                <w:noProof/>
              </w:rPr>
              <w:t>2. Panorama Económico y Financiero</w:t>
            </w:r>
            <w:r w:rsidR="00000EBA">
              <w:rPr>
                <w:noProof/>
                <w:webHidden/>
              </w:rPr>
              <w:tab/>
            </w:r>
            <w:r w:rsidR="00000EBA">
              <w:rPr>
                <w:noProof/>
                <w:webHidden/>
              </w:rPr>
              <w:fldChar w:fldCharType="begin"/>
            </w:r>
            <w:r w:rsidR="00000EBA">
              <w:rPr>
                <w:noProof/>
                <w:webHidden/>
              </w:rPr>
              <w:instrText xml:space="preserve"> PAGEREF _Toc220077186 \h </w:instrText>
            </w:r>
            <w:r w:rsidR="00000EBA">
              <w:rPr>
                <w:noProof/>
                <w:webHidden/>
              </w:rPr>
            </w:r>
            <w:r w:rsidR="00000EBA">
              <w:rPr>
                <w:noProof/>
                <w:webHidden/>
              </w:rPr>
              <w:fldChar w:fldCharType="separate"/>
            </w:r>
            <w:r w:rsidR="002564C0">
              <w:rPr>
                <w:noProof/>
                <w:webHidden/>
              </w:rPr>
              <w:t>4</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87" w:history="1">
            <w:r w:rsidR="00000EBA" w:rsidRPr="00495280">
              <w:rPr>
                <w:rStyle w:val="Hipervnculo"/>
                <w:rFonts w:ascii="Arial" w:hAnsi="Arial" w:cs="Arial"/>
                <w:b/>
                <w:noProof/>
              </w:rPr>
              <w:t>3. Organización y Objeto Social:</w:t>
            </w:r>
            <w:r w:rsidR="00000EBA">
              <w:rPr>
                <w:noProof/>
                <w:webHidden/>
              </w:rPr>
              <w:tab/>
            </w:r>
            <w:r w:rsidR="00000EBA">
              <w:rPr>
                <w:noProof/>
                <w:webHidden/>
              </w:rPr>
              <w:fldChar w:fldCharType="begin"/>
            </w:r>
            <w:r w:rsidR="00000EBA">
              <w:rPr>
                <w:noProof/>
                <w:webHidden/>
              </w:rPr>
              <w:instrText xml:space="preserve"> PAGEREF _Toc220077187 \h </w:instrText>
            </w:r>
            <w:r w:rsidR="00000EBA">
              <w:rPr>
                <w:noProof/>
                <w:webHidden/>
              </w:rPr>
            </w:r>
            <w:r w:rsidR="00000EBA">
              <w:rPr>
                <w:noProof/>
                <w:webHidden/>
              </w:rPr>
              <w:fldChar w:fldCharType="separate"/>
            </w:r>
            <w:r w:rsidR="002564C0">
              <w:rPr>
                <w:noProof/>
                <w:webHidden/>
              </w:rPr>
              <w:t>4</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88" w:history="1">
            <w:r w:rsidR="00000EBA" w:rsidRPr="00495280">
              <w:rPr>
                <w:rStyle w:val="Hipervnculo"/>
                <w:rFonts w:ascii="Arial" w:hAnsi="Arial" w:cs="Arial"/>
                <w:b/>
                <w:noProof/>
              </w:rPr>
              <w:t>4. Bases de Preparación de los Estados Financieros:</w:t>
            </w:r>
            <w:r w:rsidR="00000EBA">
              <w:rPr>
                <w:noProof/>
                <w:webHidden/>
              </w:rPr>
              <w:tab/>
            </w:r>
            <w:r w:rsidR="00000EBA">
              <w:rPr>
                <w:noProof/>
                <w:webHidden/>
              </w:rPr>
              <w:fldChar w:fldCharType="begin"/>
            </w:r>
            <w:r w:rsidR="00000EBA">
              <w:rPr>
                <w:noProof/>
                <w:webHidden/>
              </w:rPr>
              <w:instrText xml:space="preserve"> PAGEREF _Toc220077188 \h </w:instrText>
            </w:r>
            <w:r w:rsidR="00000EBA">
              <w:rPr>
                <w:noProof/>
                <w:webHidden/>
              </w:rPr>
            </w:r>
            <w:r w:rsidR="00000EBA">
              <w:rPr>
                <w:noProof/>
                <w:webHidden/>
              </w:rPr>
              <w:fldChar w:fldCharType="separate"/>
            </w:r>
            <w:r w:rsidR="002564C0">
              <w:rPr>
                <w:noProof/>
                <w:webHidden/>
              </w:rPr>
              <w:t>8</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89" w:history="1">
            <w:r w:rsidR="00000EBA" w:rsidRPr="00495280">
              <w:rPr>
                <w:rStyle w:val="Hipervnculo"/>
                <w:rFonts w:ascii="Arial" w:hAnsi="Arial" w:cs="Arial"/>
                <w:b/>
                <w:noProof/>
              </w:rPr>
              <w:t>5. Políticas de Contabilidad Significativas:</w:t>
            </w:r>
            <w:r w:rsidR="00000EBA">
              <w:rPr>
                <w:noProof/>
                <w:webHidden/>
              </w:rPr>
              <w:tab/>
            </w:r>
            <w:r w:rsidR="00000EBA">
              <w:rPr>
                <w:noProof/>
                <w:webHidden/>
              </w:rPr>
              <w:fldChar w:fldCharType="begin"/>
            </w:r>
            <w:r w:rsidR="00000EBA">
              <w:rPr>
                <w:noProof/>
                <w:webHidden/>
              </w:rPr>
              <w:instrText xml:space="preserve"> PAGEREF _Toc220077189 \h </w:instrText>
            </w:r>
            <w:r w:rsidR="00000EBA">
              <w:rPr>
                <w:noProof/>
                <w:webHidden/>
              </w:rPr>
            </w:r>
            <w:r w:rsidR="00000EBA">
              <w:rPr>
                <w:noProof/>
                <w:webHidden/>
              </w:rPr>
              <w:fldChar w:fldCharType="separate"/>
            </w:r>
            <w:r w:rsidR="002564C0">
              <w:rPr>
                <w:noProof/>
                <w:webHidden/>
              </w:rPr>
              <w:t>9</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0" w:history="1">
            <w:r w:rsidR="00000EBA" w:rsidRPr="00495280">
              <w:rPr>
                <w:rStyle w:val="Hipervnculo"/>
                <w:rFonts w:ascii="Arial" w:hAnsi="Arial" w:cs="Arial"/>
                <w:b/>
                <w:noProof/>
              </w:rPr>
              <w:t>6. Posición en Moneda Extranjera y Protección por Riesgo Cambiario:</w:t>
            </w:r>
            <w:r w:rsidR="00000EBA">
              <w:rPr>
                <w:noProof/>
                <w:webHidden/>
              </w:rPr>
              <w:tab/>
            </w:r>
            <w:r w:rsidR="00000EBA">
              <w:rPr>
                <w:noProof/>
                <w:webHidden/>
              </w:rPr>
              <w:fldChar w:fldCharType="begin"/>
            </w:r>
            <w:r w:rsidR="00000EBA">
              <w:rPr>
                <w:noProof/>
                <w:webHidden/>
              </w:rPr>
              <w:instrText xml:space="preserve"> PAGEREF _Toc220077190 \h </w:instrText>
            </w:r>
            <w:r w:rsidR="00000EBA">
              <w:rPr>
                <w:noProof/>
                <w:webHidden/>
              </w:rPr>
            </w:r>
            <w:r w:rsidR="00000EBA">
              <w:rPr>
                <w:noProof/>
                <w:webHidden/>
              </w:rPr>
              <w:fldChar w:fldCharType="separate"/>
            </w:r>
            <w:r w:rsidR="002564C0">
              <w:rPr>
                <w:noProof/>
                <w:webHidden/>
              </w:rPr>
              <w:t>10</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1" w:history="1">
            <w:r w:rsidR="00000EBA" w:rsidRPr="00495280">
              <w:rPr>
                <w:rStyle w:val="Hipervnculo"/>
                <w:rFonts w:ascii="Arial" w:hAnsi="Arial" w:cs="Arial"/>
                <w:b/>
                <w:noProof/>
              </w:rPr>
              <w:t>7. Reporte Analítico del Activo:</w:t>
            </w:r>
            <w:r w:rsidR="00000EBA">
              <w:rPr>
                <w:noProof/>
                <w:webHidden/>
              </w:rPr>
              <w:tab/>
            </w:r>
            <w:r w:rsidR="00000EBA">
              <w:rPr>
                <w:noProof/>
                <w:webHidden/>
              </w:rPr>
              <w:fldChar w:fldCharType="begin"/>
            </w:r>
            <w:r w:rsidR="00000EBA">
              <w:rPr>
                <w:noProof/>
                <w:webHidden/>
              </w:rPr>
              <w:instrText xml:space="preserve"> PAGEREF _Toc220077191 \h </w:instrText>
            </w:r>
            <w:r w:rsidR="00000EBA">
              <w:rPr>
                <w:noProof/>
                <w:webHidden/>
              </w:rPr>
            </w:r>
            <w:r w:rsidR="00000EBA">
              <w:rPr>
                <w:noProof/>
                <w:webHidden/>
              </w:rPr>
              <w:fldChar w:fldCharType="separate"/>
            </w:r>
            <w:r w:rsidR="002564C0">
              <w:rPr>
                <w:noProof/>
                <w:webHidden/>
              </w:rPr>
              <w:t>11</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2" w:history="1">
            <w:r w:rsidR="00000EBA" w:rsidRPr="00495280">
              <w:rPr>
                <w:rStyle w:val="Hipervnculo"/>
                <w:rFonts w:ascii="Arial" w:hAnsi="Arial" w:cs="Arial"/>
                <w:b/>
                <w:noProof/>
              </w:rPr>
              <w:t>8. Fideicomisos, Mandatos y Análogos:</w:t>
            </w:r>
            <w:r w:rsidR="00000EBA">
              <w:rPr>
                <w:noProof/>
                <w:webHidden/>
              </w:rPr>
              <w:tab/>
            </w:r>
            <w:r w:rsidR="00000EBA">
              <w:rPr>
                <w:noProof/>
                <w:webHidden/>
              </w:rPr>
              <w:fldChar w:fldCharType="begin"/>
            </w:r>
            <w:r w:rsidR="00000EBA">
              <w:rPr>
                <w:noProof/>
                <w:webHidden/>
              </w:rPr>
              <w:instrText xml:space="preserve"> PAGEREF _Toc220077192 \h </w:instrText>
            </w:r>
            <w:r w:rsidR="00000EBA">
              <w:rPr>
                <w:noProof/>
                <w:webHidden/>
              </w:rPr>
            </w:r>
            <w:r w:rsidR="00000EBA">
              <w:rPr>
                <w:noProof/>
                <w:webHidden/>
              </w:rPr>
              <w:fldChar w:fldCharType="separate"/>
            </w:r>
            <w:r w:rsidR="002564C0">
              <w:rPr>
                <w:noProof/>
                <w:webHidden/>
              </w:rPr>
              <w:t>12</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3" w:history="1">
            <w:r w:rsidR="00000EBA" w:rsidRPr="00495280">
              <w:rPr>
                <w:rStyle w:val="Hipervnculo"/>
                <w:rFonts w:ascii="Arial" w:hAnsi="Arial" w:cs="Arial"/>
                <w:b/>
                <w:noProof/>
              </w:rPr>
              <w:t>9. Reporte de la Recaudación:</w:t>
            </w:r>
            <w:r w:rsidR="00000EBA">
              <w:rPr>
                <w:noProof/>
                <w:webHidden/>
              </w:rPr>
              <w:tab/>
            </w:r>
            <w:r w:rsidR="00000EBA">
              <w:rPr>
                <w:noProof/>
                <w:webHidden/>
              </w:rPr>
              <w:fldChar w:fldCharType="begin"/>
            </w:r>
            <w:r w:rsidR="00000EBA">
              <w:rPr>
                <w:noProof/>
                <w:webHidden/>
              </w:rPr>
              <w:instrText xml:space="preserve"> PAGEREF _Toc220077193 \h </w:instrText>
            </w:r>
            <w:r w:rsidR="00000EBA">
              <w:rPr>
                <w:noProof/>
                <w:webHidden/>
              </w:rPr>
            </w:r>
            <w:r w:rsidR="00000EBA">
              <w:rPr>
                <w:noProof/>
                <w:webHidden/>
              </w:rPr>
              <w:fldChar w:fldCharType="separate"/>
            </w:r>
            <w:r w:rsidR="002564C0">
              <w:rPr>
                <w:noProof/>
                <w:webHidden/>
              </w:rPr>
              <w:t>13</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4" w:history="1">
            <w:r w:rsidR="00000EBA" w:rsidRPr="00495280">
              <w:rPr>
                <w:rStyle w:val="Hipervnculo"/>
                <w:rFonts w:ascii="Arial" w:hAnsi="Arial" w:cs="Arial"/>
                <w:b/>
                <w:noProof/>
              </w:rPr>
              <w:t>10. Información sobre la Deuda y el Reporte Analítico de la Deuda:</w:t>
            </w:r>
            <w:r w:rsidR="00000EBA">
              <w:rPr>
                <w:noProof/>
                <w:webHidden/>
              </w:rPr>
              <w:tab/>
            </w:r>
            <w:r w:rsidR="00000EBA">
              <w:rPr>
                <w:noProof/>
                <w:webHidden/>
              </w:rPr>
              <w:fldChar w:fldCharType="begin"/>
            </w:r>
            <w:r w:rsidR="00000EBA">
              <w:rPr>
                <w:noProof/>
                <w:webHidden/>
              </w:rPr>
              <w:instrText xml:space="preserve"> PAGEREF _Toc220077194 \h </w:instrText>
            </w:r>
            <w:r w:rsidR="00000EBA">
              <w:rPr>
                <w:noProof/>
                <w:webHidden/>
              </w:rPr>
            </w:r>
            <w:r w:rsidR="00000EBA">
              <w:rPr>
                <w:noProof/>
                <w:webHidden/>
              </w:rPr>
              <w:fldChar w:fldCharType="separate"/>
            </w:r>
            <w:r w:rsidR="002564C0">
              <w:rPr>
                <w:noProof/>
                <w:webHidden/>
              </w:rPr>
              <w:t>14</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5" w:history="1">
            <w:r w:rsidR="00000EBA" w:rsidRPr="00495280">
              <w:rPr>
                <w:rStyle w:val="Hipervnculo"/>
                <w:rFonts w:ascii="Arial" w:hAnsi="Arial" w:cs="Arial"/>
                <w:b/>
                <w:noProof/>
              </w:rPr>
              <w:t>11. Calificaciones otorgadas:</w:t>
            </w:r>
            <w:r w:rsidR="00000EBA">
              <w:rPr>
                <w:noProof/>
                <w:webHidden/>
              </w:rPr>
              <w:tab/>
            </w:r>
            <w:r w:rsidR="00000EBA">
              <w:rPr>
                <w:noProof/>
                <w:webHidden/>
              </w:rPr>
              <w:fldChar w:fldCharType="begin"/>
            </w:r>
            <w:r w:rsidR="00000EBA">
              <w:rPr>
                <w:noProof/>
                <w:webHidden/>
              </w:rPr>
              <w:instrText xml:space="preserve"> PAGEREF _Toc220077195 \h </w:instrText>
            </w:r>
            <w:r w:rsidR="00000EBA">
              <w:rPr>
                <w:noProof/>
                <w:webHidden/>
              </w:rPr>
            </w:r>
            <w:r w:rsidR="00000EBA">
              <w:rPr>
                <w:noProof/>
                <w:webHidden/>
              </w:rPr>
              <w:fldChar w:fldCharType="separate"/>
            </w:r>
            <w:r w:rsidR="002564C0">
              <w:rPr>
                <w:noProof/>
                <w:webHidden/>
              </w:rPr>
              <w:t>14</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6" w:history="1">
            <w:r w:rsidR="00000EBA" w:rsidRPr="00495280">
              <w:rPr>
                <w:rStyle w:val="Hipervnculo"/>
                <w:rFonts w:ascii="Arial" w:hAnsi="Arial" w:cs="Arial"/>
                <w:b/>
                <w:noProof/>
              </w:rPr>
              <w:t>12. Proceso de Mejora:</w:t>
            </w:r>
            <w:r w:rsidR="00000EBA">
              <w:rPr>
                <w:noProof/>
                <w:webHidden/>
              </w:rPr>
              <w:tab/>
            </w:r>
            <w:r w:rsidR="00000EBA">
              <w:rPr>
                <w:noProof/>
                <w:webHidden/>
              </w:rPr>
              <w:fldChar w:fldCharType="begin"/>
            </w:r>
            <w:r w:rsidR="00000EBA">
              <w:rPr>
                <w:noProof/>
                <w:webHidden/>
              </w:rPr>
              <w:instrText xml:space="preserve"> PAGEREF _Toc220077196 \h </w:instrText>
            </w:r>
            <w:r w:rsidR="00000EBA">
              <w:rPr>
                <w:noProof/>
                <w:webHidden/>
              </w:rPr>
            </w:r>
            <w:r w:rsidR="00000EBA">
              <w:rPr>
                <w:noProof/>
                <w:webHidden/>
              </w:rPr>
              <w:fldChar w:fldCharType="separate"/>
            </w:r>
            <w:r w:rsidR="002564C0">
              <w:rPr>
                <w:noProof/>
                <w:webHidden/>
              </w:rPr>
              <w:t>14</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7" w:history="1">
            <w:r w:rsidR="00000EBA" w:rsidRPr="00495280">
              <w:rPr>
                <w:rStyle w:val="Hipervnculo"/>
                <w:rFonts w:ascii="Arial" w:hAnsi="Arial" w:cs="Arial"/>
                <w:b/>
                <w:noProof/>
              </w:rPr>
              <w:t>13. Información por Segmentos: “Esta nota no le aplica al ente público”</w:t>
            </w:r>
            <w:r w:rsidR="00000EBA">
              <w:rPr>
                <w:noProof/>
                <w:webHidden/>
              </w:rPr>
              <w:tab/>
            </w:r>
            <w:r w:rsidR="00000EBA">
              <w:rPr>
                <w:noProof/>
                <w:webHidden/>
              </w:rPr>
              <w:fldChar w:fldCharType="begin"/>
            </w:r>
            <w:r w:rsidR="00000EBA">
              <w:rPr>
                <w:noProof/>
                <w:webHidden/>
              </w:rPr>
              <w:instrText xml:space="preserve"> PAGEREF _Toc220077197 \h </w:instrText>
            </w:r>
            <w:r w:rsidR="00000EBA">
              <w:rPr>
                <w:noProof/>
                <w:webHidden/>
              </w:rPr>
            </w:r>
            <w:r w:rsidR="00000EBA">
              <w:rPr>
                <w:noProof/>
                <w:webHidden/>
              </w:rPr>
              <w:fldChar w:fldCharType="separate"/>
            </w:r>
            <w:r w:rsidR="002564C0">
              <w:rPr>
                <w:noProof/>
                <w:webHidden/>
              </w:rPr>
              <w:t>15</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8" w:history="1">
            <w:r w:rsidR="00000EBA" w:rsidRPr="00495280">
              <w:rPr>
                <w:rStyle w:val="Hipervnculo"/>
                <w:rFonts w:ascii="Arial" w:hAnsi="Arial" w:cs="Arial"/>
                <w:b/>
                <w:noProof/>
              </w:rPr>
              <w:t>14. Eventos Posteriores al Cierre: “Esta nota no le aplica al ente público”</w:t>
            </w:r>
            <w:r w:rsidR="00000EBA">
              <w:rPr>
                <w:noProof/>
                <w:webHidden/>
              </w:rPr>
              <w:tab/>
            </w:r>
            <w:r w:rsidR="00000EBA">
              <w:rPr>
                <w:noProof/>
                <w:webHidden/>
              </w:rPr>
              <w:fldChar w:fldCharType="begin"/>
            </w:r>
            <w:r w:rsidR="00000EBA">
              <w:rPr>
                <w:noProof/>
                <w:webHidden/>
              </w:rPr>
              <w:instrText xml:space="preserve"> PAGEREF _Toc220077198 \h </w:instrText>
            </w:r>
            <w:r w:rsidR="00000EBA">
              <w:rPr>
                <w:noProof/>
                <w:webHidden/>
              </w:rPr>
            </w:r>
            <w:r w:rsidR="00000EBA">
              <w:rPr>
                <w:noProof/>
                <w:webHidden/>
              </w:rPr>
              <w:fldChar w:fldCharType="separate"/>
            </w:r>
            <w:r w:rsidR="002564C0">
              <w:rPr>
                <w:noProof/>
                <w:webHidden/>
              </w:rPr>
              <w:t>15</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199" w:history="1">
            <w:r w:rsidR="00000EBA" w:rsidRPr="00495280">
              <w:rPr>
                <w:rStyle w:val="Hipervnculo"/>
                <w:rFonts w:ascii="Arial" w:hAnsi="Arial" w:cs="Arial"/>
                <w:b/>
                <w:noProof/>
              </w:rPr>
              <w:t>15. Partes Relacionadas: “Esta nota no le aplica al ente público”</w:t>
            </w:r>
            <w:r w:rsidR="00000EBA">
              <w:rPr>
                <w:noProof/>
                <w:webHidden/>
              </w:rPr>
              <w:tab/>
            </w:r>
            <w:r w:rsidR="00000EBA">
              <w:rPr>
                <w:noProof/>
                <w:webHidden/>
              </w:rPr>
              <w:fldChar w:fldCharType="begin"/>
            </w:r>
            <w:r w:rsidR="00000EBA">
              <w:rPr>
                <w:noProof/>
                <w:webHidden/>
              </w:rPr>
              <w:instrText xml:space="preserve"> PAGEREF _Toc220077199 \h </w:instrText>
            </w:r>
            <w:r w:rsidR="00000EBA">
              <w:rPr>
                <w:noProof/>
                <w:webHidden/>
              </w:rPr>
            </w:r>
            <w:r w:rsidR="00000EBA">
              <w:rPr>
                <w:noProof/>
                <w:webHidden/>
              </w:rPr>
              <w:fldChar w:fldCharType="separate"/>
            </w:r>
            <w:r w:rsidR="002564C0">
              <w:rPr>
                <w:noProof/>
                <w:webHidden/>
              </w:rPr>
              <w:t>15</w:t>
            </w:r>
            <w:r w:rsidR="00000EBA">
              <w:rPr>
                <w:noProof/>
                <w:webHidden/>
              </w:rPr>
              <w:fldChar w:fldCharType="end"/>
            </w:r>
          </w:hyperlink>
        </w:p>
        <w:p w:rsidR="00000EBA" w:rsidRDefault="00C03B1A">
          <w:pPr>
            <w:pStyle w:val="TDC2"/>
            <w:tabs>
              <w:tab w:val="right" w:leader="dot" w:pos="13278"/>
            </w:tabs>
            <w:rPr>
              <w:rFonts w:asciiTheme="minorHAnsi" w:eastAsiaTheme="minorEastAsia" w:hAnsiTheme="minorHAnsi" w:cstheme="minorBidi"/>
              <w:noProof/>
              <w:lang w:eastAsia="es-MX"/>
            </w:rPr>
          </w:pPr>
          <w:hyperlink w:anchor="_Toc220077200" w:history="1">
            <w:r w:rsidR="00000EBA" w:rsidRPr="00495280">
              <w:rPr>
                <w:rStyle w:val="Hipervnculo"/>
                <w:rFonts w:ascii="Arial" w:hAnsi="Arial" w:cs="Arial"/>
                <w:b/>
                <w:noProof/>
              </w:rPr>
              <w:t>16. Responsabilidad Sobre la Presentación Razonable de la Información Contable:</w:t>
            </w:r>
            <w:r w:rsidR="00000EBA">
              <w:rPr>
                <w:noProof/>
                <w:webHidden/>
              </w:rPr>
              <w:tab/>
            </w:r>
            <w:r w:rsidR="00000EBA">
              <w:rPr>
                <w:noProof/>
                <w:webHidden/>
              </w:rPr>
              <w:fldChar w:fldCharType="begin"/>
            </w:r>
            <w:r w:rsidR="00000EBA">
              <w:rPr>
                <w:noProof/>
                <w:webHidden/>
              </w:rPr>
              <w:instrText xml:space="preserve"> PAGEREF _Toc220077200 \h </w:instrText>
            </w:r>
            <w:r w:rsidR="00000EBA">
              <w:rPr>
                <w:noProof/>
                <w:webHidden/>
              </w:rPr>
            </w:r>
            <w:r w:rsidR="00000EBA">
              <w:rPr>
                <w:noProof/>
                <w:webHidden/>
              </w:rPr>
              <w:fldChar w:fldCharType="separate"/>
            </w:r>
            <w:r w:rsidR="002564C0">
              <w:rPr>
                <w:noProof/>
                <w:webHidden/>
              </w:rPr>
              <w:t>15</w:t>
            </w:r>
            <w:r w:rsidR="00000EBA">
              <w:rPr>
                <w:noProof/>
                <w:webHidden/>
              </w:rPr>
              <w:fldChar w:fldCharType="end"/>
            </w:r>
          </w:hyperlink>
        </w:p>
        <w:p w:rsidR="00000EBA" w:rsidRPr="00091B6D" w:rsidRDefault="00000EBA" w:rsidP="00000EBA">
          <w:pPr>
            <w:spacing w:line="240" w:lineRule="auto"/>
            <w:rPr>
              <w:rFonts w:ascii="Arial" w:hAnsi="Arial" w:cs="Arial"/>
              <w:sz w:val="20"/>
              <w:szCs w:val="20"/>
            </w:rPr>
          </w:pPr>
          <w:r w:rsidRPr="00091B6D">
            <w:rPr>
              <w:rFonts w:ascii="Arial" w:hAnsi="Arial" w:cs="Arial"/>
              <w:b/>
              <w:bCs/>
              <w:sz w:val="20"/>
              <w:szCs w:val="20"/>
              <w:lang w:val="es-ES"/>
            </w:rPr>
            <w:fldChar w:fldCharType="end"/>
          </w:r>
        </w:p>
      </w:sdtContent>
    </w:sdt>
    <w:p w:rsidR="00000EBA" w:rsidRDefault="00000EBA" w:rsidP="00000EBA">
      <w:pPr>
        <w:spacing w:after="0" w:line="240" w:lineRule="auto"/>
        <w:rPr>
          <w:rFonts w:ascii="Arial" w:eastAsiaTheme="majorEastAsia" w:hAnsi="Arial" w:cs="Arial"/>
          <w:b/>
          <w:sz w:val="20"/>
          <w:szCs w:val="20"/>
        </w:rPr>
      </w:pPr>
      <w:r>
        <w:rPr>
          <w:rFonts w:ascii="Arial" w:hAnsi="Arial" w:cs="Arial"/>
          <w:b/>
          <w:sz w:val="20"/>
          <w:szCs w:val="20"/>
        </w:rPr>
        <w:br w:type="page"/>
      </w:r>
    </w:p>
    <w:p w:rsidR="00000EBA" w:rsidRPr="00091B6D" w:rsidRDefault="00000EBA" w:rsidP="00000EBA">
      <w:pPr>
        <w:pStyle w:val="Ttulo2"/>
        <w:spacing w:line="240" w:lineRule="auto"/>
        <w:rPr>
          <w:rFonts w:ascii="Arial" w:hAnsi="Arial" w:cs="Arial"/>
          <w:b/>
          <w:color w:val="auto"/>
          <w:sz w:val="20"/>
          <w:szCs w:val="20"/>
        </w:rPr>
      </w:pPr>
      <w:bookmarkStart w:id="0" w:name="_Toc220077185"/>
      <w:r w:rsidRPr="00091B6D">
        <w:rPr>
          <w:rFonts w:ascii="Arial" w:hAnsi="Arial" w:cs="Arial"/>
          <w:b/>
          <w:color w:val="auto"/>
          <w:sz w:val="20"/>
          <w:szCs w:val="20"/>
        </w:rPr>
        <w:lastRenderedPageBreak/>
        <w:t>1. Autorización e Historia:</w:t>
      </w:r>
      <w:bookmarkEnd w:id="0"/>
    </w:p>
    <w:p w:rsidR="00000EBA" w:rsidRPr="00091B6D" w:rsidRDefault="00000EBA" w:rsidP="00000EBA">
      <w:pPr>
        <w:spacing w:line="240" w:lineRule="auto"/>
        <w:rPr>
          <w:rFonts w:ascii="Arial" w:hAnsi="Arial" w:cs="Arial"/>
          <w:sz w:val="20"/>
          <w:szCs w:val="20"/>
        </w:rPr>
      </w:pPr>
    </w:p>
    <w:p w:rsidR="00000EBA" w:rsidRPr="00091B6D" w:rsidRDefault="00000EBA" w:rsidP="00000EBA">
      <w:pPr>
        <w:spacing w:line="240" w:lineRule="auto"/>
        <w:jc w:val="both"/>
        <w:rPr>
          <w:rFonts w:ascii="Arial" w:hAnsi="Arial" w:cs="Arial"/>
          <w:sz w:val="20"/>
          <w:szCs w:val="20"/>
        </w:rPr>
      </w:pPr>
      <w:r w:rsidRPr="00091B6D">
        <w:rPr>
          <w:rFonts w:ascii="Arial" w:hAnsi="Arial" w:cs="Arial"/>
          <w:sz w:val="20"/>
          <w:szCs w:val="20"/>
        </w:rPr>
        <w:t>El Centro de Evaluación y Control de Confianza del Estado de Guanajuato, CECCEG, es un organismo público descentralizado de la Administración Pública Estatal con personalidad Jurídica y Patrimonio Propios, sectorizado a la Secretaría de Gobierno, se encarga de realizar evaluaciones de control de confianza al personal del área de seguridad pública de los municipios, personal de la SSP y FGE de Guanajuato; así como también a personal adscrito a empresas de seguridad privada, mediante la aplicación de exámenes médicos-toxicológicos, psicológicos, poligráficos y de investigación socioeconómica; esto con el propósito de depurar las corporaciones policiacas del estado de elementos que pudieran estar vinculados con el crimen organizado o bien determinar que no son considerados como aptos para el desempeño de sus funciones, de acuerdo a su grado de confiabilidad.</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sobre: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spacing w:after="0" w:line="240" w:lineRule="auto"/>
        <w:jc w:val="both"/>
        <w:rPr>
          <w:rFonts w:ascii="Arial" w:hAnsi="Arial" w:cs="Arial"/>
          <w:sz w:val="20"/>
          <w:szCs w:val="20"/>
          <w:lang w:val="es-ES" w:eastAsia="es-ES"/>
        </w:rPr>
      </w:pPr>
      <w:r w:rsidRPr="00091B6D">
        <w:rPr>
          <w:rFonts w:ascii="Arial" w:hAnsi="Arial" w:cs="Arial"/>
          <w:b/>
          <w:sz w:val="20"/>
          <w:szCs w:val="20"/>
        </w:rPr>
        <w:t>a)</w:t>
      </w:r>
      <w:r w:rsidRPr="00091B6D">
        <w:rPr>
          <w:rFonts w:ascii="Arial" w:hAnsi="Arial" w:cs="Arial"/>
          <w:sz w:val="20"/>
          <w:szCs w:val="20"/>
        </w:rPr>
        <w:t xml:space="preserve"> Fecha de creación del ente público:</w:t>
      </w:r>
      <w:r w:rsidRPr="00091B6D">
        <w:rPr>
          <w:rFonts w:ascii="Arial" w:hAnsi="Arial" w:cs="Arial"/>
          <w:b/>
          <w:sz w:val="20"/>
          <w:szCs w:val="20"/>
        </w:rPr>
        <w:t xml:space="preserve"> 01/01/2009 (INSCRIPCION RFC).</w:t>
      </w:r>
      <w:r w:rsidRPr="00091B6D">
        <w:rPr>
          <w:rFonts w:ascii="Arial" w:hAnsi="Arial" w:cs="Arial"/>
          <w:sz w:val="20"/>
          <w:szCs w:val="20"/>
        </w:rPr>
        <w:tab/>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spacing w:after="0" w:line="240" w:lineRule="auto"/>
        <w:rPr>
          <w:rFonts w:ascii="Arial" w:hAnsi="Arial" w:cs="Arial"/>
          <w:b/>
          <w:sz w:val="20"/>
          <w:szCs w:val="20"/>
        </w:rPr>
      </w:pPr>
      <w:r w:rsidRPr="00091B6D">
        <w:rPr>
          <w:rFonts w:ascii="Arial" w:hAnsi="Arial" w:cs="Arial"/>
          <w:b/>
          <w:sz w:val="20"/>
          <w:szCs w:val="20"/>
        </w:rPr>
        <w:br w:type="page"/>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lastRenderedPageBreak/>
        <w:t>b)</w:t>
      </w:r>
      <w:r w:rsidRPr="00091B6D">
        <w:rPr>
          <w:rFonts w:ascii="Arial" w:hAnsi="Arial" w:cs="Arial"/>
          <w:sz w:val="20"/>
          <w:szCs w:val="20"/>
        </w:rPr>
        <w:t xml:space="preserve"> Principales cambios en su estructura (interna históricamente):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spacing w:line="240" w:lineRule="auto"/>
        <w:jc w:val="center"/>
        <w:rPr>
          <w:rFonts w:ascii="Arial" w:hAnsi="Arial" w:cs="Arial"/>
          <w:b/>
          <w:sz w:val="20"/>
          <w:szCs w:val="20"/>
        </w:rPr>
      </w:pPr>
      <w:r w:rsidRPr="00091B6D">
        <w:rPr>
          <w:rFonts w:ascii="Arial" w:hAnsi="Arial" w:cs="Arial"/>
          <w:b/>
          <w:sz w:val="20"/>
          <w:szCs w:val="20"/>
        </w:rPr>
        <w:t>ORGANIGRAMA INICIAL DEL CECCEG 29/05/2009.</w:t>
      </w:r>
    </w:p>
    <w:p w:rsidR="00000EBA" w:rsidRPr="00091B6D" w:rsidRDefault="00000EBA" w:rsidP="00000EBA">
      <w:pPr>
        <w:spacing w:line="240" w:lineRule="auto"/>
        <w:ind w:hanging="709"/>
        <w:jc w:val="both"/>
        <w:rPr>
          <w:rFonts w:ascii="Arial" w:hAnsi="Arial" w:cs="Arial"/>
          <w:sz w:val="20"/>
          <w:szCs w:val="20"/>
        </w:rPr>
      </w:pPr>
      <w:r w:rsidRPr="00091B6D">
        <w:rPr>
          <w:rFonts w:ascii="Arial" w:hAnsi="Arial" w:cs="Arial"/>
          <w:noProof/>
          <w:sz w:val="20"/>
          <w:szCs w:val="20"/>
          <w:lang w:eastAsia="es-MX"/>
        </w:rPr>
        <w:drawing>
          <wp:inline distT="0" distB="0" distL="0" distR="0" wp14:anchorId="59945D18" wp14:editId="2BC444C7">
            <wp:extent cx="9504590" cy="4996281"/>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99024" cy="5045922"/>
                    </a:xfrm>
                    <a:prstGeom prst="rect">
                      <a:avLst/>
                    </a:prstGeom>
                    <a:noFill/>
                    <a:ln>
                      <a:noFill/>
                    </a:ln>
                  </pic:spPr>
                </pic:pic>
              </a:graphicData>
            </a:graphic>
          </wp:inline>
        </w:drawing>
      </w:r>
    </w:p>
    <w:p w:rsidR="00000EBA" w:rsidRDefault="00000EBA" w:rsidP="00000EBA">
      <w:pPr>
        <w:spacing w:line="240" w:lineRule="auto"/>
        <w:ind w:hanging="709"/>
        <w:jc w:val="both"/>
        <w:rPr>
          <w:rFonts w:ascii="Arial" w:hAnsi="Arial" w:cs="Arial"/>
          <w:sz w:val="20"/>
          <w:szCs w:val="20"/>
        </w:rPr>
      </w:pPr>
    </w:p>
    <w:p w:rsidR="007D4E69" w:rsidRPr="00091B6D" w:rsidRDefault="007D4E69" w:rsidP="00000EBA">
      <w:pPr>
        <w:spacing w:line="240" w:lineRule="auto"/>
        <w:ind w:hanging="709"/>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 w:name="_Toc220077186"/>
      <w:r w:rsidRPr="00091B6D">
        <w:rPr>
          <w:rFonts w:ascii="Arial" w:hAnsi="Arial" w:cs="Arial"/>
          <w:b/>
          <w:color w:val="auto"/>
          <w:sz w:val="20"/>
          <w:szCs w:val="20"/>
        </w:rPr>
        <w:lastRenderedPageBreak/>
        <w:t>2. Panorama Económico y Financiero</w:t>
      </w:r>
      <w:bookmarkEnd w:id="1"/>
    </w:p>
    <w:p w:rsidR="007D4E69" w:rsidRDefault="007D4E69" w:rsidP="007D4E69">
      <w:pPr>
        <w:jc w:val="both"/>
        <w:rPr>
          <w:rFonts w:ascii="Arial" w:hAnsi="Arial" w:cs="Arial"/>
          <w:sz w:val="20"/>
          <w:szCs w:val="20"/>
        </w:rPr>
      </w:pPr>
    </w:p>
    <w:p w:rsidR="007D4E69" w:rsidRPr="00E01619" w:rsidRDefault="007D4E69" w:rsidP="007D4E69">
      <w:pPr>
        <w:jc w:val="both"/>
        <w:rPr>
          <w:rFonts w:ascii="Arial" w:hAnsi="Arial" w:cs="Arial"/>
          <w:sz w:val="20"/>
          <w:szCs w:val="20"/>
        </w:rPr>
      </w:pPr>
      <w:r w:rsidRPr="00E01619">
        <w:rPr>
          <w:rFonts w:ascii="Arial" w:hAnsi="Arial" w:cs="Arial"/>
          <w:sz w:val="20"/>
          <w:szCs w:val="20"/>
        </w:rPr>
        <w:t>El estado de Guanajuato tuvo un buen cierre económico en 2025, al registrar un crecimiento de 0.4% solo en el tercer trimestre de ese año, mientras que en el acumulado de enero a septiembre sumó 2.4 %, gracias al buen desempeño de todos sus sectores productivos.</w:t>
      </w:r>
      <w:r>
        <w:rPr>
          <w:rFonts w:ascii="Arial" w:hAnsi="Arial" w:cs="Arial"/>
          <w:sz w:val="20"/>
          <w:szCs w:val="20"/>
        </w:rPr>
        <w:t xml:space="preserve"> </w:t>
      </w:r>
      <w:r w:rsidRPr="00E01619">
        <w:rPr>
          <w:rFonts w:ascii="Arial" w:hAnsi="Arial" w:cs="Arial"/>
          <w:sz w:val="20"/>
          <w:szCs w:val="20"/>
        </w:rPr>
        <w:t>Los datos fueron aportados por el Indicador Trimestral de la Actividad Económica</w:t>
      </w:r>
      <w:r>
        <w:rPr>
          <w:rFonts w:ascii="Arial" w:hAnsi="Arial" w:cs="Arial"/>
          <w:sz w:val="20"/>
          <w:szCs w:val="20"/>
        </w:rPr>
        <w:t xml:space="preserve"> e</w:t>
      </w:r>
      <w:r w:rsidRPr="00E01619">
        <w:rPr>
          <w:rFonts w:ascii="Arial" w:hAnsi="Arial" w:cs="Arial"/>
          <w:sz w:val="20"/>
          <w:szCs w:val="20"/>
        </w:rPr>
        <w:t>statal, elaborado por el INEGI y correspondiente al tercer periodo de 2025, el cual representa un resultado preliminar de la tendencia del Producto Interno Bruto por entidad federativa.</w:t>
      </w:r>
      <w:r>
        <w:rPr>
          <w:rFonts w:ascii="Arial" w:hAnsi="Arial" w:cs="Arial"/>
          <w:sz w:val="20"/>
          <w:szCs w:val="20"/>
        </w:rPr>
        <w:t xml:space="preserve"> </w:t>
      </w:r>
      <w:r w:rsidRPr="00E01619">
        <w:rPr>
          <w:rFonts w:ascii="Arial" w:hAnsi="Arial" w:cs="Arial"/>
          <w:sz w:val="20"/>
          <w:szCs w:val="20"/>
        </w:rPr>
        <w:t>El informe del </w:t>
      </w:r>
      <w:hyperlink r:id="rId9" w:tgtFrame="_blank" w:history="1">
        <w:r w:rsidRPr="00E01619">
          <w:rPr>
            <w:sz w:val="20"/>
            <w:szCs w:val="20"/>
          </w:rPr>
          <w:t>INEGI </w:t>
        </w:r>
      </w:hyperlink>
      <w:r w:rsidRPr="00E01619">
        <w:rPr>
          <w:rFonts w:ascii="Arial" w:hAnsi="Arial" w:cs="Arial"/>
          <w:sz w:val="20"/>
          <w:szCs w:val="20"/>
        </w:rPr>
        <w:t>indicó que, solo en el tercer trimestre del año pasado, Guanajuato se colocó en el lugar 17 entre los estados con crecimiento económico, al contribuir con 0.02 % al PIB nacional. </w:t>
      </w:r>
    </w:p>
    <w:p w:rsidR="007D4E69" w:rsidRPr="00E01619" w:rsidRDefault="007D4E69" w:rsidP="007D4E69">
      <w:pPr>
        <w:jc w:val="both"/>
        <w:rPr>
          <w:rFonts w:ascii="Arial" w:hAnsi="Arial" w:cs="Arial"/>
          <w:sz w:val="20"/>
          <w:szCs w:val="20"/>
        </w:rPr>
      </w:pPr>
      <w:r w:rsidRPr="00E01619">
        <w:rPr>
          <w:rFonts w:ascii="Arial" w:hAnsi="Arial" w:cs="Arial"/>
          <w:sz w:val="20"/>
          <w:szCs w:val="20"/>
        </w:rPr>
        <w:t xml:space="preserve">El panorama económico </w:t>
      </w:r>
      <w:r>
        <w:rPr>
          <w:rFonts w:ascii="Arial" w:hAnsi="Arial" w:cs="Arial"/>
          <w:sz w:val="20"/>
          <w:szCs w:val="20"/>
        </w:rPr>
        <w:t xml:space="preserve">y financiero </w:t>
      </w:r>
      <w:r w:rsidRPr="00E01619">
        <w:rPr>
          <w:rFonts w:ascii="Arial" w:hAnsi="Arial" w:cs="Arial"/>
          <w:sz w:val="20"/>
          <w:szCs w:val="20"/>
        </w:rPr>
        <w:t>de Guanajuato en 2026 se perfila con un crecimiento dinámico basado en la diversificación industrial y una fuerte atracción de inversión extranjera. El estado consolida su posición como 6ª entidad exportadora, con la manufactura liderando (33.6% de la actividad) y un crecimiento sostenido del empleo formal, consolidando un ecosistema competitivo y enfocado en la innovación.</w:t>
      </w:r>
      <w:r>
        <w:rPr>
          <w:rFonts w:ascii="Arial" w:hAnsi="Arial" w:cs="Arial"/>
          <w:sz w:val="20"/>
          <w:szCs w:val="20"/>
        </w:rPr>
        <w:t xml:space="preserve"> A</w:t>
      </w:r>
      <w:r w:rsidRPr="00E01619">
        <w:rPr>
          <w:rFonts w:ascii="Arial" w:hAnsi="Arial" w:cs="Arial"/>
          <w:sz w:val="20"/>
          <w:szCs w:val="20"/>
        </w:rPr>
        <w:t>unque se prevé un entorno complejo, Guanajuato se prepara para fortalecer su economía mediante la innovación y la atracción de nuevas inversiones.</w:t>
      </w:r>
    </w:p>
    <w:p w:rsidR="007D4E69" w:rsidRPr="00E01619" w:rsidRDefault="007D4E69" w:rsidP="007D4E69">
      <w:pPr>
        <w:jc w:val="both"/>
        <w:rPr>
          <w:rFonts w:ascii="Arial" w:hAnsi="Arial" w:cs="Arial"/>
          <w:sz w:val="20"/>
          <w:szCs w:val="20"/>
        </w:rPr>
      </w:pPr>
      <w:r w:rsidRPr="00E01619">
        <w:rPr>
          <w:rFonts w:ascii="Arial" w:hAnsi="Arial" w:cs="Arial"/>
          <w:sz w:val="20"/>
          <w:szCs w:val="20"/>
        </w:rPr>
        <w:t>En resumen, Guanajuato enfrenta un 2026 con una economía fortalecida y "cautelosamente positiva", enfocada en la competitividad local y la adaptación a un entorno de inversión globalizado.</w:t>
      </w:r>
    </w:p>
    <w:p w:rsidR="007D4E69" w:rsidRDefault="007D4E69" w:rsidP="00000EBA">
      <w:pPr>
        <w:pStyle w:val="Ttulo2"/>
        <w:spacing w:line="240" w:lineRule="auto"/>
        <w:rPr>
          <w:rFonts w:ascii="Arial" w:hAnsi="Arial" w:cs="Arial"/>
          <w:b/>
          <w:color w:val="auto"/>
          <w:sz w:val="20"/>
          <w:szCs w:val="20"/>
        </w:rPr>
      </w:pPr>
      <w:bookmarkStart w:id="2" w:name="_Toc220077187"/>
    </w:p>
    <w:p w:rsidR="00000EBA" w:rsidRPr="00091B6D" w:rsidRDefault="00000EBA" w:rsidP="00000EBA">
      <w:pPr>
        <w:pStyle w:val="Ttulo2"/>
        <w:spacing w:line="240" w:lineRule="auto"/>
        <w:rPr>
          <w:rFonts w:ascii="Arial" w:hAnsi="Arial" w:cs="Arial"/>
          <w:b/>
          <w:color w:val="auto"/>
          <w:sz w:val="20"/>
          <w:szCs w:val="20"/>
        </w:rPr>
      </w:pPr>
      <w:r w:rsidRPr="00091B6D">
        <w:rPr>
          <w:rFonts w:ascii="Arial" w:hAnsi="Arial" w:cs="Arial"/>
          <w:b/>
          <w:color w:val="auto"/>
          <w:sz w:val="20"/>
          <w:szCs w:val="20"/>
        </w:rPr>
        <w:t>3. Organización y Objeto Social:</w:t>
      </w:r>
      <w:bookmarkEnd w:id="2"/>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sobre: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Objeto social.</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Realizar evaluaciones que permitan conocer las condiciones de los sujetos evaluados en términos de control de confianza de conformidad con la normatividad aplicable, así como aquellas evaluaciones que resultan por mandato legal.</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Principal actividad.</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Aplicar evaluaciones de control de confianza al personal del área de seguridad pública y privada del estado y sus municipios.</w:t>
      </w:r>
      <w:r w:rsidRPr="00091B6D">
        <w:rPr>
          <w:rFonts w:ascii="Arial" w:hAnsi="Arial" w:cs="Arial"/>
          <w:sz w:val="20"/>
          <w:szCs w:val="20"/>
        </w:rPr>
        <w:tab/>
      </w:r>
      <w:r w:rsidRPr="00091B6D">
        <w:rPr>
          <w:rFonts w:ascii="Arial" w:hAnsi="Arial" w:cs="Arial"/>
          <w:sz w:val="20"/>
          <w:szCs w:val="20"/>
        </w:rPr>
        <w:tab/>
      </w:r>
      <w:r w:rsidRPr="00091B6D">
        <w:rPr>
          <w:rFonts w:ascii="Arial" w:hAnsi="Arial" w:cs="Arial"/>
          <w:sz w:val="20"/>
          <w:szCs w:val="20"/>
        </w:rPr>
        <w:tab/>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c)</w:t>
      </w:r>
      <w:r w:rsidRPr="00091B6D">
        <w:rPr>
          <w:rFonts w:ascii="Arial" w:hAnsi="Arial" w:cs="Arial"/>
          <w:sz w:val="20"/>
          <w:szCs w:val="20"/>
        </w:rPr>
        <w:t xml:space="preserve"> Ejercicio fiscal: Del 01 de enero al 3</w:t>
      </w:r>
      <w:r w:rsidR="00326757">
        <w:rPr>
          <w:rFonts w:ascii="Arial" w:hAnsi="Arial" w:cs="Arial"/>
          <w:sz w:val="20"/>
          <w:szCs w:val="20"/>
        </w:rPr>
        <w:t>0</w:t>
      </w:r>
      <w:r w:rsidRPr="00091B6D">
        <w:rPr>
          <w:rFonts w:ascii="Arial" w:hAnsi="Arial" w:cs="Arial"/>
          <w:sz w:val="20"/>
          <w:szCs w:val="20"/>
        </w:rPr>
        <w:t xml:space="preserve"> de </w:t>
      </w:r>
      <w:r w:rsidR="00326757">
        <w:rPr>
          <w:rFonts w:ascii="Arial" w:hAnsi="Arial" w:cs="Arial"/>
          <w:sz w:val="20"/>
          <w:szCs w:val="20"/>
        </w:rPr>
        <w:t>junio</w:t>
      </w:r>
      <w:r w:rsidR="007D4E69">
        <w:rPr>
          <w:rFonts w:ascii="Arial" w:hAnsi="Arial" w:cs="Arial"/>
          <w:sz w:val="20"/>
          <w:szCs w:val="20"/>
        </w:rPr>
        <w:t xml:space="preserve"> de 2026</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d)</w:t>
      </w:r>
      <w:r w:rsidRPr="00091B6D">
        <w:rPr>
          <w:rFonts w:ascii="Arial" w:hAnsi="Arial" w:cs="Arial"/>
          <w:sz w:val="20"/>
          <w:szCs w:val="20"/>
        </w:rPr>
        <w:t xml:space="preserve"> Régimen jurídico: Régimen 603 Personas Morales con Fines no Lucrativos</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e)</w:t>
      </w:r>
      <w:r w:rsidRPr="00091B6D">
        <w:rPr>
          <w:rFonts w:ascii="Arial" w:hAnsi="Arial" w:cs="Arial"/>
          <w:sz w:val="20"/>
          <w:szCs w:val="20"/>
        </w:rPr>
        <w:t xml:space="preserve"> Consideraciones fiscales del ente: Revelar el tipo de contribuciones que esté obligado a pagar o retener.</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Prrafodelista"/>
        <w:numPr>
          <w:ilvl w:val="0"/>
          <w:numId w:val="1"/>
        </w:numPr>
        <w:spacing w:after="0" w:line="240" w:lineRule="auto"/>
        <w:jc w:val="both"/>
        <w:rPr>
          <w:rFonts w:ascii="Arial" w:hAnsi="Arial" w:cs="Arial"/>
          <w:sz w:val="20"/>
          <w:szCs w:val="20"/>
        </w:rPr>
      </w:pPr>
      <w:r w:rsidRPr="00091B6D">
        <w:rPr>
          <w:rFonts w:ascii="Arial" w:hAnsi="Arial" w:cs="Arial"/>
          <w:sz w:val="20"/>
          <w:szCs w:val="20"/>
        </w:rPr>
        <w:t>Entero de retenciones mensuales de ISR por sueldos y salarios</w:t>
      </w:r>
    </w:p>
    <w:p w:rsidR="00000EBA" w:rsidRPr="00091B6D" w:rsidRDefault="00000EBA" w:rsidP="00000EBA">
      <w:pPr>
        <w:pStyle w:val="Prrafodelista"/>
        <w:numPr>
          <w:ilvl w:val="0"/>
          <w:numId w:val="1"/>
        </w:numPr>
        <w:spacing w:after="0" w:line="240" w:lineRule="auto"/>
        <w:jc w:val="both"/>
        <w:rPr>
          <w:rFonts w:ascii="Arial" w:hAnsi="Arial" w:cs="Arial"/>
          <w:sz w:val="20"/>
          <w:szCs w:val="20"/>
        </w:rPr>
      </w:pPr>
      <w:r w:rsidRPr="00091B6D">
        <w:rPr>
          <w:rFonts w:ascii="Arial" w:hAnsi="Arial" w:cs="Arial"/>
          <w:sz w:val="20"/>
          <w:szCs w:val="20"/>
        </w:rPr>
        <w:t>Declaración informativa anual de pagos y retenciones de servicios profesionales. Personas Morales. Impuesto Sobre la Renta</w:t>
      </w:r>
    </w:p>
    <w:p w:rsidR="00000EBA" w:rsidRDefault="00000EBA" w:rsidP="00000EBA">
      <w:pPr>
        <w:pStyle w:val="Prrafodelista"/>
        <w:numPr>
          <w:ilvl w:val="0"/>
          <w:numId w:val="1"/>
        </w:numPr>
        <w:spacing w:after="0" w:line="240" w:lineRule="auto"/>
        <w:jc w:val="both"/>
        <w:rPr>
          <w:rFonts w:ascii="Arial" w:hAnsi="Arial" w:cs="Arial"/>
          <w:sz w:val="20"/>
          <w:szCs w:val="20"/>
        </w:rPr>
      </w:pPr>
      <w:r w:rsidRPr="00091B6D">
        <w:rPr>
          <w:rFonts w:ascii="Arial" w:hAnsi="Arial" w:cs="Arial"/>
          <w:sz w:val="20"/>
          <w:szCs w:val="20"/>
        </w:rPr>
        <w:t>Declaración Informativa mensual de Proveedores</w:t>
      </w:r>
    </w:p>
    <w:p w:rsidR="007D4E69" w:rsidRDefault="007D4E69" w:rsidP="007D4E69">
      <w:pPr>
        <w:spacing w:after="0" w:line="240" w:lineRule="auto"/>
        <w:jc w:val="both"/>
        <w:rPr>
          <w:rFonts w:ascii="Arial" w:hAnsi="Arial" w:cs="Arial"/>
          <w:sz w:val="20"/>
          <w:szCs w:val="20"/>
        </w:rPr>
      </w:pPr>
    </w:p>
    <w:p w:rsidR="007D4E69" w:rsidRPr="007D4E69" w:rsidRDefault="007D4E69" w:rsidP="007D4E69">
      <w:pPr>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f)</w:t>
      </w:r>
      <w:r w:rsidRPr="00091B6D">
        <w:rPr>
          <w:rFonts w:ascii="Arial" w:hAnsi="Arial" w:cs="Arial"/>
          <w:sz w:val="20"/>
          <w:szCs w:val="20"/>
        </w:rPr>
        <w:t xml:space="preserve"> Estructura organizacional básica.</w:t>
      </w:r>
    </w:p>
    <w:p w:rsidR="00000EBA" w:rsidRPr="00091B6D" w:rsidRDefault="00000EBA" w:rsidP="00000EBA">
      <w:pPr>
        <w:spacing w:after="0" w:line="240" w:lineRule="auto"/>
        <w:jc w:val="center"/>
        <w:rPr>
          <w:rFonts w:ascii="Arial" w:hAnsi="Arial" w:cs="Arial"/>
          <w:sz w:val="20"/>
          <w:szCs w:val="20"/>
        </w:rPr>
      </w:pPr>
      <w:r w:rsidRPr="00091B6D">
        <w:rPr>
          <w:rFonts w:ascii="Arial" w:hAnsi="Arial" w:cs="Arial"/>
          <w:sz w:val="20"/>
          <w:szCs w:val="20"/>
        </w:rPr>
        <w:t>AL 3</w:t>
      </w:r>
      <w:r w:rsidR="00326757">
        <w:rPr>
          <w:rFonts w:ascii="Arial" w:hAnsi="Arial" w:cs="Arial"/>
          <w:sz w:val="20"/>
          <w:szCs w:val="20"/>
        </w:rPr>
        <w:t>0</w:t>
      </w:r>
      <w:r w:rsidRPr="00091B6D">
        <w:rPr>
          <w:rFonts w:ascii="Arial" w:hAnsi="Arial" w:cs="Arial"/>
          <w:sz w:val="20"/>
          <w:szCs w:val="20"/>
        </w:rPr>
        <w:t>/</w:t>
      </w:r>
      <w:r w:rsidR="007D4E69">
        <w:rPr>
          <w:rFonts w:ascii="Arial" w:hAnsi="Arial" w:cs="Arial"/>
          <w:sz w:val="20"/>
          <w:szCs w:val="20"/>
        </w:rPr>
        <w:t>0</w:t>
      </w:r>
      <w:r w:rsidR="00326757">
        <w:rPr>
          <w:rFonts w:ascii="Arial" w:hAnsi="Arial" w:cs="Arial"/>
          <w:sz w:val="20"/>
          <w:szCs w:val="20"/>
        </w:rPr>
        <w:t>6</w:t>
      </w:r>
      <w:r w:rsidRPr="00091B6D">
        <w:rPr>
          <w:rFonts w:ascii="Arial" w:hAnsi="Arial" w:cs="Arial"/>
          <w:sz w:val="20"/>
          <w:szCs w:val="20"/>
        </w:rPr>
        <w:t>/202</w:t>
      </w:r>
      <w:r w:rsidR="007D4E69">
        <w:rPr>
          <w:rFonts w:ascii="Arial" w:hAnsi="Arial" w:cs="Arial"/>
          <w:sz w:val="20"/>
          <w:szCs w:val="20"/>
        </w:rPr>
        <w:t>6</w:t>
      </w:r>
    </w:p>
    <w:p w:rsidR="00000EBA" w:rsidRPr="00091B6D" w:rsidRDefault="00326757" w:rsidP="00000EBA">
      <w:pPr>
        <w:spacing w:after="0" w:line="240" w:lineRule="auto"/>
        <w:ind w:left="-1134" w:right="-1171"/>
        <w:jc w:val="center"/>
        <w:rPr>
          <w:rFonts w:ascii="Arial" w:hAnsi="Arial" w:cs="Arial"/>
          <w:sz w:val="20"/>
          <w:szCs w:val="20"/>
        </w:rPr>
      </w:pPr>
      <w:r w:rsidRPr="00326757">
        <w:rPr>
          <w:rFonts w:ascii="Arial" w:hAnsi="Arial" w:cs="Arial"/>
          <w:sz w:val="20"/>
          <w:szCs w:val="20"/>
        </w:rPr>
        <w:drawing>
          <wp:inline distT="0" distB="0" distL="0" distR="0" wp14:anchorId="188077B2" wp14:editId="1F25F1FB">
            <wp:extent cx="8780116" cy="5669280"/>
            <wp:effectExtent l="0" t="0" r="254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791884" cy="5676878"/>
                    </a:xfrm>
                    <a:prstGeom prst="rect">
                      <a:avLst/>
                    </a:prstGeom>
                  </pic:spPr>
                </pic:pic>
              </a:graphicData>
            </a:graphic>
          </wp:inline>
        </w:drawing>
      </w:r>
    </w:p>
    <w:p w:rsidR="00000EBA" w:rsidRPr="00091B6D" w:rsidRDefault="00326757" w:rsidP="00000EBA">
      <w:pPr>
        <w:spacing w:after="0" w:line="240" w:lineRule="auto"/>
        <w:ind w:hanging="851"/>
        <w:jc w:val="center"/>
        <w:rPr>
          <w:rFonts w:ascii="Arial" w:hAnsi="Arial" w:cs="Arial"/>
          <w:sz w:val="20"/>
          <w:szCs w:val="20"/>
        </w:rPr>
      </w:pPr>
      <w:r w:rsidRPr="00326757">
        <w:rPr>
          <w:rFonts w:ascii="Arial" w:hAnsi="Arial" w:cs="Arial"/>
          <w:sz w:val="20"/>
          <w:szCs w:val="20"/>
        </w:rPr>
        <w:lastRenderedPageBreak/>
        <w:drawing>
          <wp:inline distT="0" distB="0" distL="0" distR="0" wp14:anchorId="68E4B0C4" wp14:editId="4E086CFB">
            <wp:extent cx="9538667" cy="5425440"/>
            <wp:effectExtent l="0" t="0" r="571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47265" cy="5430331"/>
                    </a:xfrm>
                    <a:prstGeom prst="rect">
                      <a:avLst/>
                    </a:prstGeom>
                  </pic:spPr>
                </pic:pic>
              </a:graphicData>
            </a:graphic>
          </wp:inline>
        </w:drawing>
      </w:r>
    </w:p>
    <w:p w:rsidR="00000EBA" w:rsidRPr="00091B6D" w:rsidRDefault="00000EBA" w:rsidP="00000EBA">
      <w:pPr>
        <w:spacing w:after="0" w:line="240" w:lineRule="auto"/>
        <w:rPr>
          <w:rFonts w:ascii="Arial" w:hAnsi="Arial" w:cs="Arial"/>
          <w:sz w:val="20"/>
          <w:szCs w:val="20"/>
        </w:rPr>
      </w:pPr>
      <w:r w:rsidRPr="00091B6D">
        <w:rPr>
          <w:rFonts w:ascii="Arial" w:hAnsi="Arial" w:cs="Arial"/>
          <w:sz w:val="20"/>
          <w:szCs w:val="20"/>
        </w:rPr>
        <w:br w:type="page"/>
      </w:r>
    </w:p>
    <w:p w:rsidR="00000EBA" w:rsidRPr="00091B6D" w:rsidRDefault="00326757" w:rsidP="00000EBA">
      <w:pPr>
        <w:spacing w:after="0" w:line="240" w:lineRule="auto"/>
        <w:ind w:left="-567" w:hanging="284"/>
        <w:rPr>
          <w:rFonts w:ascii="Arial" w:hAnsi="Arial" w:cs="Arial"/>
          <w:sz w:val="20"/>
          <w:szCs w:val="20"/>
        </w:rPr>
      </w:pPr>
      <w:r w:rsidRPr="00326757">
        <w:rPr>
          <w:rFonts w:ascii="Arial" w:hAnsi="Arial" w:cs="Arial"/>
          <w:sz w:val="20"/>
          <w:szCs w:val="20"/>
        </w:rPr>
        <w:lastRenderedPageBreak/>
        <w:drawing>
          <wp:inline distT="0" distB="0" distL="0" distR="0" wp14:anchorId="1F08C2AE" wp14:editId="20D93C9B">
            <wp:extent cx="9378315" cy="481584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387573" cy="4820594"/>
                    </a:xfrm>
                    <a:prstGeom prst="rect">
                      <a:avLst/>
                    </a:prstGeom>
                  </pic:spPr>
                </pic:pic>
              </a:graphicData>
            </a:graphic>
          </wp:inline>
        </w:drawing>
      </w:r>
    </w:p>
    <w:p w:rsidR="00000EBA" w:rsidRPr="00091B6D" w:rsidRDefault="00000EBA" w:rsidP="00000EBA">
      <w:pPr>
        <w:spacing w:after="0" w:line="240" w:lineRule="auto"/>
        <w:rPr>
          <w:rFonts w:ascii="Arial" w:hAnsi="Arial" w:cs="Arial"/>
          <w:sz w:val="20"/>
          <w:szCs w:val="20"/>
        </w:rPr>
      </w:pPr>
    </w:p>
    <w:p w:rsidR="00000EBA" w:rsidRPr="00091B6D" w:rsidRDefault="00000EBA" w:rsidP="00000EBA">
      <w:pPr>
        <w:spacing w:after="0" w:line="240" w:lineRule="auto"/>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g)</w:t>
      </w:r>
      <w:r w:rsidRPr="00091B6D">
        <w:rPr>
          <w:rFonts w:ascii="Arial" w:hAnsi="Arial" w:cs="Arial"/>
          <w:sz w:val="20"/>
          <w:szCs w:val="20"/>
        </w:rPr>
        <w:t xml:space="preserve"> Fideicomisos de los cuales es fideicomitente o fideicomisario, y contratos análogos, incluyendo mandatos de los cuales es parte: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3" w:name="_Toc220077188"/>
      <w:r w:rsidRPr="00091B6D">
        <w:rPr>
          <w:rFonts w:ascii="Arial" w:hAnsi="Arial" w:cs="Arial"/>
          <w:b/>
          <w:color w:val="auto"/>
          <w:sz w:val="20"/>
          <w:szCs w:val="20"/>
        </w:rPr>
        <w:lastRenderedPageBreak/>
        <w:t>4. Bases de Preparación de l</w:t>
      </w:r>
      <w:bookmarkStart w:id="4" w:name="_GoBack"/>
      <w:bookmarkEnd w:id="4"/>
      <w:r w:rsidRPr="00091B6D">
        <w:rPr>
          <w:rFonts w:ascii="Arial" w:hAnsi="Arial" w:cs="Arial"/>
          <w:b/>
          <w:color w:val="auto"/>
          <w:sz w:val="20"/>
          <w:szCs w:val="20"/>
        </w:rPr>
        <w:t>os Estados Financieros:</w:t>
      </w:r>
      <w:bookmarkEnd w:id="3"/>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sobre: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Si se ha observado la normatividad emitida por el CONAC y las disposiciones legales aplicables.</w:t>
      </w:r>
    </w:p>
    <w:p w:rsidR="00000EBA" w:rsidRPr="00091B6D" w:rsidRDefault="00000EBA" w:rsidP="00000EBA">
      <w:pPr>
        <w:pStyle w:val="Prrafodelista"/>
        <w:spacing w:line="240" w:lineRule="auto"/>
        <w:ind w:left="426"/>
        <w:jc w:val="both"/>
        <w:rPr>
          <w:rFonts w:ascii="Arial" w:hAnsi="Arial" w:cs="Arial"/>
          <w:sz w:val="20"/>
          <w:szCs w:val="20"/>
        </w:rPr>
      </w:pPr>
    </w:p>
    <w:p w:rsidR="00000EBA" w:rsidRPr="00091B6D" w:rsidRDefault="00000EBA" w:rsidP="00000EBA">
      <w:pPr>
        <w:pStyle w:val="Prrafodelista"/>
        <w:spacing w:line="240" w:lineRule="auto"/>
        <w:ind w:left="426"/>
        <w:jc w:val="both"/>
        <w:rPr>
          <w:rFonts w:ascii="Arial" w:hAnsi="Arial" w:cs="Arial"/>
          <w:sz w:val="20"/>
          <w:szCs w:val="20"/>
        </w:rPr>
      </w:pPr>
      <w:r w:rsidRPr="00091B6D">
        <w:rPr>
          <w:rFonts w:ascii="Arial" w:hAnsi="Arial" w:cs="Arial"/>
          <w:sz w:val="20"/>
          <w:szCs w:val="20"/>
        </w:rPr>
        <w:t>En la preparación de los Estados Financieros, se observa la normatividad emitida por la CONAC y las disposiciones legales aplicables de acuerdo a las indicaciones de la SFIA. Las Bases de Preparación de los Estados Financieros observan en cierta medida la normatividad emitida por el CONAC y las disposiciones legales aplicables.</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Prrafodelista"/>
        <w:spacing w:line="240" w:lineRule="auto"/>
        <w:ind w:left="426"/>
        <w:jc w:val="both"/>
        <w:rPr>
          <w:rFonts w:ascii="Arial" w:hAnsi="Arial" w:cs="Arial"/>
          <w:sz w:val="20"/>
          <w:szCs w:val="20"/>
        </w:rPr>
      </w:pPr>
      <w:r w:rsidRPr="00091B6D">
        <w:rPr>
          <w:rFonts w:ascii="Arial" w:hAnsi="Arial" w:cs="Arial"/>
          <w:sz w:val="20"/>
          <w:szCs w:val="20"/>
        </w:rPr>
        <w:t>Las Bases de Preparación de los Estados Financieros observan en cierta medida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c)</w:t>
      </w:r>
      <w:r w:rsidRPr="00091B6D">
        <w:rPr>
          <w:rFonts w:ascii="Arial" w:hAnsi="Arial" w:cs="Arial"/>
          <w:sz w:val="20"/>
          <w:szCs w:val="20"/>
        </w:rPr>
        <w:t xml:space="preserve"> Postulados básicos de Contabilidad Gubernamental (PBCG).</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Sustancia Económica:</w:t>
      </w:r>
      <w:r w:rsidRPr="00091B6D">
        <w:rPr>
          <w:rFonts w:ascii="Arial" w:hAnsi="Arial" w:cs="Arial"/>
          <w:sz w:val="20"/>
          <w:szCs w:val="20"/>
        </w:rPr>
        <w:t xml:space="preserve"> Es el reconocimiento contable de las transacciones, transformaciones internas y otros eventos, que afectan económicamente al ente público y delimitan la operación del Sistema de Contabilidad Gubernamental (SCG). </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Entes Públicos:</w:t>
      </w:r>
      <w:r w:rsidRPr="00091B6D">
        <w:rPr>
          <w:rFonts w:ascii="Arial" w:hAnsi="Arial" w:cs="Arial"/>
          <w:sz w:val="20"/>
          <w:szCs w:val="20"/>
        </w:rPr>
        <w:t xml:space="preserve">  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 </w:t>
      </w:r>
    </w:p>
    <w:p w:rsidR="00000EBA" w:rsidRPr="00091B6D" w:rsidRDefault="00000EBA" w:rsidP="00000EBA">
      <w:pPr>
        <w:pStyle w:val="Prrafodelista"/>
        <w:spacing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Existencia Permanente:</w:t>
      </w:r>
      <w:r w:rsidRPr="00091B6D">
        <w:rPr>
          <w:rFonts w:ascii="Arial" w:hAnsi="Arial" w:cs="Arial"/>
          <w:sz w:val="20"/>
          <w:szCs w:val="20"/>
        </w:rPr>
        <w:t xml:space="preserve">  La actividad del ente público se establece por tiempo indefinido, salvo disposición legal en la que se especifique lo contrario.</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Revelación Suficiente:</w:t>
      </w:r>
      <w:r w:rsidRPr="00091B6D">
        <w:rPr>
          <w:rFonts w:ascii="Arial" w:hAnsi="Arial" w:cs="Arial"/>
          <w:sz w:val="20"/>
          <w:szCs w:val="20"/>
        </w:rPr>
        <w:t xml:space="preserve"> Los estados y la información financiera deben mostrar amplia y claramente la situación financiera y los resultados del ente público. </w:t>
      </w: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Importancia Relativa:</w:t>
      </w:r>
      <w:r w:rsidRPr="00091B6D">
        <w:rPr>
          <w:rFonts w:ascii="Arial" w:hAnsi="Arial" w:cs="Arial"/>
          <w:sz w:val="20"/>
          <w:szCs w:val="20"/>
        </w:rPr>
        <w:t xml:space="preserve"> La información debe mostrar los aspectos importantes de la entidad que fueron reconocidos contablemente. </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Registro E Integración Presupuestaria:</w:t>
      </w:r>
      <w:r w:rsidRPr="00091B6D">
        <w:rPr>
          <w:rFonts w:ascii="Arial" w:hAnsi="Arial" w:cs="Arial"/>
          <w:sz w:val="20"/>
          <w:szCs w:val="20"/>
        </w:rPr>
        <w:t xml:space="preserve"> La información presupuestaria de los entes públicos se integra en la contabilidad en los mismos términos que se presentan en la ley de Ingresos y en el Decreto del Presupuesto Egresos, de acuerdo a la naturaleza económica que le corresponda. El registro presupuestario del ingreso y del egreso en los entes públicos se debe reflejar en la contabilidad, considerando sus efectos patrimoniales y su vinculación con las etapas presupuestarias correspondientes.</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lastRenderedPageBreak/>
        <w:t>Consolidación De La Información Financiera:</w:t>
      </w:r>
      <w:r w:rsidRPr="00091B6D">
        <w:rPr>
          <w:rFonts w:ascii="Arial" w:hAnsi="Arial" w:cs="Arial"/>
          <w:sz w:val="20"/>
          <w:szCs w:val="20"/>
        </w:rPr>
        <w:t xml:space="preserve"> 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Devengo Contable:</w:t>
      </w:r>
      <w:r w:rsidRPr="00091B6D">
        <w:rPr>
          <w:rFonts w:ascii="Arial" w:hAnsi="Arial" w:cs="Arial"/>
          <w:sz w:val="20"/>
          <w:szCs w:val="20"/>
        </w:rPr>
        <w:t xml:space="preserve"> 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Valuación:</w:t>
      </w:r>
      <w:r w:rsidRPr="00091B6D">
        <w:rPr>
          <w:rFonts w:ascii="Arial" w:hAnsi="Arial" w:cs="Arial"/>
          <w:sz w:val="20"/>
          <w:szCs w:val="20"/>
        </w:rPr>
        <w:t xml:space="preserve"> Todos los eventos que afecten económicamente al ente público deben ser cuantificados en términos monetarios y se registrarán al costo histórico o al valor económico más objetivo registrándose en moneda nacional. </w:t>
      </w:r>
    </w:p>
    <w:p w:rsidR="00000EBA" w:rsidRPr="00091B6D" w:rsidRDefault="00000EBA" w:rsidP="00000EBA">
      <w:pPr>
        <w:pStyle w:val="Prrafodelista"/>
        <w:spacing w:after="160"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Dualidad Económica:</w:t>
      </w:r>
      <w:r w:rsidRPr="00091B6D">
        <w:rPr>
          <w:rFonts w:ascii="Arial" w:hAnsi="Arial" w:cs="Arial"/>
          <w:sz w:val="20"/>
          <w:szCs w:val="20"/>
        </w:rPr>
        <w:t xml:space="preserve">  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rsidR="00000EBA" w:rsidRPr="00091B6D" w:rsidRDefault="00000EBA" w:rsidP="00000EBA">
      <w:pPr>
        <w:pStyle w:val="Prrafodelista"/>
        <w:spacing w:line="240" w:lineRule="auto"/>
        <w:jc w:val="both"/>
        <w:rPr>
          <w:rFonts w:ascii="Arial" w:hAnsi="Arial" w:cs="Arial"/>
          <w:sz w:val="20"/>
          <w:szCs w:val="20"/>
        </w:rPr>
      </w:pPr>
    </w:p>
    <w:p w:rsidR="00000EBA" w:rsidRPr="00091B6D" w:rsidRDefault="00000EBA" w:rsidP="00000EBA">
      <w:pPr>
        <w:pStyle w:val="Prrafodelista"/>
        <w:numPr>
          <w:ilvl w:val="0"/>
          <w:numId w:val="2"/>
        </w:numPr>
        <w:spacing w:after="160" w:line="240" w:lineRule="auto"/>
        <w:jc w:val="both"/>
        <w:rPr>
          <w:rFonts w:ascii="Arial" w:hAnsi="Arial" w:cs="Arial"/>
          <w:sz w:val="20"/>
          <w:szCs w:val="20"/>
        </w:rPr>
      </w:pPr>
      <w:r w:rsidRPr="00091B6D">
        <w:rPr>
          <w:rFonts w:ascii="Arial" w:hAnsi="Arial" w:cs="Arial"/>
          <w:b/>
          <w:sz w:val="20"/>
          <w:szCs w:val="20"/>
        </w:rPr>
        <w:t>Consistencia:</w:t>
      </w:r>
      <w:r w:rsidRPr="00091B6D">
        <w:rPr>
          <w:rFonts w:ascii="Arial" w:hAnsi="Arial" w:cs="Arial"/>
          <w:sz w:val="20"/>
          <w:szCs w:val="20"/>
        </w:rPr>
        <w:t xml:space="preserve">  Ante la existencia de operaciones similares en un ente público, debe corresponder un mismo tratamiento contable, el cual debe permanecer a través del tiempo, en tanto no cambie la esencia económica de las operaciones.</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b/>
          <w:sz w:val="20"/>
          <w:szCs w:val="20"/>
        </w:rPr>
      </w:pPr>
      <w:r w:rsidRPr="00091B6D">
        <w:rPr>
          <w:rFonts w:ascii="Arial" w:hAnsi="Arial" w:cs="Arial"/>
          <w:b/>
          <w:sz w:val="20"/>
          <w:szCs w:val="20"/>
        </w:rPr>
        <w:t>d)</w:t>
      </w:r>
      <w:r w:rsidRPr="00091B6D">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e)</w:t>
      </w:r>
      <w:r w:rsidRPr="00091B6D">
        <w:rPr>
          <w:rFonts w:ascii="Arial" w:hAnsi="Arial" w:cs="Arial"/>
          <w:sz w:val="20"/>
          <w:szCs w:val="20"/>
        </w:rPr>
        <w:t xml:space="preserve"> Para las entidades que por primera vez estén implementando la base de devengado de acuerdo a la Ley de Contabilidad, deberán:</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b/>
          <w:sz w:val="20"/>
          <w:szCs w:val="20"/>
        </w:rPr>
      </w:pPr>
      <w:r w:rsidRPr="00091B6D">
        <w:rPr>
          <w:rFonts w:ascii="Arial" w:hAnsi="Arial" w:cs="Arial"/>
          <w:sz w:val="20"/>
          <w:szCs w:val="20"/>
        </w:rPr>
        <w:t xml:space="preserve">*Revelar las nuevas políticas de reconocimiento: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*Plan de implementación: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*Revelar los cambios en las políticas, la clasificación y medición de las mismas, así como su impacto en la información financiera: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*Presentar los últimos estados financieros con la normatividad anteriormente utilizada con las nuevas políticas para fines de comparación en la transición a la base de devengado: Se encuentran publicados los estados financieros en nuestra página de internet.</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sz w:val="20"/>
          <w:szCs w:val="20"/>
        </w:rPr>
      </w:pPr>
      <w:bookmarkStart w:id="5" w:name="_Toc220077189"/>
      <w:r w:rsidRPr="00091B6D">
        <w:rPr>
          <w:rFonts w:ascii="Arial" w:hAnsi="Arial" w:cs="Arial"/>
          <w:b/>
          <w:color w:val="auto"/>
          <w:sz w:val="20"/>
          <w:szCs w:val="20"/>
        </w:rPr>
        <w:t>5. Políticas de Contabilidad Significativas:</w:t>
      </w:r>
      <w:bookmarkEnd w:id="5"/>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Son los principios, bases, reglas y procedimientos específicos adoptados por el ente público en la elaboración y presentación de sus estados financieros. </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lastRenderedPageBreak/>
        <w:t>El ente público seleccionará y aplicará sus políticas contables de manera congruente para transacciones, otros eventos y condiciones que sean similares.</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sobre: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b/>
          <w:sz w:val="20"/>
          <w:szCs w:val="20"/>
        </w:rPr>
      </w:pPr>
      <w:r w:rsidRPr="00091B6D">
        <w:rPr>
          <w:rFonts w:ascii="Arial" w:hAnsi="Arial" w:cs="Arial"/>
          <w:b/>
          <w:sz w:val="20"/>
          <w:szCs w:val="20"/>
        </w:rPr>
        <w:t>a)</w:t>
      </w:r>
      <w:r w:rsidRPr="00091B6D">
        <w:rPr>
          <w:rFonts w:ascii="Arial" w:hAnsi="Arial" w:cs="Arial"/>
          <w:sz w:val="20"/>
          <w:szCs w:val="20"/>
        </w:rPr>
        <w:t xml:space="preserve"> Actualización: se informará del método utilizado para la actualización del valor de los activos, pasivos y Hacienda Pública/Patrimonio y las razones de dicha elección. Así como informar de la desconexión o reconexión inflacionaria: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Informar sobre la realización de operaciones en el extranjero y de sus efectos en la información financiera gubernamental, considerando entre otros el importe de las variaciones cambiarias reconocidas en el resultado (ahorro o desahorro):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c)</w:t>
      </w:r>
      <w:r w:rsidRPr="00091B6D">
        <w:rPr>
          <w:rFonts w:ascii="Arial" w:hAnsi="Arial" w:cs="Arial"/>
          <w:sz w:val="20"/>
          <w:szCs w:val="20"/>
        </w:rPr>
        <w:t xml:space="preserve"> Método de valuación de la inversión en acciones de Compañías subsidiarias no consolidadas y asociadas:</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d)</w:t>
      </w:r>
      <w:r w:rsidRPr="00091B6D">
        <w:rPr>
          <w:rFonts w:ascii="Arial" w:hAnsi="Arial" w:cs="Arial"/>
          <w:sz w:val="20"/>
          <w:szCs w:val="20"/>
        </w:rPr>
        <w:t xml:space="preserve"> Sistema y método de valuación de inventarios y costo de lo vendido: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e)</w:t>
      </w:r>
      <w:r w:rsidRPr="00091B6D">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f)</w:t>
      </w:r>
      <w:r w:rsidRPr="00091B6D">
        <w:rPr>
          <w:rFonts w:ascii="Arial" w:hAnsi="Arial" w:cs="Arial"/>
          <w:sz w:val="20"/>
          <w:szCs w:val="20"/>
        </w:rPr>
        <w:t xml:space="preserve"> Provisiones: objetivo de su creación, monto y plazo: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g)</w:t>
      </w:r>
      <w:r w:rsidRPr="00091B6D">
        <w:rPr>
          <w:rFonts w:ascii="Arial" w:hAnsi="Arial" w:cs="Arial"/>
          <w:sz w:val="20"/>
          <w:szCs w:val="20"/>
        </w:rPr>
        <w:t xml:space="preserve"> Reservas: objetivo de su creación, monto y plazo: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h)</w:t>
      </w:r>
      <w:r w:rsidRPr="00091B6D">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i)</w:t>
      </w:r>
      <w:r w:rsidRPr="00091B6D">
        <w:rPr>
          <w:rFonts w:ascii="Arial" w:hAnsi="Arial" w:cs="Arial"/>
          <w:sz w:val="20"/>
          <w:szCs w:val="20"/>
        </w:rPr>
        <w:t xml:space="preserve"> Reclasificaciones: Se deben revelar todos aquellos movimientos entre cuentas por efectos de cambios en los tipos de operaciones:</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j)</w:t>
      </w:r>
      <w:r w:rsidRPr="00091B6D">
        <w:rPr>
          <w:rFonts w:ascii="Arial" w:hAnsi="Arial" w:cs="Arial"/>
          <w:sz w:val="20"/>
          <w:szCs w:val="20"/>
        </w:rPr>
        <w:t xml:space="preserve"> Depuración y cancelación de saldos: Constantemente se vienen analizando la información y en caso de encontrar saldos a depurar se realizan las acciones adecuadas y fundamentadas para depurar o cancelar saldos.</w:t>
      </w:r>
    </w:p>
    <w:p w:rsidR="00000EBA" w:rsidRPr="00091B6D" w:rsidRDefault="00000EBA" w:rsidP="00000EBA">
      <w:pPr>
        <w:pStyle w:val="Ttulo2"/>
        <w:spacing w:line="240" w:lineRule="auto"/>
        <w:rPr>
          <w:rFonts w:ascii="Arial" w:hAnsi="Arial" w:cs="Arial"/>
          <w:b/>
          <w:color w:val="auto"/>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6" w:name="_Toc220077190"/>
      <w:r w:rsidRPr="00091B6D">
        <w:rPr>
          <w:rFonts w:ascii="Arial" w:hAnsi="Arial" w:cs="Arial"/>
          <w:b/>
          <w:color w:val="auto"/>
          <w:sz w:val="20"/>
          <w:szCs w:val="20"/>
        </w:rPr>
        <w:t>6. Posición en Moneda Extranjera y Protección por Riesgo Cambiario:</w:t>
      </w:r>
      <w:bookmarkEnd w:id="6"/>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sobre: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Activos en moneda extranjera: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Pasivos en moneda extranjera: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 xml:space="preserve">c) </w:t>
      </w:r>
      <w:r w:rsidRPr="00091B6D">
        <w:rPr>
          <w:rFonts w:ascii="Arial" w:hAnsi="Arial" w:cs="Arial"/>
          <w:sz w:val="20"/>
          <w:szCs w:val="20"/>
        </w:rPr>
        <w:t>Posición en moneda extranjera: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d)</w:t>
      </w:r>
      <w:r w:rsidRPr="00091B6D">
        <w:rPr>
          <w:rFonts w:ascii="Arial" w:hAnsi="Arial" w:cs="Arial"/>
          <w:sz w:val="20"/>
          <w:szCs w:val="20"/>
        </w:rPr>
        <w:t xml:space="preserve"> Tipo de cambio: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lastRenderedPageBreak/>
        <w:t xml:space="preserve">e) </w:t>
      </w:r>
      <w:r w:rsidRPr="00091B6D">
        <w:rPr>
          <w:rFonts w:ascii="Arial" w:hAnsi="Arial" w:cs="Arial"/>
          <w:sz w:val="20"/>
          <w:szCs w:val="20"/>
        </w:rPr>
        <w:t>Equivalente en moneda nacional:</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7" w:name="_Toc220077191"/>
      <w:r w:rsidRPr="00091B6D">
        <w:rPr>
          <w:rFonts w:ascii="Arial" w:hAnsi="Arial" w:cs="Arial"/>
          <w:b/>
          <w:color w:val="auto"/>
          <w:sz w:val="20"/>
          <w:szCs w:val="20"/>
        </w:rPr>
        <w:t>7. Reporte Analítico del Activo:</w:t>
      </w:r>
      <w:bookmarkEnd w:id="7"/>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Debe mostrar la siguiente información:</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Vida útil, porcentajes de depreciación y amortización utilizados en los diferentes tipos de activos, o el importe de las pérdidas por deterioro reconocidas:</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exto"/>
        <w:spacing w:line="240" w:lineRule="auto"/>
        <w:rPr>
          <w:rFonts w:eastAsia="Calibri"/>
          <w:sz w:val="20"/>
          <w:lang w:val="es-MX" w:eastAsia="en-US"/>
        </w:rPr>
      </w:pPr>
      <w:r w:rsidRPr="00091B6D">
        <w:rPr>
          <w:rFonts w:eastAsia="Calibri"/>
          <w:b/>
          <w:sz w:val="20"/>
          <w:lang w:val="es-MX" w:eastAsia="en-US"/>
        </w:rPr>
        <w:t>Artículo 34 LISR.</w:t>
      </w:r>
      <w:r w:rsidRPr="00091B6D">
        <w:rPr>
          <w:rFonts w:eastAsia="Calibri"/>
          <w:sz w:val="20"/>
          <w:lang w:val="es-MX" w:eastAsia="en-US"/>
        </w:rPr>
        <w:t xml:space="preserve"> Los por cientos máximos autorizados, tratándose de activos fijos por tipo de bien son los siguientes:</w:t>
      </w:r>
    </w:p>
    <w:p w:rsidR="00000EBA" w:rsidRPr="00091B6D" w:rsidRDefault="00000EBA" w:rsidP="00000EBA">
      <w:pPr>
        <w:pStyle w:val="Texto"/>
        <w:spacing w:line="240" w:lineRule="auto"/>
        <w:ind w:left="1008" w:hanging="720"/>
        <w:rPr>
          <w:rFonts w:eastAsia="Calibri"/>
          <w:sz w:val="20"/>
          <w:lang w:val="es-MX" w:eastAsia="en-US"/>
        </w:rPr>
      </w:pPr>
      <w:r w:rsidRPr="00091B6D">
        <w:rPr>
          <w:rFonts w:eastAsia="Calibri"/>
          <w:b/>
          <w:sz w:val="20"/>
          <w:lang w:val="es-MX" w:eastAsia="en-US"/>
        </w:rPr>
        <w:t>III.</w:t>
      </w:r>
      <w:r w:rsidRPr="00091B6D">
        <w:rPr>
          <w:rFonts w:eastAsia="Calibri"/>
          <w:sz w:val="20"/>
          <w:lang w:val="es-MX" w:eastAsia="en-US"/>
        </w:rPr>
        <w:tab/>
        <w:t>10% para mobiliario y equipo de oficina.</w:t>
      </w:r>
    </w:p>
    <w:p w:rsidR="00000EBA" w:rsidRPr="00091B6D" w:rsidRDefault="00000EBA" w:rsidP="00000EBA">
      <w:pPr>
        <w:pStyle w:val="Texto"/>
        <w:spacing w:line="240" w:lineRule="auto"/>
        <w:ind w:left="1008" w:hanging="720"/>
        <w:rPr>
          <w:rFonts w:eastAsia="Calibri"/>
          <w:sz w:val="20"/>
          <w:lang w:val="es-MX" w:eastAsia="en-US"/>
        </w:rPr>
      </w:pPr>
      <w:r w:rsidRPr="00091B6D">
        <w:rPr>
          <w:rFonts w:eastAsia="Calibri"/>
          <w:b/>
          <w:sz w:val="20"/>
          <w:lang w:val="es-MX" w:eastAsia="en-US"/>
        </w:rPr>
        <w:t>VI.</w:t>
      </w:r>
      <w:r w:rsidRPr="00091B6D">
        <w:rPr>
          <w:rFonts w:eastAsia="Calibri"/>
          <w:sz w:val="20"/>
          <w:lang w:val="es-MX" w:eastAsia="en-US"/>
        </w:rPr>
        <w:tab/>
        <w:t>25% para automóviles, autobuses, camiones de carga, tractocamiones, montacargas y remolques.</w:t>
      </w:r>
    </w:p>
    <w:p w:rsidR="00000EBA" w:rsidRPr="00091B6D" w:rsidRDefault="00000EBA" w:rsidP="00000EBA">
      <w:pPr>
        <w:pStyle w:val="Texto"/>
        <w:spacing w:line="240" w:lineRule="auto"/>
        <w:ind w:left="1008" w:hanging="720"/>
        <w:rPr>
          <w:rFonts w:eastAsia="Calibri"/>
          <w:sz w:val="20"/>
          <w:lang w:val="es-MX" w:eastAsia="en-US"/>
        </w:rPr>
      </w:pPr>
      <w:r w:rsidRPr="00091B6D">
        <w:rPr>
          <w:rFonts w:eastAsia="Calibri"/>
          <w:b/>
          <w:sz w:val="20"/>
          <w:lang w:val="es-MX" w:eastAsia="en-US"/>
        </w:rPr>
        <w:t>VII.</w:t>
      </w:r>
      <w:r w:rsidRPr="00091B6D">
        <w:rPr>
          <w:rFonts w:eastAsia="Calibri"/>
          <w:sz w:val="20"/>
          <w:lang w:val="es-MX" w:eastAsia="en-US"/>
        </w:rPr>
        <w:tab/>
        <w:t>30% para computadoras personales de escritorio y portátiles; servidores; impresoras, lectores ópticos, graficadores, lectores de código de barras, digitalizadores, unidades de almacenamiento externo y concentradores de redes de cómputo.</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Cambios en el porcentaje de depreciación y amortización y en el valor de los activos ocasionado por deterioro: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c)</w:t>
      </w:r>
      <w:r w:rsidRPr="00091B6D">
        <w:rPr>
          <w:rFonts w:ascii="Arial" w:hAnsi="Arial" w:cs="Arial"/>
          <w:sz w:val="20"/>
          <w:szCs w:val="20"/>
        </w:rPr>
        <w:t xml:space="preserve"> Importe de los gastos capitalizados en el ejercicio, tanto financieros como de investigación y desarrollo: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d)</w:t>
      </w:r>
      <w:r w:rsidRPr="00091B6D">
        <w:rPr>
          <w:rFonts w:ascii="Arial" w:hAnsi="Arial" w:cs="Arial"/>
          <w:sz w:val="20"/>
          <w:szCs w:val="20"/>
        </w:rPr>
        <w:t xml:space="preserve"> Riesgos por tipo de cambio o tipo de interés de las inversiones financieras: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 xml:space="preserve">e) </w:t>
      </w:r>
      <w:r w:rsidRPr="00091B6D">
        <w:rPr>
          <w:rFonts w:ascii="Arial" w:hAnsi="Arial" w:cs="Arial"/>
          <w:sz w:val="20"/>
          <w:szCs w:val="20"/>
        </w:rPr>
        <w:t>Valor activado en el ejercicio de los bienes construidos por la entidad: El bien construido por la entidad ha sido activado por el importe de $113,544,080.90 (Ciento trece millones quinientos cuarenta y cuatro mil ochenta pesos 90/100 M.N.).</w:t>
      </w:r>
    </w:p>
    <w:p w:rsidR="00000EBA" w:rsidRPr="00091B6D" w:rsidRDefault="00000EBA" w:rsidP="00000EBA">
      <w:pPr>
        <w:tabs>
          <w:tab w:val="left" w:leader="underscore" w:pos="9639"/>
        </w:tabs>
        <w:spacing w:after="0" w:line="240" w:lineRule="auto"/>
        <w:jc w:val="both"/>
        <w:rPr>
          <w:rFonts w:ascii="Arial" w:hAnsi="Arial" w:cs="Arial"/>
          <w:b/>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f)</w:t>
      </w:r>
      <w:r w:rsidRPr="00091B6D">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g)</w:t>
      </w:r>
      <w:r w:rsidRPr="00091B6D">
        <w:rPr>
          <w:rFonts w:ascii="Arial" w:hAnsi="Arial" w:cs="Arial"/>
          <w:sz w:val="20"/>
          <w:szCs w:val="20"/>
        </w:rPr>
        <w:t xml:space="preserve"> Desmantelamiento de Activos, procedimientos, implicaciones, efectos contables: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h)</w:t>
      </w:r>
      <w:r w:rsidRPr="00091B6D">
        <w:rPr>
          <w:rFonts w:ascii="Arial" w:hAnsi="Arial" w:cs="Arial"/>
          <w:sz w:val="20"/>
          <w:szCs w:val="20"/>
        </w:rPr>
        <w:t xml:space="preserve"> Administración de activos; planeación con el objetivo de que el ente los utilice de manera más efectiva: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Adicionalmente, se deben incluir las explicaciones de las principales variaciones en el activo, en cuadros comparativos como sigue: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Inversiones en valores: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Patrimonio de Organismos Descentralizados de Control Presupuestario Indirecto:</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lastRenderedPageBreak/>
        <w:t>c)</w:t>
      </w:r>
      <w:r w:rsidRPr="00091B6D">
        <w:rPr>
          <w:rFonts w:ascii="Arial" w:hAnsi="Arial" w:cs="Arial"/>
          <w:sz w:val="20"/>
          <w:szCs w:val="20"/>
        </w:rPr>
        <w:t xml:space="preserve"> Inversiones en empresas de participación mayoritaria: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d)</w:t>
      </w:r>
      <w:r w:rsidRPr="00091B6D">
        <w:rPr>
          <w:rFonts w:ascii="Arial" w:hAnsi="Arial" w:cs="Arial"/>
          <w:sz w:val="20"/>
          <w:szCs w:val="20"/>
        </w:rPr>
        <w:t xml:space="preserve"> Inversiones en empresas de participación minoritaria: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e)</w:t>
      </w:r>
      <w:r w:rsidRPr="00091B6D">
        <w:rPr>
          <w:rFonts w:ascii="Arial" w:hAnsi="Arial" w:cs="Arial"/>
          <w:sz w:val="20"/>
          <w:szCs w:val="20"/>
        </w:rPr>
        <w:t xml:space="preserve"> Patrimonio de Organismos Descentralizados de control Presupuestario Directo, según corresponda: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8" w:name="_Toc220077192"/>
      <w:r w:rsidRPr="00091B6D">
        <w:rPr>
          <w:rFonts w:ascii="Arial" w:hAnsi="Arial" w:cs="Arial"/>
          <w:b/>
          <w:color w:val="auto"/>
          <w:sz w:val="20"/>
          <w:szCs w:val="20"/>
        </w:rPr>
        <w:t>8. Fideicomisos, Mandatos y Análogos:</w:t>
      </w:r>
      <w:bookmarkEnd w:id="8"/>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deberá informar:</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Por ramo administrativo que los reporta:</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Enlistar los de mayor monto de disponibilidad, relacionando aquéllos que conforman el 80% de las disponibilidades:</w:t>
      </w:r>
      <w:r w:rsidRPr="00091B6D">
        <w:rPr>
          <w:rFonts w:ascii="Arial" w:hAnsi="Arial" w:cs="Arial"/>
          <w:b/>
          <w:sz w:val="20"/>
          <w:szCs w:val="20"/>
        </w:rPr>
        <w:t xml:space="preserve"> “Esta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spacing w:after="0" w:line="240" w:lineRule="auto"/>
        <w:rPr>
          <w:rFonts w:ascii="Arial" w:hAnsi="Arial" w:cs="Arial"/>
          <w:sz w:val="20"/>
          <w:szCs w:val="20"/>
        </w:rPr>
      </w:pPr>
      <w:r w:rsidRPr="00091B6D">
        <w:rPr>
          <w:rFonts w:ascii="Arial" w:hAnsi="Arial" w:cs="Arial"/>
          <w:sz w:val="20"/>
          <w:szCs w:val="20"/>
        </w:rPr>
        <w:br w:type="page"/>
      </w:r>
    </w:p>
    <w:p w:rsidR="00000EBA" w:rsidRPr="00091B6D" w:rsidRDefault="00000EBA" w:rsidP="00000EBA">
      <w:pPr>
        <w:pStyle w:val="Ttulo2"/>
        <w:spacing w:line="240" w:lineRule="auto"/>
        <w:rPr>
          <w:rFonts w:ascii="Arial" w:hAnsi="Arial" w:cs="Arial"/>
          <w:b/>
          <w:color w:val="auto"/>
          <w:sz w:val="20"/>
          <w:szCs w:val="20"/>
        </w:rPr>
      </w:pPr>
      <w:bookmarkStart w:id="9" w:name="_Toc220077193"/>
      <w:r w:rsidRPr="00091B6D">
        <w:rPr>
          <w:rFonts w:ascii="Arial" w:hAnsi="Arial" w:cs="Arial"/>
          <w:b/>
          <w:color w:val="auto"/>
          <w:sz w:val="20"/>
          <w:szCs w:val="20"/>
        </w:rPr>
        <w:lastRenderedPageBreak/>
        <w:t>9. Reporte de la Recaudación:</w:t>
      </w:r>
      <w:bookmarkEnd w:id="9"/>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Análisis del comportamiento de la recaudación correspondiente al ente público o cualquier tipo de ingreso, de forma separada los ingresos locales de los federales:</w:t>
      </w:r>
    </w:p>
    <w:p w:rsidR="00000EBA" w:rsidRPr="00091B6D" w:rsidRDefault="00326757" w:rsidP="00000EBA">
      <w:pPr>
        <w:spacing w:after="0" w:line="240" w:lineRule="auto"/>
        <w:jc w:val="center"/>
        <w:rPr>
          <w:rFonts w:ascii="Arial" w:hAnsi="Arial" w:cs="Arial"/>
          <w:sz w:val="20"/>
          <w:szCs w:val="20"/>
        </w:rPr>
      </w:pPr>
      <w:r w:rsidRPr="00326757">
        <w:drawing>
          <wp:inline distT="0" distB="0" distL="0" distR="0">
            <wp:extent cx="7030721" cy="5486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1873" cy="5495102"/>
                    </a:xfrm>
                    <a:prstGeom prst="rect">
                      <a:avLst/>
                    </a:prstGeom>
                    <a:noFill/>
                    <a:ln>
                      <a:noFill/>
                    </a:ln>
                  </pic:spPr>
                </pic:pic>
              </a:graphicData>
            </a:graphic>
          </wp:inline>
        </w:drawing>
      </w:r>
      <w:r w:rsidR="00000EBA" w:rsidRPr="00091B6D">
        <w:rPr>
          <w:rFonts w:ascii="Arial" w:hAnsi="Arial" w:cs="Arial"/>
          <w:sz w:val="20"/>
          <w:szCs w:val="20"/>
        </w:rPr>
        <w:br w:type="page"/>
      </w:r>
    </w:p>
    <w:p w:rsidR="00000EBA" w:rsidRPr="00091B6D" w:rsidRDefault="00000EBA" w:rsidP="00000EBA">
      <w:pPr>
        <w:tabs>
          <w:tab w:val="left" w:leader="underscore" w:pos="9639"/>
        </w:tabs>
        <w:spacing w:after="0" w:line="240" w:lineRule="auto"/>
        <w:jc w:val="both"/>
        <w:rPr>
          <w:rFonts w:ascii="Arial" w:hAnsi="Arial" w:cs="Arial"/>
          <w:b/>
          <w:sz w:val="20"/>
          <w:szCs w:val="20"/>
        </w:rPr>
      </w:pPr>
      <w:r w:rsidRPr="00091B6D">
        <w:rPr>
          <w:rFonts w:ascii="Arial" w:hAnsi="Arial" w:cs="Arial"/>
          <w:b/>
          <w:sz w:val="20"/>
          <w:szCs w:val="20"/>
        </w:rPr>
        <w:lastRenderedPageBreak/>
        <w:t>b)</w:t>
      </w:r>
      <w:r w:rsidRPr="00091B6D">
        <w:rPr>
          <w:rFonts w:ascii="Arial" w:hAnsi="Arial" w:cs="Arial"/>
          <w:sz w:val="20"/>
          <w:szCs w:val="20"/>
        </w:rPr>
        <w:t xml:space="preserve"> Proyección de la recaudación e ingresos en el mediano plazo: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0" w:name="_Toc220077194"/>
      <w:r w:rsidRPr="00091B6D">
        <w:rPr>
          <w:rFonts w:ascii="Arial" w:hAnsi="Arial" w:cs="Arial"/>
          <w:b/>
          <w:color w:val="auto"/>
          <w:sz w:val="20"/>
          <w:szCs w:val="20"/>
        </w:rPr>
        <w:t>10. Información sobre la Deuda y el Reporte Analítico de la Deuda:</w:t>
      </w:r>
      <w:bookmarkEnd w:id="10"/>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Utilizar al menos los siguientes indicadores: deuda respecto al PIB y deuda respecto a la recaudación tomando, como mínimo, un período igual o menor a 5 años.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Información de manera agrupada por tipo de valor gubernamental o instrumento financiero en la que se consideren intereses, comisiones, tasa, perfil de vencimiento y otros gastos de la deuda. * Se anexará la información en las notas de desglose.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1" w:name="_Toc220077195"/>
      <w:r w:rsidRPr="00091B6D">
        <w:rPr>
          <w:rFonts w:ascii="Arial" w:hAnsi="Arial" w:cs="Arial"/>
          <w:b/>
          <w:color w:val="auto"/>
          <w:sz w:val="20"/>
          <w:szCs w:val="20"/>
        </w:rPr>
        <w:t>11. Calificaciones otorgadas:</w:t>
      </w:r>
      <w:bookmarkEnd w:id="11"/>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Informar, tanto del ente público como cualquier transacción realizada, que haya sido sujeta a una calificación crediticia: </w:t>
      </w:r>
      <w:r w:rsidRPr="00091B6D">
        <w:rPr>
          <w:rFonts w:ascii="Arial" w:hAnsi="Arial" w:cs="Arial"/>
          <w:b/>
          <w:sz w:val="20"/>
          <w:szCs w:val="20"/>
        </w:rPr>
        <w:t xml:space="preserve">“Esta nota no le aplica al ente público”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2" w:name="_Toc220077196"/>
      <w:r w:rsidRPr="00091B6D">
        <w:rPr>
          <w:rFonts w:ascii="Arial" w:hAnsi="Arial" w:cs="Arial"/>
          <w:b/>
          <w:color w:val="auto"/>
          <w:sz w:val="20"/>
          <w:szCs w:val="20"/>
        </w:rPr>
        <w:t>12. Proceso de Mejora:</w:t>
      </w:r>
      <w:bookmarkEnd w:id="12"/>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Se informará de: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a)</w:t>
      </w:r>
      <w:r w:rsidRPr="00091B6D">
        <w:rPr>
          <w:rFonts w:ascii="Arial" w:hAnsi="Arial" w:cs="Arial"/>
          <w:sz w:val="20"/>
          <w:szCs w:val="20"/>
        </w:rPr>
        <w:t xml:space="preserve"> Principales Políticas de control interno:</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El proceso de evaluación de control de confianza se lleva a cabo de acuerdo con los lineamientos, criterios, políticas y protocolos que establece el Centro Nacional de Certificación y Acreditación y el propio Centro, así como en base en los demás instrumentos normativos aplicables. Este proceso comprende las siguientes examinaciones: </w:t>
      </w:r>
    </w:p>
    <w:p w:rsidR="00000EBA" w:rsidRPr="00091B6D" w:rsidRDefault="00000EBA" w:rsidP="00000EBA">
      <w:pPr>
        <w:spacing w:after="0" w:line="240" w:lineRule="auto"/>
        <w:jc w:val="both"/>
        <w:rPr>
          <w:rFonts w:ascii="Arial" w:hAnsi="Arial" w:cs="Arial"/>
          <w:sz w:val="20"/>
          <w:szCs w:val="20"/>
        </w:rPr>
      </w:pPr>
    </w:p>
    <w:p w:rsidR="00000EBA" w:rsidRPr="00091B6D" w:rsidRDefault="00000EBA" w:rsidP="00000EBA">
      <w:pPr>
        <w:pStyle w:val="Prrafodelista"/>
        <w:numPr>
          <w:ilvl w:val="0"/>
          <w:numId w:val="3"/>
        </w:numPr>
        <w:spacing w:after="0" w:line="240" w:lineRule="auto"/>
        <w:jc w:val="both"/>
        <w:rPr>
          <w:rFonts w:ascii="Arial" w:hAnsi="Arial" w:cs="Arial"/>
          <w:sz w:val="20"/>
          <w:szCs w:val="20"/>
        </w:rPr>
        <w:sectPr w:rsidR="00000EBA" w:rsidRPr="00091B6D" w:rsidSect="0008152A">
          <w:headerReference w:type="default" r:id="rId14"/>
          <w:pgSz w:w="15840" w:h="12240" w:orient="landscape" w:code="1"/>
          <w:pgMar w:top="1418" w:right="1418" w:bottom="851" w:left="1134" w:header="709" w:footer="567" w:gutter="0"/>
          <w:cols w:space="708"/>
          <w:docGrid w:linePitch="360"/>
        </w:sectPr>
      </w:pPr>
    </w:p>
    <w:p w:rsidR="00000EBA" w:rsidRPr="00091B6D" w:rsidRDefault="00000EBA" w:rsidP="00000EBA">
      <w:pPr>
        <w:pStyle w:val="Prrafodelista"/>
        <w:numPr>
          <w:ilvl w:val="0"/>
          <w:numId w:val="3"/>
        </w:numPr>
        <w:spacing w:after="0" w:line="240" w:lineRule="auto"/>
        <w:jc w:val="both"/>
        <w:rPr>
          <w:rFonts w:ascii="Arial" w:hAnsi="Arial" w:cs="Arial"/>
          <w:sz w:val="20"/>
          <w:szCs w:val="20"/>
        </w:rPr>
      </w:pPr>
      <w:r w:rsidRPr="00091B6D">
        <w:rPr>
          <w:rFonts w:ascii="Arial" w:hAnsi="Arial" w:cs="Arial"/>
          <w:sz w:val="20"/>
          <w:szCs w:val="20"/>
        </w:rPr>
        <w:t xml:space="preserve">De investigación socioeconómica; </w:t>
      </w:r>
    </w:p>
    <w:p w:rsidR="00000EBA" w:rsidRPr="00091B6D" w:rsidRDefault="00000EBA" w:rsidP="00000EBA">
      <w:pPr>
        <w:pStyle w:val="Prrafodelista"/>
        <w:numPr>
          <w:ilvl w:val="0"/>
          <w:numId w:val="3"/>
        </w:numPr>
        <w:spacing w:after="0" w:line="240" w:lineRule="auto"/>
        <w:jc w:val="both"/>
        <w:rPr>
          <w:rFonts w:ascii="Arial" w:hAnsi="Arial" w:cs="Arial"/>
          <w:sz w:val="20"/>
          <w:szCs w:val="20"/>
        </w:rPr>
      </w:pPr>
      <w:r w:rsidRPr="00091B6D">
        <w:rPr>
          <w:rFonts w:ascii="Arial" w:hAnsi="Arial" w:cs="Arial"/>
          <w:sz w:val="20"/>
          <w:szCs w:val="20"/>
        </w:rPr>
        <w:t xml:space="preserve">Médica; </w:t>
      </w:r>
    </w:p>
    <w:p w:rsidR="00000EBA" w:rsidRPr="00091B6D" w:rsidRDefault="00000EBA" w:rsidP="00000EBA">
      <w:pPr>
        <w:pStyle w:val="Prrafodelista"/>
        <w:numPr>
          <w:ilvl w:val="0"/>
          <w:numId w:val="3"/>
        </w:numPr>
        <w:spacing w:after="0" w:line="240" w:lineRule="auto"/>
        <w:jc w:val="both"/>
        <w:rPr>
          <w:rFonts w:ascii="Arial" w:hAnsi="Arial" w:cs="Arial"/>
          <w:sz w:val="20"/>
          <w:szCs w:val="20"/>
        </w:rPr>
      </w:pPr>
      <w:r w:rsidRPr="00091B6D">
        <w:rPr>
          <w:rFonts w:ascii="Arial" w:hAnsi="Arial" w:cs="Arial"/>
          <w:sz w:val="20"/>
          <w:szCs w:val="20"/>
        </w:rPr>
        <w:t xml:space="preserve">Poligráfica; </w:t>
      </w:r>
    </w:p>
    <w:p w:rsidR="00000EBA" w:rsidRPr="00091B6D" w:rsidRDefault="00000EBA" w:rsidP="00000EBA">
      <w:pPr>
        <w:pStyle w:val="Prrafodelista"/>
        <w:numPr>
          <w:ilvl w:val="0"/>
          <w:numId w:val="3"/>
        </w:numPr>
        <w:spacing w:after="0" w:line="240" w:lineRule="auto"/>
        <w:jc w:val="both"/>
        <w:rPr>
          <w:rFonts w:ascii="Arial" w:hAnsi="Arial" w:cs="Arial"/>
          <w:sz w:val="20"/>
          <w:szCs w:val="20"/>
        </w:rPr>
      </w:pPr>
      <w:r w:rsidRPr="00091B6D">
        <w:rPr>
          <w:rFonts w:ascii="Arial" w:hAnsi="Arial" w:cs="Arial"/>
          <w:sz w:val="20"/>
          <w:szCs w:val="20"/>
        </w:rPr>
        <w:t xml:space="preserve">Psicológica; y </w:t>
      </w:r>
    </w:p>
    <w:p w:rsidR="00000EBA" w:rsidRPr="00091B6D" w:rsidRDefault="00000EBA" w:rsidP="00000EBA">
      <w:pPr>
        <w:pStyle w:val="Prrafodelista"/>
        <w:numPr>
          <w:ilvl w:val="0"/>
          <w:numId w:val="3"/>
        </w:numPr>
        <w:spacing w:after="0" w:line="240" w:lineRule="auto"/>
        <w:jc w:val="both"/>
        <w:rPr>
          <w:rFonts w:ascii="Arial" w:hAnsi="Arial" w:cs="Arial"/>
          <w:sz w:val="20"/>
          <w:szCs w:val="20"/>
        </w:rPr>
        <w:sectPr w:rsidR="00000EBA" w:rsidRPr="00091B6D" w:rsidSect="005F128B">
          <w:type w:val="continuous"/>
          <w:pgSz w:w="15840" w:h="12240" w:orient="landscape" w:code="1"/>
          <w:pgMar w:top="1418" w:right="1418" w:bottom="851" w:left="1134" w:header="709" w:footer="567" w:gutter="0"/>
          <w:cols w:num="3" w:space="708"/>
          <w:docGrid w:linePitch="360"/>
        </w:sectPr>
      </w:pPr>
      <w:r w:rsidRPr="00091B6D">
        <w:rPr>
          <w:rFonts w:ascii="Arial" w:hAnsi="Arial" w:cs="Arial"/>
          <w:sz w:val="20"/>
          <w:szCs w:val="20"/>
        </w:rPr>
        <w:t>Toxicológica</w:t>
      </w:r>
    </w:p>
    <w:p w:rsidR="00000EBA" w:rsidRPr="00091B6D" w:rsidRDefault="00000EBA" w:rsidP="00000EBA">
      <w:pPr>
        <w:spacing w:after="0" w:line="240" w:lineRule="auto"/>
        <w:jc w:val="both"/>
        <w:rPr>
          <w:rFonts w:ascii="Arial" w:hAnsi="Arial" w:cs="Arial"/>
          <w:sz w:val="20"/>
          <w:szCs w:val="20"/>
        </w:rPr>
      </w:pPr>
      <w:r w:rsidRPr="00091B6D">
        <w:rPr>
          <w:rFonts w:ascii="Arial" w:hAnsi="Arial" w:cs="Arial"/>
          <w:sz w:val="20"/>
          <w:szCs w:val="20"/>
        </w:rPr>
        <w:lastRenderedPageBreak/>
        <w:t>Para impulsar el desarrollo de una cultura de control interno en la Administración Pública Estatal, con el fin de prevenir y evitar actos de corrupción y contribuir al cumplimiento de las metas y objetivos de la misma, que promueva la prevención y administración de posibles eventos que obstaculicen o impidan el logro de los objetivos institucionales, con la normativa aplicable para este ejercicio 202</w:t>
      </w:r>
      <w:r w:rsidR="002564C0">
        <w:rPr>
          <w:rFonts w:ascii="Arial" w:hAnsi="Arial" w:cs="Arial"/>
          <w:sz w:val="20"/>
          <w:szCs w:val="20"/>
        </w:rPr>
        <w:t>6</w:t>
      </w:r>
      <w:r w:rsidRPr="00091B6D">
        <w:rPr>
          <w:rFonts w:ascii="Arial" w:hAnsi="Arial" w:cs="Arial"/>
          <w:sz w:val="20"/>
          <w:szCs w:val="20"/>
        </w:rPr>
        <w:t>.</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b/>
          <w:sz w:val="20"/>
          <w:szCs w:val="20"/>
        </w:rPr>
        <w:t>b)</w:t>
      </w:r>
      <w:r w:rsidRPr="00091B6D">
        <w:rPr>
          <w:rFonts w:ascii="Arial" w:hAnsi="Arial" w:cs="Arial"/>
          <w:sz w:val="20"/>
          <w:szCs w:val="20"/>
        </w:rPr>
        <w:t xml:space="preserve"> Medidas de desempeño financiero, metas y alcance:</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Mediante matrices de evaluaciones de riesgos en cada una de las áreas del CECCEG</w:t>
      </w:r>
    </w:p>
    <w:p w:rsidR="00000EBA" w:rsidRPr="00091B6D" w:rsidRDefault="00000EBA" w:rsidP="00000EBA">
      <w:pPr>
        <w:spacing w:after="0" w:line="240" w:lineRule="auto"/>
        <w:jc w:val="both"/>
        <w:rPr>
          <w:rFonts w:ascii="Arial" w:hAnsi="Arial" w:cs="Arial"/>
          <w:sz w:val="20"/>
          <w:szCs w:val="20"/>
        </w:rPr>
      </w:pPr>
      <w:r w:rsidRPr="00091B6D">
        <w:rPr>
          <w:rFonts w:ascii="Arial" w:hAnsi="Arial" w:cs="Arial"/>
          <w:sz w:val="20"/>
          <w:szCs w:val="20"/>
        </w:rPr>
        <w:t xml:space="preserve">PRESUPUESTO EJERCIDO / PRESUPUESTO MODIFICADO = % DEL PPTO. POR EJERCER, LA META ES EJERCER EL 100% DEL PRESUPUESTADO MODIFICADO OPTIMIZANDO LOS RECURSOS.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3" w:name="_Toc220077197"/>
      <w:r w:rsidRPr="00091B6D">
        <w:rPr>
          <w:rFonts w:ascii="Arial" w:hAnsi="Arial" w:cs="Arial"/>
          <w:b/>
          <w:color w:val="auto"/>
          <w:sz w:val="20"/>
          <w:szCs w:val="20"/>
        </w:rPr>
        <w:t xml:space="preserve">13. Información por Segmentos: </w:t>
      </w:r>
      <w:r w:rsidRPr="00091B6D">
        <w:rPr>
          <w:rFonts w:ascii="Arial" w:eastAsia="Calibri" w:hAnsi="Arial" w:cs="Arial"/>
          <w:b/>
          <w:color w:val="auto"/>
          <w:sz w:val="20"/>
          <w:szCs w:val="20"/>
        </w:rPr>
        <w:t>“Esta nota no le aplica al ente público”</w:t>
      </w:r>
      <w:bookmarkEnd w:id="13"/>
      <w:r w:rsidRPr="00091B6D">
        <w:rPr>
          <w:rFonts w:ascii="Arial" w:eastAsia="Calibri" w:hAnsi="Arial" w:cs="Arial"/>
          <w:b/>
          <w:color w:val="auto"/>
          <w:sz w:val="20"/>
          <w:szCs w:val="20"/>
        </w:rPr>
        <w:t xml:space="preserve"> </w:t>
      </w:r>
      <w:r w:rsidRPr="00091B6D">
        <w:rPr>
          <w:rFonts w:ascii="Arial" w:hAnsi="Arial" w:cs="Arial"/>
          <w:sz w:val="20"/>
          <w:szCs w:val="20"/>
        </w:rPr>
        <w:t xml:space="preserve">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sz w:val="20"/>
          <w:szCs w:val="20"/>
        </w:rPr>
      </w:pPr>
      <w:bookmarkStart w:id="14" w:name="_Toc220077198"/>
      <w:r w:rsidRPr="00091B6D">
        <w:rPr>
          <w:rFonts w:ascii="Arial" w:hAnsi="Arial" w:cs="Arial"/>
          <w:b/>
          <w:color w:val="auto"/>
          <w:sz w:val="20"/>
          <w:szCs w:val="20"/>
        </w:rPr>
        <w:t xml:space="preserve">14. Eventos Posteriores al Cierre: </w:t>
      </w:r>
      <w:r w:rsidRPr="00091B6D">
        <w:rPr>
          <w:rFonts w:ascii="Arial" w:eastAsia="Calibri" w:hAnsi="Arial" w:cs="Arial"/>
          <w:b/>
          <w:color w:val="auto"/>
          <w:sz w:val="20"/>
          <w:szCs w:val="20"/>
        </w:rPr>
        <w:t>“Esta nota no le aplica al ente público”</w:t>
      </w:r>
      <w:bookmarkEnd w:id="14"/>
      <w:r w:rsidRPr="00091B6D">
        <w:rPr>
          <w:rFonts w:ascii="Arial" w:eastAsia="Calibri" w:hAnsi="Arial" w:cs="Arial"/>
          <w:b/>
          <w:color w:val="auto"/>
          <w:sz w:val="20"/>
          <w:szCs w:val="20"/>
        </w:rPr>
        <w:t xml:space="preserve"> </w:t>
      </w:r>
      <w:r w:rsidRPr="00091B6D">
        <w:rPr>
          <w:rFonts w:ascii="Arial" w:hAnsi="Arial" w:cs="Arial"/>
          <w:sz w:val="20"/>
          <w:szCs w:val="20"/>
        </w:rPr>
        <w:t xml:space="preserve">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5" w:name="_Toc220077199"/>
      <w:r w:rsidRPr="00091B6D">
        <w:rPr>
          <w:rFonts w:ascii="Arial" w:hAnsi="Arial" w:cs="Arial"/>
          <w:b/>
          <w:color w:val="auto"/>
          <w:sz w:val="20"/>
          <w:szCs w:val="20"/>
        </w:rPr>
        <w:t xml:space="preserve">15. Partes Relacionadas: </w:t>
      </w:r>
      <w:r w:rsidRPr="00091B6D">
        <w:rPr>
          <w:rFonts w:ascii="Arial" w:eastAsia="Calibri" w:hAnsi="Arial" w:cs="Arial"/>
          <w:b/>
          <w:color w:val="auto"/>
          <w:sz w:val="20"/>
          <w:szCs w:val="20"/>
        </w:rPr>
        <w:t>“Esta nota no le aplica al ente público”</w:t>
      </w:r>
      <w:bookmarkEnd w:id="15"/>
      <w:r w:rsidRPr="00091B6D">
        <w:rPr>
          <w:rFonts w:ascii="Arial" w:eastAsia="Calibri" w:hAnsi="Arial" w:cs="Arial"/>
          <w:b/>
          <w:color w:val="auto"/>
          <w:sz w:val="20"/>
          <w:szCs w:val="20"/>
        </w:rPr>
        <w:t xml:space="preserve"> </w:t>
      </w:r>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Pr="00091B6D" w:rsidRDefault="00000EBA" w:rsidP="00000EBA">
      <w:pPr>
        <w:pStyle w:val="Ttulo2"/>
        <w:spacing w:line="240" w:lineRule="auto"/>
        <w:rPr>
          <w:rFonts w:ascii="Arial" w:hAnsi="Arial" w:cs="Arial"/>
          <w:b/>
          <w:color w:val="auto"/>
          <w:sz w:val="20"/>
          <w:szCs w:val="20"/>
        </w:rPr>
      </w:pPr>
      <w:bookmarkStart w:id="16" w:name="_Toc220077200"/>
      <w:r w:rsidRPr="00091B6D">
        <w:rPr>
          <w:rFonts w:ascii="Arial" w:hAnsi="Arial" w:cs="Arial"/>
          <w:b/>
          <w:color w:val="auto"/>
          <w:sz w:val="20"/>
          <w:szCs w:val="20"/>
        </w:rPr>
        <w:t>16. Responsabilidad Sobre la Presentación Razonable de la Información Contable:</w:t>
      </w:r>
      <w:bookmarkEnd w:id="16"/>
    </w:p>
    <w:p w:rsidR="00000EBA" w:rsidRPr="00091B6D" w:rsidRDefault="00000EBA" w:rsidP="00000EBA">
      <w:pPr>
        <w:tabs>
          <w:tab w:val="left" w:leader="underscore" w:pos="9639"/>
        </w:tabs>
        <w:spacing w:after="0" w:line="240" w:lineRule="auto"/>
        <w:jc w:val="both"/>
        <w:rPr>
          <w:rFonts w:ascii="Arial" w:hAnsi="Arial" w:cs="Arial"/>
          <w:sz w:val="20"/>
          <w:szCs w:val="20"/>
        </w:rPr>
      </w:pPr>
    </w:p>
    <w:p w:rsidR="00000EBA" w:rsidRDefault="00000EBA" w:rsidP="00000EBA">
      <w:pPr>
        <w:tabs>
          <w:tab w:val="left" w:leader="underscore" w:pos="9639"/>
        </w:tabs>
        <w:spacing w:after="0" w:line="240" w:lineRule="auto"/>
        <w:jc w:val="both"/>
        <w:rPr>
          <w:rFonts w:ascii="Arial" w:hAnsi="Arial" w:cs="Arial"/>
          <w:sz w:val="20"/>
          <w:szCs w:val="20"/>
        </w:rPr>
      </w:pPr>
      <w:r w:rsidRPr="00091B6D">
        <w:rPr>
          <w:rFonts w:ascii="Arial" w:hAnsi="Arial" w:cs="Arial"/>
          <w:sz w:val="20"/>
          <w:szCs w:val="20"/>
        </w:rPr>
        <w:t xml:space="preserve">“Bajo protesta de decir verdad declaramos que los Estados Financieros y sus notas, son razonablemente correctos y son responsabilidad del emisor”. </w:t>
      </w:r>
    </w:p>
    <w:p w:rsidR="00000EBA" w:rsidRPr="00091B6D" w:rsidRDefault="00000EBA" w:rsidP="00000EBA">
      <w:pPr>
        <w:rPr>
          <w:rFonts w:ascii="Arial" w:hAnsi="Arial" w:cs="Arial"/>
          <w:sz w:val="20"/>
          <w:szCs w:val="20"/>
        </w:rPr>
      </w:pPr>
    </w:p>
    <w:p w:rsidR="00000EBA" w:rsidRPr="00091B6D" w:rsidRDefault="00000EBA" w:rsidP="00000EBA">
      <w:pPr>
        <w:rPr>
          <w:rFonts w:ascii="Arial" w:hAnsi="Arial" w:cs="Arial"/>
          <w:sz w:val="20"/>
          <w:szCs w:val="20"/>
        </w:rPr>
      </w:pPr>
    </w:p>
    <w:p w:rsidR="00000EBA" w:rsidRPr="00091B6D" w:rsidRDefault="00000EBA" w:rsidP="00000EBA">
      <w:pPr>
        <w:rPr>
          <w:rFonts w:ascii="Arial" w:hAnsi="Arial" w:cs="Arial"/>
          <w:sz w:val="20"/>
          <w:szCs w:val="20"/>
        </w:rPr>
      </w:pPr>
    </w:p>
    <w:p w:rsidR="00000EBA" w:rsidRPr="00091B6D" w:rsidRDefault="009F482A" w:rsidP="00000EBA">
      <w:pPr>
        <w:rPr>
          <w:rFonts w:ascii="Arial" w:hAnsi="Arial" w:cs="Arial"/>
          <w:sz w:val="20"/>
          <w:szCs w:val="20"/>
        </w:rPr>
      </w:pPr>
      <w:r>
        <w:rPr>
          <w:noProof/>
        </w:rPr>
        <mc:AlternateContent>
          <mc:Choice Requires="wpg">
            <w:drawing>
              <wp:anchor distT="0" distB="0" distL="114300" distR="114300" simplePos="0" relativeHeight="251659264" behindDoc="0" locked="0" layoutInCell="1" allowOverlap="1" wp14:anchorId="39D3AC17" wp14:editId="087DB099">
                <wp:simplePos x="0" y="0"/>
                <wp:positionH relativeFrom="column">
                  <wp:posOffset>1017270</wp:posOffset>
                </wp:positionH>
                <wp:positionV relativeFrom="paragraph">
                  <wp:posOffset>5715</wp:posOffset>
                </wp:positionV>
                <wp:extent cx="6171565" cy="737870"/>
                <wp:effectExtent l="0" t="0" r="635" b="5080"/>
                <wp:wrapNone/>
                <wp:docPr id="9" name="Gru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171565" cy="737870"/>
                          <a:chOff x="0" y="0"/>
                          <a:chExt cx="3735512" cy="268795"/>
                        </a:xfrm>
                      </wpg:grpSpPr>
                      <wps:wsp>
                        <wps:cNvPr id="10" name="CuadroTexto 2">
                          <a:extLst/>
                        </wps:cNvPr>
                        <wps:cNvSpPr txBox="1"/>
                        <wps:spPr>
                          <a:xfrm>
                            <a:off x="0" y="0"/>
                            <a:ext cx="1506238" cy="268795"/>
                          </a:xfrm>
                          <a:prstGeom prst="rect">
                            <a:avLst/>
                          </a:prstGeom>
                          <a:solidFill>
                            <a:schemeClr val="lt1"/>
                          </a:solidFill>
                          <a:ln w="9525" cmpd="sng">
                            <a:noFill/>
                          </a:ln>
                          <a:effectLst/>
                          <a:extLst>
                            <a:ext uri="{91240B29-F687-4F45-9708-019B960494DF}">
                              <a14:hiddenLine xmlns:a14="http://schemas.microsoft.com/office/drawing/2010/main" w="9525" cmpd="sng">
                                <a:solidFill>
                                  <a:schemeClr val="lt1">
                                    <a:shade val="50000"/>
                                  </a:schemeClr>
                                </a:solidFill>
                              </a14:hiddenLine>
                            </a:ext>
                          </a:extLst>
                        </wps:spPr>
                        <wps:style>
                          <a:lnRef idx="0">
                            <a:scrgbClr r="0" g="0" b="0"/>
                          </a:lnRef>
                          <a:fillRef idx="0">
                            <a:scrgbClr r="0" g="0" b="0"/>
                          </a:fillRef>
                          <a:effectRef idx="0">
                            <a:scrgbClr r="0" g="0" b="0"/>
                          </a:effectRef>
                          <a:fontRef idx="minor">
                            <a:schemeClr val="dk1"/>
                          </a:fontRef>
                        </wps:style>
                        <wps:txbx>
                          <w:txbxContent>
                            <w:p w:rsidR="009F482A" w:rsidRDefault="009F482A" w:rsidP="009F482A">
                              <w:pPr>
                                <w:pStyle w:val="NormalWeb"/>
                                <w:spacing w:before="0" w:beforeAutospacing="0" w:after="0" w:afterAutospacing="0"/>
                              </w:pPr>
                              <w:r>
                                <w:rPr>
                                  <w:rFonts w:asciiTheme="minorHAnsi" w:hAnsi="Calibri" w:cstheme="minorBidi"/>
                                  <w:color w:val="000000" w:themeColor="dark1"/>
                                  <w:sz w:val="22"/>
                                  <w:szCs w:val="22"/>
                                </w:rPr>
                                <w:t>_________________________________</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Revisó</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 xml:space="preserve">C.P Carlos Pineda Gómez </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Director de Administración</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CECC</w:t>
                              </w:r>
                            </w:p>
                          </w:txbxContent>
                        </wps:txbx>
                        <wps:bodyPr vert="horz" wrap="none" rtlCol="0" anchor="t">
                          <a:spAutoFit/>
                        </wps:bodyPr>
                      </wps:wsp>
                      <wps:wsp>
                        <wps:cNvPr id="11" name="CuadroTexto 3">
                          <a:extLst/>
                        </wps:cNvPr>
                        <wps:cNvSpPr txBox="1"/>
                        <wps:spPr>
                          <a:xfrm>
                            <a:off x="2229274" y="0"/>
                            <a:ext cx="1506238" cy="268795"/>
                          </a:xfrm>
                          <a:prstGeom prst="rect">
                            <a:avLst/>
                          </a:prstGeom>
                          <a:solidFill>
                            <a:schemeClr val="lt1"/>
                          </a:solidFill>
                          <a:ln w="9525" cmpd="sng">
                            <a:noFill/>
                          </a:ln>
                          <a:effectLst/>
                          <a:extLst>
                            <a:ext uri="{91240B29-F687-4F45-9708-019B960494DF}">
                              <a14:hiddenLine xmlns:a14="http://schemas.microsoft.com/office/drawing/2010/main" w="9525" cmpd="sng">
                                <a:solidFill>
                                  <a:schemeClr val="lt1">
                                    <a:shade val="50000"/>
                                  </a:schemeClr>
                                </a:solidFill>
                              </a14:hiddenLine>
                            </a:ext>
                          </a:extLst>
                        </wps:spPr>
                        <wps:style>
                          <a:lnRef idx="0">
                            <a:scrgbClr r="0" g="0" b="0"/>
                          </a:lnRef>
                          <a:fillRef idx="0">
                            <a:scrgbClr r="0" g="0" b="0"/>
                          </a:fillRef>
                          <a:effectRef idx="0">
                            <a:scrgbClr r="0" g="0" b="0"/>
                          </a:effectRef>
                          <a:fontRef idx="minor">
                            <a:schemeClr val="dk1"/>
                          </a:fontRef>
                        </wps:style>
                        <wps:txbx>
                          <w:txbxContent>
                            <w:p w:rsidR="009F482A" w:rsidRDefault="009F482A" w:rsidP="009F482A">
                              <w:pPr>
                                <w:pStyle w:val="NormalWeb"/>
                                <w:spacing w:before="0" w:beforeAutospacing="0" w:after="0" w:afterAutospacing="0"/>
                              </w:pPr>
                              <w:r>
                                <w:rPr>
                                  <w:rFonts w:asciiTheme="minorHAnsi" w:hAnsi="Calibri" w:cstheme="minorBidi"/>
                                  <w:color w:val="000000" w:themeColor="dark1"/>
                                  <w:sz w:val="22"/>
                                  <w:szCs w:val="22"/>
                                </w:rPr>
                                <w:t>_________________________________</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Autorizó</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 xml:space="preserve">Lic. José Gustavo Saldívar Bautista </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Director General</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CECC</w:t>
                              </w:r>
                            </w:p>
                          </w:txbxContent>
                        </wps:txbx>
                        <wps:bodyPr vert="horz" wrap="none" rtlCol="0" anchor="t">
                          <a:spAutoFit/>
                        </wps:bodyPr>
                      </wps:wsp>
                    </wpg:wgp>
                  </a:graphicData>
                </a:graphic>
              </wp:anchor>
            </w:drawing>
          </mc:Choice>
          <mc:Fallback>
            <w:pict>
              <v:group w14:anchorId="39D3AC17" id="Grupo 1" o:spid="_x0000_s1026" style="position:absolute;margin-left:80.1pt;margin-top:.45pt;width:485.95pt;height:58.1pt;z-index:251659264" coordsize="37355,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">
                <v:shapetype id="_x0000_t202" coordsize="21600,21600" o:spt="202" path="m,l,21600r21600,l21600,xe">
                  <v:stroke joinstyle="miter"/>
                  <v:path gradientshapeok="t" o:connecttype="rect"/>
                </v:shapetype>
                <v:shape id="CuadroTexto 2" o:spid="_x0000_s1027" type="#_x0000_t202" style="position:absolute;width:15062;height:2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" fillcolor="white [3201]" stroked="f" strokecolor="#7f7f7f [1601]">
                  <v:textbox style="mso-fit-shape-to-text:t">
                    <w:txbxContent>
                      <w:p w:rsidR="009F482A" w:rsidRDefault="009F482A" w:rsidP="009F482A">
                        <w:pPr>
                          <w:pStyle w:val="NormalWeb"/>
                          <w:spacing w:before="0" w:beforeAutospacing="0" w:after="0" w:afterAutospacing="0"/>
                        </w:pPr>
                        <w:r>
                          <w:rPr>
                            <w:rFonts w:asciiTheme="minorHAnsi" w:hAnsi="Calibri" w:cstheme="minorBidi"/>
                            <w:color w:val="000000" w:themeColor="dark1"/>
                            <w:sz w:val="22"/>
                            <w:szCs w:val="22"/>
                          </w:rPr>
                          <w:t>_________________________________</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Revisó</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 xml:space="preserve">C.P Carlos Pineda Gómez </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Director de Administración</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CECC</w:t>
                        </w:r>
                      </w:p>
                    </w:txbxContent>
                  </v:textbox>
                </v:shape>
                <v:shape id="CuadroTexto 3" o:spid="_x0000_s1028" type="#_x0000_t202" style="position:absolute;left:22292;width:15063;height:2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" fillcolor="white [3201]" stroked="f" strokecolor="#7f7f7f [1601]">
                  <v:textbox style="mso-fit-shape-to-text:t">
                    <w:txbxContent>
                      <w:p w:rsidR="009F482A" w:rsidRDefault="009F482A" w:rsidP="009F482A">
                        <w:pPr>
                          <w:pStyle w:val="NormalWeb"/>
                          <w:spacing w:before="0" w:beforeAutospacing="0" w:after="0" w:afterAutospacing="0"/>
                        </w:pPr>
                        <w:r>
                          <w:rPr>
                            <w:rFonts w:asciiTheme="minorHAnsi" w:hAnsi="Calibri" w:cstheme="minorBidi"/>
                            <w:color w:val="000000" w:themeColor="dark1"/>
                            <w:sz w:val="22"/>
                            <w:szCs w:val="22"/>
                          </w:rPr>
                          <w:t>_________________________________</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Autorizó</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 xml:space="preserve">Lic. José Gustavo Saldívar Bautista </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Director General</w:t>
                        </w:r>
                      </w:p>
                      <w:p w:rsidR="009F482A" w:rsidRDefault="009F482A" w:rsidP="009F482A">
                        <w:pPr>
                          <w:pStyle w:val="NormalWeb"/>
                          <w:spacing w:before="0" w:beforeAutospacing="0" w:after="0" w:afterAutospacing="0"/>
                          <w:jc w:val="center"/>
                        </w:pPr>
                        <w:r>
                          <w:rPr>
                            <w:rFonts w:ascii="Arial" w:hAnsi="Arial" w:cstheme="minorBidi"/>
                            <w:color w:val="000000" w:themeColor="dark1"/>
                            <w:sz w:val="16"/>
                            <w:szCs w:val="16"/>
                          </w:rPr>
                          <w:t>CECC</w:t>
                        </w:r>
                      </w:p>
                    </w:txbxContent>
                  </v:textbox>
                </v:shape>
              </v:group>
            </w:pict>
          </mc:Fallback>
        </mc:AlternateContent>
      </w:r>
    </w:p>
    <w:p w:rsidR="00000EBA" w:rsidRPr="00091B6D" w:rsidRDefault="00000EBA" w:rsidP="00000EBA">
      <w:pPr>
        <w:rPr>
          <w:rFonts w:ascii="Arial" w:hAnsi="Arial" w:cs="Arial"/>
          <w:sz w:val="20"/>
          <w:szCs w:val="20"/>
        </w:rPr>
      </w:pPr>
    </w:p>
    <w:p w:rsidR="00000EBA" w:rsidRPr="00091B6D" w:rsidRDefault="00000EBA" w:rsidP="00000EBA">
      <w:pPr>
        <w:rPr>
          <w:rFonts w:ascii="Arial" w:hAnsi="Arial" w:cs="Arial"/>
          <w:sz w:val="20"/>
          <w:szCs w:val="20"/>
        </w:rPr>
      </w:pPr>
    </w:p>
    <w:p w:rsidR="00000EBA" w:rsidRPr="00091B6D" w:rsidRDefault="00000EBA" w:rsidP="00000EBA">
      <w:pPr>
        <w:rPr>
          <w:rFonts w:ascii="Arial" w:hAnsi="Arial" w:cs="Arial"/>
          <w:sz w:val="20"/>
          <w:szCs w:val="20"/>
        </w:rPr>
      </w:pPr>
    </w:p>
    <w:p w:rsidR="00000EBA" w:rsidRPr="00091B6D" w:rsidRDefault="00000EBA" w:rsidP="00000EBA">
      <w:pPr>
        <w:jc w:val="right"/>
        <w:rPr>
          <w:rFonts w:ascii="Arial" w:hAnsi="Arial" w:cs="Arial"/>
          <w:sz w:val="20"/>
          <w:szCs w:val="20"/>
        </w:rPr>
      </w:pPr>
    </w:p>
    <w:p w:rsidR="00A272EF" w:rsidRDefault="00A272EF"/>
    <w:sectPr w:rsidR="00A272EF" w:rsidSect="004C0484">
      <w:headerReference w:type="default" r:id="rId15"/>
      <w:footerReference w:type="default" r:id="rId16"/>
      <w:pgSz w:w="15840" w:h="12240" w:orient="landscape" w:code="1"/>
      <w:pgMar w:top="1418" w:right="1418"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B1A" w:rsidRDefault="00C03B1A" w:rsidP="00000EBA">
      <w:pPr>
        <w:spacing w:after="0" w:line="240" w:lineRule="auto"/>
      </w:pPr>
      <w:r>
        <w:separator/>
      </w:r>
    </w:p>
  </w:endnote>
  <w:endnote w:type="continuationSeparator" w:id="0">
    <w:p w:rsidR="00C03B1A" w:rsidRDefault="00C03B1A" w:rsidP="00000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5A" w:rsidRDefault="00C03B1A" w:rsidP="00000EBA">
    <w:pPr>
      <w:pStyle w:val="Piedepgina"/>
    </w:pPr>
  </w:p>
  <w:p w:rsidR="0012405A" w:rsidRDefault="00C03B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B1A" w:rsidRDefault="00C03B1A" w:rsidP="00000EBA">
      <w:pPr>
        <w:spacing w:after="0" w:line="240" w:lineRule="auto"/>
      </w:pPr>
      <w:r>
        <w:separator/>
      </w:r>
    </w:p>
  </w:footnote>
  <w:footnote w:type="continuationSeparator" w:id="0">
    <w:p w:rsidR="00C03B1A" w:rsidRDefault="00C03B1A" w:rsidP="00000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BA7" w:rsidRDefault="003B6BA7" w:rsidP="003B6BA7">
    <w:pPr>
      <w:pStyle w:val="Encabezado"/>
      <w:spacing w:after="0" w:line="240" w:lineRule="auto"/>
      <w:jc w:val="center"/>
    </w:pPr>
    <w:r>
      <w:t>CENTRO DE EVALUACIÓN Y CONTROL DE CONFIANZA DEL ESTADO DE GUANAJUATO</w:t>
    </w:r>
  </w:p>
  <w:p w:rsidR="003B6BA7" w:rsidRDefault="003B6BA7" w:rsidP="003B6BA7">
    <w:pPr>
      <w:pStyle w:val="Encabezado"/>
      <w:spacing w:after="0" w:line="240" w:lineRule="auto"/>
      <w:jc w:val="center"/>
    </w:pPr>
    <w:r w:rsidRPr="00A4610E">
      <w:t>CORRESPONDI</w:t>
    </w:r>
    <w:r>
      <w:t>E</w:t>
    </w:r>
    <w:r w:rsidRPr="00A4610E">
      <w:t xml:space="preserve">NTES AL </w:t>
    </w:r>
    <w:r>
      <w:t>3</w:t>
    </w:r>
    <w:r w:rsidR="00326757">
      <w:t>0</w:t>
    </w:r>
    <w:r>
      <w:t xml:space="preserve"> DE </w:t>
    </w:r>
    <w:r w:rsidR="00326757">
      <w:t>JUNIO</w:t>
    </w:r>
    <w:r>
      <w:t xml:space="preserve"> DE 2026</w:t>
    </w:r>
  </w:p>
  <w:p w:rsidR="003B6BA7" w:rsidRDefault="003B6B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610E" w:rsidRPr="00000EBA" w:rsidRDefault="00C03B1A" w:rsidP="00000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B4637"/>
    <w:multiLevelType w:val="hybridMultilevel"/>
    <w:tmpl w:val="DA7205E0"/>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416B5F80"/>
    <w:multiLevelType w:val="hybridMultilevel"/>
    <w:tmpl w:val="662E7E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12C2697"/>
    <w:multiLevelType w:val="hybridMultilevel"/>
    <w:tmpl w:val="31AE4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BA"/>
    <w:rsid w:val="00000EBA"/>
    <w:rsid w:val="000216FD"/>
    <w:rsid w:val="001E43D6"/>
    <w:rsid w:val="002564C0"/>
    <w:rsid w:val="00326757"/>
    <w:rsid w:val="003B6BA7"/>
    <w:rsid w:val="004B5861"/>
    <w:rsid w:val="005E0BBA"/>
    <w:rsid w:val="007D4E69"/>
    <w:rsid w:val="009A5E87"/>
    <w:rsid w:val="009F482A"/>
    <w:rsid w:val="00A272EF"/>
    <w:rsid w:val="00C03B1A"/>
    <w:rsid w:val="00DE4380"/>
    <w:rsid w:val="00E72D3A"/>
    <w:rsid w:val="00F31E1B"/>
    <w:rsid w:val="00F432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0D3B"/>
  <w15:chartTrackingRefBased/>
  <w15:docId w15:val="{AF7B9937-46A6-434E-9CEA-1083875B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EBA"/>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000E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00E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00EBA"/>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000EBA"/>
    <w:pPr>
      <w:ind w:left="720"/>
      <w:contextualSpacing/>
    </w:pPr>
  </w:style>
  <w:style w:type="character" w:styleId="Hipervnculo">
    <w:name w:val="Hyperlink"/>
    <w:uiPriority w:val="99"/>
    <w:unhideWhenUsed/>
    <w:rsid w:val="00000EBA"/>
    <w:rPr>
      <w:color w:val="0000FF"/>
      <w:u w:val="single"/>
    </w:rPr>
  </w:style>
  <w:style w:type="paragraph" w:styleId="Encabezado">
    <w:name w:val="header"/>
    <w:basedOn w:val="Normal"/>
    <w:link w:val="EncabezadoCar"/>
    <w:uiPriority w:val="99"/>
    <w:unhideWhenUsed/>
    <w:rsid w:val="00000EBA"/>
    <w:pPr>
      <w:tabs>
        <w:tab w:val="center" w:pos="4419"/>
        <w:tab w:val="right" w:pos="8838"/>
      </w:tabs>
    </w:pPr>
  </w:style>
  <w:style w:type="character" w:customStyle="1" w:styleId="EncabezadoCar">
    <w:name w:val="Encabezado Car"/>
    <w:basedOn w:val="Fuentedeprrafopredeter"/>
    <w:link w:val="Encabezado"/>
    <w:uiPriority w:val="99"/>
    <w:rsid w:val="00000EBA"/>
    <w:rPr>
      <w:rFonts w:ascii="Calibri" w:eastAsia="Calibri" w:hAnsi="Calibri" w:cs="Times New Roman"/>
    </w:rPr>
  </w:style>
  <w:style w:type="paragraph" w:styleId="Piedepgina">
    <w:name w:val="footer"/>
    <w:basedOn w:val="Normal"/>
    <w:link w:val="PiedepginaCar"/>
    <w:uiPriority w:val="99"/>
    <w:unhideWhenUsed/>
    <w:rsid w:val="00000EBA"/>
    <w:pPr>
      <w:tabs>
        <w:tab w:val="center" w:pos="4419"/>
        <w:tab w:val="right" w:pos="8838"/>
      </w:tabs>
    </w:pPr>
  </w:style>
  <w:style w:type="character" w:customStyle="1" w:styleId="PiedepginaCar">
    <w:name w:val="Pie de página Car"/>
    <w:basedOn w:val="Fuentedeprrafopredeter"/>
    <w:link w:val="Piedepgina"/>
    <w:uiPriority w:val="99"/>
    <w:rsid w:val="00000EBA"/>
    <w:rPr>
      <w:rFonts w:ascii="Calibri" w:eastAsia="Calibri" w:hAnsi="Calibri" w:cs="Times New Roman"/>
    </w:rPr>
  </w:style>
  <w:style w:type="character" w:customStyle="1" w:styleId="Ttulo1Car">
    <w:name w:val="Título 1 Car"/>
    <w:basedOn w:val="Fuentedeprrafopredeter"/>
    <w:link w:val="Ttulo1"/>
    <w:uiPriority w:val="9"/>
    <w:rsid w:val="00000EBA"/>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00EBA"/>
    <w:pPr>
      <w:spacing w:line="259" w:lineRule="auto"/>
      <w:outlineLvl w:val="9"/>
    </w:pPr>
    <w:rPr>
      <w:lang w:eastAsia="es-MX"/>
    </w:rPr>
  </w:style>
  <w:style w:type="paragraph" w:styleId="TDC2">
    <w:name w:val="toc 2"/>
    <w:basedOn w:val="Normal"/>
    <w:next w:val="Normal"/>
    <w:autoRedefine/>
    <w:uiPriority w:val="39"/>
    <w:unhideWhenUsed/>
    <w:rsid w:val="00000EBA"/>
    <w:pPr>
      <w:spacing w:after="100"/>
      <w:ind w:left="220"/>
    </w:pPr>
  </w:style>
  <w:style w:type="paragraph" w:customStyle="1" w:styleId="Texto">
    <w:name w:val="Texto"/>
    <w:basedOn w:val="Normal"/>
    <w:link w:val="TextoCar"/>
    <w:qFormat/>
    <w:rsid w:val="00000EBA"/>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00EBA"/>
    <w:rPr>
      <w:rFonts w:ascii="Arial" w:eastAsia="Times New Roman" w:hAnsi="Arial" w:cs="Arial"/>
      <w:sz w:val="18"/>
      <w:szCs w:val="20"/>
      <w:lang w:val="es-ES" w:eastAsia="es-ES"/>
    </w:rPr>
  </w:style>
  <w:style w:type="paragraph" w:styleId="NormalWeb">
    <w:name w:val="Normal (Web)"/>
    <w:basedOn w:val="Normal"/>
    <w:uiPriority w:val="99"/>
    <w:semiHidden/>
    <w:unhideWhenUsed/>
    <w:rsid w:val="009F482A"/>
    <w:pPr>
      <w:spacing w:before="100" w:beforeAutospacing="1" w:after="100" w:afterAutospacing="1" w:line="240" w:lineRule="auto"/>
    </w:pPr>
    <w:rPr>
      <w:rFonts w:ascii="Times New Roman" w:eastAsiaTheme="minorEastAsia"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corona/lquiroz/AppData/Local/Microsoft/Windows/Temporary%20Internet%20Files/Content.Outlook/HBGSO9P3/MODELO%20CTA%202013.pptx"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negi.org.m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15</Pages>
  <Words>3106</Words>
  <Characters>17089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Cecceg</dc:creator>
  <cp:keywords/>
  <dc:description/>
  <cp:lastModifiedBy>Cecceg</cp:lastModifiedBy>
  <cp:revision>6</cp:revision>
  <cp:lastPrinted>2026-04-21T14:57:00Z</cp:lastPrinted>
  <dcterms:created xsi:type="dcterms:W3CDTF">2026-04-15T20:27:00Z</dcterms:created>
  <dcterms:modified xsi:type="dcterms:W3CDTF">2026-07-13T18:16:00Z</dcterms:modified>
</cp:coreProperties>
</file>