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BA" w:rsidRPr="00091B6D" w:rsidRDefault="004B5861" w:rsidP="00000EBA">
      <w:pPr>
        <w:tabs>
          <w:tab w:val="left" w:leader="underscore" w:pos="9639"/>
        </w:tabs>
        <w:spacing w:after="0" w:line="240" w:lineRule="auto"/>
        <w:jc w:val="center"/>
        <w:rPr>
          <w:rFonts w:ascii="Arial" w:hAnsi="Arial" w:cs="Arial"/>
          <w:b/>
          <w:sz w:val="20"/>
          <w:szCs w:val="20"/>
        </w:rPr>
      </w:pPr>
      <w:hyperlink r:id="rId7" w:history="1">
        <w:r w:rsidR="00000EBA" w:rsidRPr="00091B6D">
          <w:rPr>
            <w:rStyle w:val="Hipervnculo"/>
            <w:rFonts w:ascii="Arial" w:hAnsi="Arial" w:cs="Arial"/>
            <w:b/>
            <w:sz w:val="20"/>
            <w:szCs w:val="20"/>
          </w:rPr>
          <w:t>NOTAS DE GESTIÓN ADMINISTRATIVA</w:t>
        </w:r>
      </w:hyperlink>
    </w:p>
    <w:p w:rsidR="00000EBA" w:rsidRPr="00091B6D" w:rsidRDefault="00000EBA" w:rsidP="00000EBA">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rsidR="00000EBA" w:rsidRPr="00091B6D" w:rsidRDefault="00000EBA" w:rsidP="00000EBA">
          <w:pPr>
            <w:pStyle w:val="TtuloTDC"/>
            <w:spacing w:line="240" w:lineRule="auto"/>
            <w:rPr>
              <w:rFonts w:ascii="Arial" w:hAnsi="Arial" w:cs="Arial"/>
              <w:sz w:val="20"/>
              <w:szCs w:val="20"/>
              <w:lang w:val="es-ES"/>
            </w:rPr>
          </w:pPr>
          <w:r w:rsidRPr="00091B6D">
            <w:rPr>
              <w:rFonts w:ascii="Arial" w:hAnsi="Arial" w:cs="Arial"/>
              <w:sz w:val="20"/>
              <w:szCs w:val="20"/>
              <w:lang w:val="es-ES"/>
            </w:rPr>
            <w:t>Contenido</w:t>
          </w:r>
        </w:p>
        <w:p w:rsidR="00000EBA" w:rsidRPr="00091B6D" w:rsidRDefault="00000EBA" w:rsidP="00000EBA">
          <w:pPr>
            <w:spacing w:line="240" w:lineRule="auto"/>
            <w:rPr>
              <w:rFonts w:ascii="Arial" w:hAnsi="Arial" w:cs="Arial"/>
              <w:sz w:val="20"/>
              <w:szCs w:val="20"/>
              <w:lang w:val="es-ES" w:eastAsia="es-MX"/>
            </w:rPr>
          </w:pPr>
        </w:p>
        <w:p w:rsidR="00000EBA" w:rsidRDefault="00000EBA">
          <w:pPr>
            <w:pStyle w:val="TDC2"/>
            <w:tabs>
              <w:tab w:val="right" w:leader="dot" w:pos="13278"/>
            </w:tabs>
            <w:rPr>
              <w:rFonts w:asciiTheme="minorHAnsi" w:eastAsiaTheme="minorEastAsia" w:hAnsiTheme="minorHAnsi" w:cstheme="minorBidi"/>
              <w:noProof/>
              <w:lang w:eastAsia="es-MX"/>
            </w:rPr>
          </w:pPr>
          <w:r w:rsidRPr="00091B6D">
            <w:rPr>
              <w:rFonts w:ascii="Arial" w:hAnsi="Arial" w:cs="Arial"/>
              <w:sz w:val="20"/>
              <w:szCs w:val="20"/>
            </w:rPr>
            <w:fldChar w:fldCharType="begin"/>
          </w:r>
          <w:r w:rsidRPr="00091B6D">
            <w:rPr>
              <w:rFonts w:ascii="Arial" w:hAnsi="Arial" w:cs="Arial"/>
              <w:sz w:val="20"/>
              <w:szCs w:val="20"/>
            </w:rPr>
            <w:instrText xml:space="preserve"> TOC \o "1-3" \h \z \u </w:instrText>
          </w:r>
          <w:r w:rsidRPr="00091B6D">
            <w:rPr>
              <w:rFonts w:ascii="Arial" w:hAnsi="Arial" w:cs="Arial"/>
              <w:sz w:val="20"/>
              <w:szCs w:val="20"/>
            </w:rPr>
            <w:fldChar w:fldCharType="separate"/>
          </w:r>
          <w:hyperlink w:anchor="_Toc220077185" w:history="1">
            <w:r w:rsidRPr="00495280">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_Toc220077185 \h </w:instrText>
            </w:r>
            <w:r>
              <w:rPr>
                <w:noProof/>
                <w:webHidden/>
              </w:rPr>
            </w:r>
            <w:r>
              <w:rPr>
                <w:noProof/>
                <w:webHidden/>
              </w:rPr>
              <w:fldChar w:fldCharType="separate"/>
            </w:r>
            <w:r w:rsidR="002564C0">
              <w:rPr>
                <w:noProof/>
                <w:webHidden/>
              </w:rPr>
              <w:t>2</w:t>
            </w:r>
            <w:r>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86" w:history="1">
            <w:r w:rsidR="00000EBA" w:rsidRPr="00495280">
              <w:rPr>
                <w:rStyle w:val="Hipervnculo"/>
                <w:rFonts w:ascii="Arial" w:hAnsi="Arial" w:cs="Arial"/>
                <w:b/>
                <w:noProof/>
              </w:rPr>
              <w:t>2. Panorama Económico y Financiero</w:t>
            </w:r>
            <w:r w:rsidR="00000EBA">
              <w:rPr>
                <w:noProof/>
                <w:webHidden/>
              </w:rPr>
              <w:tab/>
            </w:r>
            <w:r w:rsidR="00000EBA">
              <w:rPr>
                <w:noProof/>
                <w:webHidden/>
              </w:rPr>
              <w:fldChar w:fldCharType="begin"/>
            </w:r>
            <w:r w:rsidR="00000EBA">
              <w:rPr>
                <w:noProof/>
                <w:webHidden/>
              </w:rPr>
              <w:instrText xml:space="preserve"> PAGEREF _Toc220077186 \h </w:instrText>
            </w:r>
            <w:r w:rsidR="00000EBA">
              <w:rPr>
                <w:noProof/>
                <w:webHidden/>
              </w:rPr>
            </w:r>
            <w:r w:rsidR="00000EBA">
              <w:rPr>
                <w:noProof/>
                <w:webHidden/>
              </w:rPr>
              <w:fldChar w:fldCharType="separate"/>
            </w:r>
            <w:r w:rsidR="002564C0">
              <w:rPr>
                <w:noProof/>
                <w:webHidden/>
              </w:rPr>
              <w:t>4</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87" w:history="1">
            <w:r w:rsidR="00000EBA" w:rsidRPr="00495280">
              <w:rPr>
                <w:rStyle w:val="Hipervnculo"/>
                <w:rFonts w:ascii="Arial" w:hAnsi="Arial" w:cs="Arial"/>
                <w:b/>
                <w:noProof/>
              </w:rPr>
              <w:t>3. Organización y Objeto Social:</w:t>
            </w:r>
            <w:r w:rsidR="00000EBA">
              <w:rPr>
                <w:noProof/>
                <w:webHidden/>
              </w:rPr>
              <w:tab/>
            </w:r>
            <w:r w:rsidR="00000EBA">
              <w:rPr>
                <w:noProof/>
                <w:webHidden/>
              </w:rPr>
              <w:fldChar w:fldCharType="begin"/>
            </w:r>
            <w:r w:rsidR="00000EBA">
              <w:rPr>
                <w:noProof/>
                <w:webHidden/>
              </w:rPr>
              <w:instrText xml:space="preserve"> PAGEREF _Toc220077187 \h </w:instrText>
            </w:r>
            <w:r w:rsidR="00000EBA">
              <w:rPr>
                <w:noProof/>
                <w:webHidden/>
              </w:rPr>
            </w:r>
            <w:r w:rsidR="00000EBA">
              <w:rPr>
                <w:noProof/>
                <w:webHidden/>
              </w:rPr>
              <w:fldChar w:fldCharType="separate"/>
            </w:r>
            <w:r w:rsidR="002564C0">
              <w:rPr>
                <w:noProof/>
                <w:webHidden/>
              </w:rPr>
              <w:t>4</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88" w:history="1">
            <w:r w:rsidR="00000EBA" w:rsidRPr="00495280">
              <w:rPr>
                <w:rStyle w:val="Hipervnculo"/>
                <w:rFonts w:ascii="Arial" w:hAnsi="Arial" w:cs="Arial"/>
                <w:b/>
                <w:noProof/>
              </w:rPr>
              <w:t>4. Bases de Preparación de los Estados Financieros:</w:t>
            </w:r>
            <w:r w:rsidR="00000EBA">
              <w:rPr>
                <w:noProof/>
                <w:webHidden/>
              </w:rPr>
              <w:tab/>
            </w:r>
            <w:r w:rsidR="00000EBA">
              <w:rPr>
                <w:noProof/>
                <w:webHidden/>
              </w:rPr>
              <w:fldChar w:fldCharType="begin"/>
            </w:r>
            <w:r w:rsidR="00000EBA">
              <w:rPr>
                <w:noProof/>
                <w:webHidden/>
              </w:rPr>
              <w:instrText xml:space="preserve"> PAGEREF _Toc220077188 \h </w:instrText>
            </w:r>
            <w:r w:rsidR="00000EBA">
              <w:rPr>
                <w:noProof/>
                <w:webHidden/>
              </w:rPr>
            </w:r>
            <w:r w:rsidR="00000EBA">
              <w:rPr>
                <w:noProof/>
                <w:webHidden/>
              </w:rPr>
              <w:fldChar w:fldCharType="separate"/>
            </w:r>
            <w:r w:rsidR="002564C0">
              <w:rPr>
                <w:noProof/>
                <w:webHidden/>
              </w:rPr>
              <w:t>8</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89" w:history="1">
            <w:r w:rsidR="00000EBA" w:rsidRPr="00495280">
              <w:rPr>
                <w:rStyle w:val="Hipervnculo"/>
                <w:rFonts w:ascii="Arial" w:hAnsi="Arial" w:cs="Arial"/>
                <w:b/>
                <w:noProof/>
              </w:rPr>
              <w:t>5. Políticas de Contabilidad Significativas:</w:t>
            </w:r>
            <w:r w:rsidR="00000EBA">
              <w:rPr>
                <w:noProof/>
                <w:webHidden/>
              </w:rPr>
              <w:tab/>
            </w:r>
            <w:r w:rsidR="00000EBA">
              <w:rPr>
                <w:noProof/>
                <w:webHidden/>
              </w:rPr>
              <w:fldChar w:fldCharType="begin"/>
            </w:r>
            <w:r w:rsidR="00000EBA">
              <w:rPr>
                <w:noProof/>
                <w:webHidden/>
              </w:rPr>
              <w:instrText xml:space="preserve"> PAGEREF _Toc220077189 \h </w:instrText>
            </w:r>
            <w:r w:rsidR="00000EBA">
              <w:rPr>
                <w:noProof/>
                <w:webHidden/>
              </w:rPr>
            </w:r>
            <w:r w:rsidR="00000EBA">
              <w:rPr>
                <w:noProof/>
                <w:webHidden/>
              </w:rPr>
              <w:fldChar w:fldCharType="separate"/>
            </w:r>
            <w:r w:rsidR="002564C0">
              <w:rPr>
                <w:noProof/>
                <w:webHidden/>
              </w:rPr>
              <w:t>9</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0" w:history="1">
            <w:r w:rsidR="00000EBA" w:rsidRPr="00495280">
              <w:rPr>
                <w:rStyle w:val="Hipervnculo"/>
                <w:rFonts w:ascii="Arial" w:hAnsi="Arial" w:cs="Arial"/>
                <w:b/>
                <w:noProof/>
              </w:rPr>
              <w:t>6. Posición en Moneda Extranjera y Protección por Riesgo Cambiario:</w:t>
            </w:r>
            <w:r w:rsidR="00000EBA">
              <w:rPr>
                <w:noProof/>
                <w:webHidden/>
              </w:rPr>
              <w:tab/>
            </w:r>
            <w:r w:rsidR="00000EBA">
              <w:rPr>
                <w:noProof/>
                <w:webHidden/>
              </w:rPr>
              <w:fldChar w:fldCharType="begin"/>
            </w:r>
            <w:r w:rsidR="00000EBA">
              <w:rPr>
                <w:noProof/>
                <w:webHidden/>
              </w:rPr>
              <w:instrText xml:space="preserve"> PAGEREF _Toc220077190 \h </w:instrText>
            </w:r>
            <w:r w:rsidR="00000EBA">
              <w:rPr>
                <w:noProof/>
                <w:webHidden/>
              </w:rPr>
            </w:r>
            <w:r w:rsidR="00000EBA">
              <w:rPr>
                <w:noProof/>
                <w:webHidden/>
              </w:rPr>
              <w:fldChar w:fldCharType="separate"/>
            </w:r>
            <w:r w:rsidR="002564C0">
              <w:rPr>
                <w:noProof/>
                <w:webHidden/>
              </w:rPr>
              <w:t>10</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1" w:history="1">
            <w:r w:rsidR="00000EBA" w:rsidRPr="00495280">
              <w:rPr>
                <w:rStyle w:val="Hipervnculo"/>
                <w:rFonts w:ascii="Arial" w:hAnsi="Arial" w:cs="Arial"/>
                <w:b/>
                <w:noProof/>
              </w:rPr>
              <w:t>7. Reporte Analítico del Activo:</w:t>
            </w:r>
            <w:r w:rsidR="00000EBA">
              <w:rPr>
                <w:noProof/>
                <w:webHidden/>
              </w:rPr>
              <w:tab/>
            </w:r>
            <w:r w:rsidR="00000EBA">
              <w:rPr>
                <w:noProof/>
                <w:webHidden/>
              </w:rPr>
              <w:fldChar w:fldCharType="begin"/>
            </w:r>
            <w:r w:rsidR="00000EBA">
              <w:rPr>
                <w:noProof/>
                <w:webHidden/>
              </w:rPr>
              <w:instrText xml:space="preserve"> PAGEREF _Toc220077191 \h </w:instrText>
            </w:r>
            <w:r w:rsidR="00000EBA">
              <w:rPr>
                <w:noProof/>
                <w:webHidden/>
              </w:rPr>
            </w:r>
            <w:r w:rsidR="00000EBA">
              <w:rPr>
                <w:noProof/>
                <w:webHidden/>
              </w:rPr>
              <w:fldChar w:fldCharType="separate"/>
            </w:r>
            <w:r w:rsidR="002564C0">
              <w:rPr>
                <w:noProof/>
                <w:webHidden/>
              </w:rPr>
              <w:t>11</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2" w:history="1">
            <w:r w:rsidR="00000EBA" w:rsidRPr="00495280">
              <w:rPr>
                <w:rStyle w:val="Hipervnculo"/>
                <w:rFonts w:ascii="Arial" w:hAnsi="Arial" w:cs="Arial"/>
                <w:b/>
                <w:noProof/>
              </w:rPr>
              <w:t>8. Fideicomisos, Mandatos y Análogos:</w:t>
            </w:r>
            <w:r w:rsidR="00000EBA">
              <w:rPr>
                <w:noProof/>
                <w:webHidden/>
              </w:rPr>
              <w:tab/>
            </w:r>
            <w:r w:rsidR="00000EBA">
              <w:rPr>
                <w:noProof/>
                <w:webHidden/>
              </w:rPr>
              <w:fldChar w:fldCharType="begin"/>
            </w:r>
            <w:r w:rsidR="00000EBA">
              <w:rPr>
                <w:noProof/>
                <w:webHidden/>
              </w:rPr>
              <w:instrText xml:space="preserve"> PAGEREF _Toc220077192 \h </w:instrText>
            </w:r>
            <w:r w:rsidR="00000EBA">
              <w:rPr>
                <w:noProof/>
                <w:webHidden/>
              </w:rPr>
            </w:r>
            <w:r w:rsidR="00000EBA">
              <w:rPr>
                <w:noProof/>
                <w:webHidden/>
              </w:rPr>
              <w:fldChar w:fldCharType="separate"/>
            </w:r>
            <w:r w:rsidR="002564C0">
              <w:rPr>
                <w:noProof/>
                <w:webHidden/>
              </w:rPr>
              <w:t>12</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3" w:history="1">
            <w:r w:rsidR="00000EBA" w:rsidRPr="00495280">
              <w:rPr>
                <w:rStyle w:val="Hipervnculo"/>
                <w:rFonts w:ascii="Arial" w:hAnsi="Arial" w:cs="Arial"/>
                <w:b/>
                <w:noProof/>
              </w:rPr>
              <w:t>9. Reporte de la Recaudación:</w:t>
            </w:r>
            <w:r w:rsidR="00000EBA">
              <w:rPr>
                <w:noProof/>
                <w:webHidden/>
              </w:rPr>
              <w:tab/>
            </w:r>
            <w:r w:rsidR="00000EBA">
              <w:rPr>
                <w:noProof/>
                <w:webHidden/>
              </w:rPr>
              <w:fldChar w:fldCharType="begin"/>
            </w:r>
            <w:r w:rsidR="00000EBA">
              <w:rPr>
                <w:noProof/>
                <w:webHidden/>
              </w:rPr>
              <w:instrText xml:space="preserve"> PAGEREF _Toc220077193 \h </w:instrText>
            </w:r>
            <w:r w:rsidR="00000EBA">
              <w:rPr>
                <w:noProof/>
                <w:webHidden/>
              </w:rPr>
            </w:r>
            <w:r w:rsidR="00000EBA">
              <w:rPr>
                <w:noProof/>
                <w:webHidden/>
              </w:rPr>
              <w:fldChar w:fldCharType="separate"/>
            </w:r>
            <w:r w:rsidR="002564C0">
              <w:rPr>
                <w:noProof/>
                <w:webHidden/>
              </w:rPr>
              <w:t>13</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4" w:history="1">
            <w:r w:rsidR="00000EBA" w:rsidRPr="00495280">
              <w:rPr>
                <w:rStyle w:val="Hipervnculo"/>
                <w:rFonts w:ascii="Arial" w:hAnsi="Arial" w:cs="Arial"/>
                <w:b/>
                <w:noProof/>
              </w:rPr>
              <w:t>10. Información sobre la Deuda y el Reporte Analítico de la Deuda:</w:t>
            </w:r>
            <w:r w:rsidR="00000EBA">
              <w:rPr>
                <w:noProof/>
                <w:webHidden/>
              </w:rPr>
              <w:tab/>
            </w:r>
            <w:r w:rsidR="00000EBA">
              <w:rPr>
                <w:noProof/>
                <w:webHidden/>
              </w:rPr>
              <w:fldChar w:fldCharType="begin"/>
            </w:r>
            <w:r w:rsidR="00000EBA">
              <w:rPr>
                <w:noProof/>
                <w:webHidden/>
              </w:rPr>
              <w:instrText xml:space="preserve"> PAGEREF _Toc220077194 \h </w:instrText>
            </w:r>
            <w:r w:rsidR="00000EBA">
              <w:rPr>
                <w:noProof/>
                <w:webHidden/>
              </w:rPr>
            </w:r>
            <w:r w:rsidR="00000EBA">
              <w:rPr>
                <w:noProof/>
                <w:webHidden/>
              </w:rPr>
              <w:fldChar w:fldCharType="separate"/>
            </w:r>
            <w:r w:rsidR="002564C0">
              <w:rPr>
                <w:noProof/>
                <w:webHidden/>
              </w:rPr>
              <w:t>14</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5" w:history="1">
            <w:r w:rsidR="00000EBA" w:rsidRPr="00495280">
              <w:rPr>
                <w:rStyle w:val="Hipervnculo"/>
                <w:rFonts w:ascii="Arial" w:hAnsi="Arial" w:cs="Arial"/>
                <w:b/>
                <w:noProof/>
              </w:rPr>
              <w:t>11. Calificaciones otorgadas:</w:t>
            </w:r>
            <w:r w:rsidR="00000EBA">
              <w:rPr>
                <w:noProof/>
                <w:webHidden/>
              </w:rPr>
              <w:tab/>
            </w:r>
            <w:r w:rsidR="00000EBA">
              <w:rPr>
                <w:noProof/>
                <w:webHidden/>
              </w:rPr>
              <w:fldChar w:fldCharType="begin"/>
            </w:r>
            <w:r w:rsidR="00000EBA">
              <w:rPr>
                <w:noProof/>
                <w:webHidden/>
              </w:rPr>
              <w:instrText xml:space="preserve"> PAGEREF _Toc220077195 \h </w:instrText>
            </w:r>
            <w:r w:rsidR="00000EBA">
              <w:rPr>
                <w:noProof/>
                <w:webHidden/>
              </w:rPr>
            </w:r>
            <w:r w:rsidR="00000EBA">
              <w:rPr>
                <w:noProof/>
                <w:webHidden/>
              </w:rPr>
              <w:fldChar w:fldCharType="separate"/>
            </w:r>
            <w:r w:rsidR="002564C0">
              <w:rPr>
                <w:noProof/>
                <w:webHidden/>
              </w:rPr>
              <w:t>14</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6" w:history="1">
            <w:r w:rsidR="00000EBA" w:rsidRPr="00495280">
              <w:rPr>
                <w:rStyle w:val="Hipervnculo"/>
                <w:rFonts w:ascii="Arial" w:hAnsi="Arial" w:cs="Arial"/>
                <w:b/>
                <w:noProof/>
              </w:rPr>
              <w:t>12. Proceso de Mejora:</w:t>
            </w:r>
            <w:r w:rsidR="00000EBA">
              <w:rPr>
                <w:noProof/>
                <w:webHidden/>
              </w:rPr>
              <w:tab/>
            </w:r>
            <w:r w:rsidR="00000EBA">
              <w:rPr>
                <w:noProof/>
                <w:webHidden/>
              </w:rPr>
              <w:fldChar w:fldCharType="begin"/>
            </w:r>
            <w:r w:rsidR="00000EBA">
              <w:rPr>
                <w:noProof/>
                <w:webHidden/>
              </w:rPr>
              <w:instrText xml:space="preserve"> PAGEREF _Toc220077196 \h </w:instrText>
            </w:r>
            <w:r w:rsidR="00000EBA">
              <w:rPr>
                <w:noProof/>
                <w:webHidden/>
              </w:rPr>
            </w:r>
            <w:r w:rsidR="00000EBA">
              <w:rPr>
                <w:noProof/>
                <w:webHidden/>
              </w:rPr>
              <w:fldChar w:fldCharType="separate"/>
            </w:r>
            <w:r w:rsidR="002564C0">
              <w:rPr>
                <w:noProof/>
                <w:webHidden/>
              </w:rPr>
              <w:t>14</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7" w:history="1">
            <w:r w:rsidR="00000EBA" w:rsidRPr="00495280">
              <w:rPr>
                <w:rStyle w:val="Hipervnculo"/>
                <w:rFonts w:ascii="Arial" w:hAnsi="Arial" w:cs="Arial"/>
                <w:b/>
                <w:noProof/>
              </w:rPr>
              <w:t>13. Información por Segmentos: “Esta nota no le aplica al ente público”</w:t>
            </w:r>
            <w:r w:rsidR="00000EBA">
              <w:rPr>
                <w:noProof/>
                <w:webHidden/>
              </w:rPr>
              <w:tab/>
            </w:r>
            <w:r w:rsidR="00000EBA">
              <w:rPr>
                <w:noProof/>
                <w:webHidden/>
              </w:rPr>
              <w:fldChar w:fldCharType="begin"/>
            </w:r>
            <w:r w:rsidR="00000EBA">
              <w:rPr>
                <w:noProof/>
                <w:webHidden/>
              </w:rPr>
              <w:instrText xml:space="preserve"> PAGEREF _Toc220077197 \h </w:instrText>
            </w:r>
            <w:r w:rsidR="00000EBA">
              <w:rPr>
                <w:noProof/>
                <w:webHidden/>
              </w:rPr>
            </w:r>
            <w:r w:rsidR="00000EBA">
              <w:rPr>
                <w:noProof/>
                <w:webHidden/>
              </w:rPr>
              <w:fldChar w:fldCharType="separate"/>
            </w:r>
            <w:r w:rsidR="002564C0">
              <w:rPr>
                <w:noProof/>
                <w:webHidden/>
              </w:rPr>
              <w:t>15</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8" w:history="1">
            <w:r w:rsidR="00000EBA" w:rsidRPr="00495280">
              <w:rPr>
                <w:rStyle w:val="Hipervnculo"/>
                <w:rFonts w:ascii="Arial" w:hAnsi="Arial" w:cs="Arial"/>
                <w:b/>
                <w:noProof/>
              </w:rPr>
              <w:t>14. Eventos Posteriores al Cierre: “Esta nota no le aplica al ente público”</w:t>
            </w:r>
            <w:r w:rsidR="00000EBA">
              <w:rPr>
                <w:noProof/>
                <w:webHidden/>
              </w:rPr>
              <w:tab/>
            </w:r>
            <w:r w:rsidR="00000EBA">
              <w:rPr>
                <w:noProof/>
                <w:webHidden/>
              </w:rPr>
              <w:fldChar w:fldCharType="begin"/>
            </w:r>
            <w:r w:rsidR="00000EBA">
              <w:rPr>
                <w:noProof/>
                <w:webHidden/>
              </w:rPr>
              <w:instrText xml:space="preserve"> PAGEREF _Toc220077198 \h </w:instrText>
            </w:r>
            <w:r w:rsidR="00000EBA">
              <w:rPr>
                <w:noProof/>
                <w:webHidden/>
              </w:rPr>
            </w:r>
            <w:r w:rsidR="00000EBA">
              <w:rPr>
                <w:noProof/>
                <w:webHidden/>
              </w:rPr>
              <w:fldChar w:fldCharType="separate"/>
            </w:r>
            <w:r w:rsidR="002564C0">
              <w:rPr>
                <w:noProof/>
                <w:webHidden/>
              </w:rPr>
              <w:t>15</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199" w:history="1">
            <w:r w:rsidR="00000EBA" w:rsidRPr="00495280">
              <w:rPr>
                <w:rStyle w:val="Hipervnculo"/>
                <w:rFonts w:ascii="Arial" w:hAnsi="Arial" w:cs="Arial"/>
                <w:b/>
                <w:noProof/>
              </w:rPr>
              <w:t>15. Partes Relacionadas: “Esta nota no le aplica al ente público”</w:t>
            </w:r>
            <w:r w:rsidR="00000EBA">
              <w:rPr>
                <w:noProof/>
                <w:webHidden/>
              </w:rPr>
              <w:tab/>
            </w:r>
            <w:r w:rsidR="00000EBA">
              <w:rPr>
                <w:noProof/>
                <w:webHidden/>
              </w:rPr>
              <w:fldChar w:fldCharType="begin"/>
            </w:r>
            <w:r w:rsidR="00000EBA">
              <w:rPr>
                <w:noProof/>
                <w:webHidden/>
              </w:rPr>
              <w:instrText xml:space="preserve"> PAGEREF _Toc220077199 \h </w:instrText>
            </w:r>
            <w:r w:rsidR="00000EBA">
              <w:rPr>
                <w:noProof/>
                <w:webHidden/>
              </w:rPr>
            </w:r>
            <w:r w:rsidR="00000EBA">
              <w:rPr>
                <w:noProof/>
                <w:webHidden/>
              </w:rPr>
              <w:fldChar w:fldCharType="separate"/>
            </w:r>
            <w:r w:rsidR="002564C0">
              <w:rPr>
                <w:noProof/>
                <w:webHidden/>
              </w:rPr>
              <w:t>15</w:t>
            </w:r>
            <w:r w:rsidR="00000EBA">
              <w:rPr>
                <w:noProof/>
                <w:webHidden/>
              </w:rPr>
              <w:fldChar w:fldCharType="end"/>
            </w:r>
          </w:hyperlink>
        </w:p>
        <w:p w:rsidR="00000EBA" w:rsidRDefault="004B5861">
          <w:pPr>
            <w:pStyle w:val="TDC2"/>
            <w:tabs>
              <w:tab w:val="right" w:leader="dot" w:pos="13278"/>
            </w:tabs>
            <w:rPr>
              <w:rFonts w:asciiTheme="minorHAnsi" w:eastAsiaTheme="minorEastAsia" w:hAnsiTheme="minorHAnsi" w:cstheme="minorBidi"/>
              <w:noProof/>
              <w:lang w:eastAsia="es-MX"/>
            </w:rPr>
          </w:pPr>
          <w:hyperlink w:anchor="_Toc220077200" w:history="1">
            <w:r w:rsidR="00000EBA" w:rsidRPr="00495280">
              <w:rPr>
                <w:rStyle w:val="Hipervnculo"/>
                <w:rFonts w:ascii="Arial" w:hAnsi="Arial" w:cs="Arial"/>
                <w:b/>
                <w:noProof/>
              </w:rPr>
              <w:t>16. Responsabilidad Sobre la Presentación Razonable de la Información Contable:</w:t>
            </w:r>
            <w:r w:rsidR="00000EBA">
              <w:rPr>
                <w:noProof/>
                <w:webHidden/>
              </w:rPr>
              <w:tab/>
            </w:r>
            <w:r w:rsidR="00000EBA">
              <w:rPr>
                <w:noProof/>
                <w:webHidden/>
              </w:rPr>
              <w:fldChar w:fldCharType="begin"/>
            </w:r>
            <w:r w:rsidR="00000EBA">
              <w:rPr>
                <w:noProof/>
                <w:webHidden/>
              </w:rPr>
              <w:instrText xml:space="preserve"> PAGEREF _Toc220077200 \h </w:instrText>
            </w:r>
            <w:r w:rsidR="00000EBA">
              <w:rPr>
                <w:noProof/>
                <w:webHidden/>
              </w:rPr>
            </w:r>
            <w:r w:rsidR="00000EBA">
              <w:rPr>
                <w:noProof/>
                <w:webHidden/>
              </w:rPr>
              <w:fldChar w:fldCharType="separate"/>
            </w:r>
            <w:r w:rsidR="002564C0">
              <w:rPr>
                <w:noProof/>
                <w:webHidden/>
              </w:rPr>
              <w:t>15</w:t>
            </w:r>
            <w:r w:rsidR="00000EBA">
              <w:rPr>
                <w:noProof/>
                <w:webHidden/>
              </w:rPr>
              <w:fldChar w:fldCharType="end"/>
            </w:r>
          </w:hyperlink>
        </w:p>
        <w:p w:rsidR="00000EBA" w:rsidRPr="00091B6D" w:rsidRDefault="00000EBA" w:rsidP="00000EBA">
          <w:pPr>
            <w:spacing w:line="240" w:lineRule="auto"/>
            <w:rPr>
              <w:rFonts w:ascii="Arial" w:hAnsi="Arial" w:cs="Arial"/>
              <w:sz w:val="20"/>
              <w:szCs w:val="20"/>
            </w:rPr>
          </w:pPr>
          <w:r w:rsidRPr="00091B6D">
            <w:rPr>
              <w:rFonts w:ascii="Arial" w:hAnsi="Arial" w:cs="Arial"/>
              <w:b/>
              <w:bCs/>
              <w:sz w:val="20"/>
              <w:szCs w:val="20"/>
              <w:lang w:val="es-ES"/>
            </w:rPr>
            <w:fldChar w:fldCharType="end"/>
          </w:r>
        </w:p>
      </w:sdtContent>
    </w:sdt>
    <w:p w:rsidR="00000EBA" w:rsidRDefault="00000EBA" w:rsidP="00000EBA">
      <w:pPr>
        <w:spacing w:after="0" w:line="240" w:lineRule="auto"/>
        <w:rPr>
          <w:rFonts w:ascii="Arial" w:eastAsiaTheme="majorEastAsia" w:hAnsi="Arial" w:cs="Arial"/>
          <w:b/>
          <w:sz w:val="20"/>
          <w:szCs w:val="20"/>
        </w:rPr>
      </w:pPr>
      <w:r>
        <w:rPr>
          <w:rFonts w:ascii="Arial" w:hAnsi="Arial" w:cs="Arial"/>
          <w:b/>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0" w:name="_Toc220077185"/>
      <w:r w:rsidRPr="00091B6D">
        <w:rPr>
          <w:rFonts w:ascii="Arial" w:hAnsi="Arial" w:cs="Arial"/>
          <w:b/>
          <w:color w:val="auto"/>
          <w:sz w:val="20"/>
          <w:szCs w:val="20"/>
        </w:rPr>
        <w:lastRenderedPageBreak/>
        <w:t>1. Autorización e Historia:</w:t>
      </w:r>
      <w:bookmarkEnd w:id="0"/>
    </w:p>
    <w:p w:rsidR="00000EBA" w:rsidRPr="00091B6D" w:rsidRDefault="00000EBA" w:rsidP="00000EBA">
      <w:pPr>
        <w:spacing w:line="240" w:lineRule="auto"/>
        <w:rPr>
          <w:rFonts w:ascii="Arial" w:hAnsi="Arial" w:cs="Arial"/>
          <w:sz w:val="20"/>
          <w:szCs w:val="20"/>
        </w:rPr>
      </w:pPr>
    </w:p>
    <w:p w:rsidR="00000EBA" w:rsidRPr="00091B6D" w:rsidRDefault="00000EBA" w:rsidP="00000EBA">
      <w:pPr>
        <w:spacing w:line="240" w:lineRule="auto"/>
        <w:jc w:val="both"/>
        <w:rPr>
          <w:rFonts w:ascii="Arial" w:hAnsi="Arial" w:cs="Arial"/>
          <w:sz w:val="20"/>
          <w:szCs w:val="20"/>
        </w:rPr>
      </w:pPr>
      <w:r w:rsidRPr="00091B6D">
        <w:rPr>
          <w:rFonts w:ascii="Arial" w:hAnsi="Arial" w:cs="Arial"/>
          <w:sz w:val="20"/>
          <w:szCs w:val="20"/>
        </w:rPr>
        <w:t>El Centro de Evaluación y Control de Confianza del Estado de Guanajuato, CECCEG, es un organismo público descentralizado de la Administración Pública Estatal con personalidad Jurídica y Patrimonio Propios, sectorizado a la Secretaría de Gobierno, se encarga de realizar evaluaciones de control de confianza al personal del área de seguridad pública de los municipios, personal de la SSP y FGE de Guanajuato; así como también a personal adscrito a empresas de seguridad privada, mediante la aplicación de exámenes médicos-toxicológicos, psicológicos, poligráficos y de investigación socioeconómica; esto con el propósito de depurar las corporaciones policiacas del estado de elementos que pudieran estar vinculados con el crimen organizado o bien determinar que no son considerados como aptos para el desempeño de sus funciones, de acuerdo a su grado de confiabilidad.</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jc w:val="both"/>
        <w:rPr>
          <w:rFonts w:ascii="Arial" w:hAnsi="Arial" w:cs="Arial"/>
          <w:sz w:val="20"/>
          <w:szCs w:val="20"/>
          <w:lang w:val="es-ES" w:eastAsia="es-ES"/>
        </w:rPr>
      </w:pPr>
      <w:r w:rsidRPr="00091B6D">
        <w:rPr>
          <w:rFonts w:ascii="Arial" w:hAnsi="Arial" w:cs="Arial"/>
          <w:b/>
          <w:sz w:val="20"/>
          <w:szCs w:val="20"/>
        </w:rPr>
        <w:t>a)</w:t>
      </w:r>
      <w:r w:rsidRPr="00091B6D">
        <w:rPr>
          <w:rFonts w:ascii="Arial" w:hAnsi="Arial" w:cs="Arial"/>
          <w:sz w:val="20"/>
          <w:szCs w:val="20"/>
        </w:rPr>
        <w:t xml:space="preserve"> Fecha de creación del ente público:</w:t>
      </w:r>
      <w:r w:rsidRPr="00091B6D">
        <w:rPr>
          <w:rFonts w:ascii="Arial" w:hAnsi="Arial" w:cs="Arial"/>
          <w:b/>
          <w:sz w:val="20"/>
          <w:szCs w:val="20"/>
        </w:rPr>
        <w:t xml:space="preserve"> 01/01/2009 (INSCRIPCION RFC).</w:t>
      </w:r>
      <w:r w:rsidRPr="00091B6D">
        <w:rPr>
          <w:rFonts w:ascii="Arial" w:hAnsi="Arial" w:cs="Arial"/>
          <w:sz w:val="20"/>
          <w:szCs w:val="20"/>
        </w:rPr>
        <w:tab/>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rPr>
          <w:rFonts w:ascii="Arial" w:hAnsi="Arial" w:cs="Arial"/>
          <w:b/>
          <w:sz w:val="20"/>
          <w:szCs w:val="20"/>
        </w:rPr>
      </w:pPr>
      <w:r w:rsidRPr="00091B6D">
        <w:rPr>
          <w:rFonts w:ascii="Arial" w:hAnsi="Arial" w:cs="Arial"/>
          <w:b/>
          <w:sz w:val="20"/>
          <w:szCs w:val="20"/>
        </w:rPr>
        <w:br w:type="page"/>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b)</w:t>
      </w:r>
      <w:r w:rsidRPr="00091B6D">
        <w:rPr>
          <w:rFonts w:ascii="Arial" w:hAnsi="Arial" w:cs="Arial"/>
          <w:sz w:val="20"/>
          <w:szCs w:val="20"/>
        </w:rPr>
        <w:t xml:space="preserve"> Principales cambios en su estructura (interna históricamente):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line="240" w:lineRule="auto"/>
        <w:jc w:val="center"/>
        <w:rPr>
          <w:rFonts w:ascii="Arial" w:hAnsi="Arial" w:cs="Arial"/>
          <w:b/>
          <w:sz w:val="20"/>
          <w:szCs w:val="20"/>
        </w:rPr>
      </w:pPr>
      <w:r w:rsidRPr="00091B6D">
        <w:rPr>
          <w:rFonts w:ascii="Arial" w:hAnsi="Arial" w:cs="Arial"/>
          <w:b/>
          <w:sz w:val="20"/>
          <w:szCs w:val="20"/>
        </w:rPr>
        <w:t>ORGANIGRAMA INICIAL DEL CECCEG 29/05/2009.</w:t>
      </w:r>
    </w:p>
    <w:p w:rsidR="00000EBA" w:rsidRPr="00091B6D" w:rsidRDefault="00000EBA" w:rsidP="00000EBA">
      <w:pPr>
        <w:spacing w:line="240" w:lineRule="auto"/>
        <w:ind w:hanging="709"/>
        <w:jc w:val="both"/>
        <w:rPr>
          <w:rFonts w:ascii="Arial" w:hAnsi="Arial" w:cs="Arial"/>
          <w:sz w:val="20"/>
          <w:szCs w:val="20"/>
        </w:rPr>
      </w:pPr>
      <w:r w:rsidRPr="00091B6D">
        <w:rPr>
          <w:rFonts w:ascii="Arial" w:hAnsi="Arial" w:cs="Arial"/>
          <w:noProof/>
          <w:sz w:val="20"/>
          <w:szCs w:val="20"/>
          <w:lang w:eastAsia="es-MX"/>
        </w:rPr>
        <w:drawing>
          <wp:inline distT="0" distB="0" distL="0" distR="0" wp14:anchorId="59945D18" wp14:editId="2BC444C7">
            <wp:extent cx="9504590" cy="4996281"/>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9024" cy="5045922"/>
                    </a:xfrm>
                    <a:prstGeom prst="rect">
                      <a:avLst/>
                    </a:prstGeom>
                    <a:noFill/>
                    <a:ln>
                      <a:noFill/>
                    </a:ln>
                  </pic:spPr>
                </pic:pic>
              </a:graphicData>
            </a:graphic>
          </wp:inline>
        </w:drawing>
      </w:r>
    </w:p>
    <w:p w:rsidR="00000EBA" w:rsidRDefault="00000EBA" w:rsidP="00000EBA">
      <w:pPr>
        <w:spacing w:line="240" w:lineRule="auto"/>
        <w:ind w:hanging="709"/>
        <w:jc w:val="both"/>
        <w:rPr>
          <w:rFonts w:ascii="Arial" w:hAnsi="Arial" w:cs="Arial"/>
          <w:sz w:val="20"/>
          <w:szCs w:val="20"/>
        </w:rPr>
      </w:pPr>
    </w:p>
    <w:p w:rsidR="007D4E69" w:rsidRPr="00091B6D" w:rsidRDefault="007D4E69" w:rsidP="00000EBA">
      <w:pPr>
        <w:spacing w:line="240" w:lineRule="auto"/>
        <w:ind w:hanging="709"/>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 w:name="_Toc220077186"/>
      <w:r w:rsidRPr="00091B6D">
        <w:rPr>
          <w:rFonts w:ascii="Arial" w:hAnsi="Arial" w:cs="Arial"/>
          <w:b/>
          <w:color w:val="auto"/>
          <w:sz w:val="20"/>
          <w:szCs w:val="20"/>
        </w:rPr>
        <w:lastRenderedPageBreak/>
        <w:t>2. Panorama Económico y Financiero</w:t>
      </w:r>
      <w:bookmarkEnd w:id="1"/>
    </w:p>
    <w:p w:rsidR="007D4E69" w:rsidRDefault="007D4E69" w:rsidP="007D4E69">
      <w:pPr>
        <w:jc w:val="both"/>
        <w:rPr>
          <w:rFonts w:ascii="Arial" w:hAnsi="Arial" w:cs="Arial"/>
          <w:sz w:val="20"/>
          <w:szCs w:val="20"/>
        </w:rPr>
      </w:pPr>
    </w:p>
    <w:p w:rsidR="007D4E69" w:rsidRPr="00E01619" w:rsidRDefault="007D4E69" w:rsidP="007D4E69">
      <w:pPr>
        <w:jc w:val="both"/>
        <w:rPr>
          <w:rFonts w:ascii="Arial" w:hAnsi="Arial" w:cs="Arial"/>
          <w:sz w:val="20"/>
          <w:szCs w:val="20"/>
        </w:rPr>
      </w:pPr>
      <w:r w:rsidRPr="00E01619">
        <w:rPr>
          <w:rFonts w:ascii="Arial" w:hAnsi="Arial" w:cs="Arial"/>
          <w:sz w:val="20"/>
          <w:szCs w:val="20"/>
        </w:rPr>
        <w:t>El estado de Guanajuato tuvo un buen cierre económico en 2025, al registrar un crecimiento de 0.4% solo en el tercer trimestre de ese año, mientras que en el acumulado de enero a septiembre sumó 2.4 %, gracias al buen desempeño de todos sus sectores productivos.</w:t>
      </w:r>
      <w:r>
        <w:rPr>
          <w:rFonts w:ascii="Arial" w:hAnsi="Arial" w:cs="Arial"/>
          <w:sz w:val="20"/>
          <w:szCs w:val="20"/>
        </w:rPr>
        <w:t xml:space="preserve"> </w:t>
      </w:r>
      <w:r w:rsidRPr="00E01619">
        <w:rPr>
          <w:rFonts w:ascii="Arial" w:hAnsi="Arial" w:cs="Arial"/>
          <w:sz w:val="20"/>
          <w:szCs w:val="20"/>
        </w:rPr>
        <w:t>Los datos fueron aportados por el Indicador Trimestral de la Actividad Económica</w:t>
      </w:r>
      <w:r>
        <w:rPr>
          <w:rFonts w:ascii="Arial" w:hAnsi="Arial" w:cs="Arial"/>
          <w:sz w:val="20"/>
          <w:szCs w:val="20"/>
        </w:rPr>
        <w:t xml:space="preserve"> e</w:t>
      </w:r>
      <w:r w:rsidRPr="00E01619">
        <w:rPr>
          <w:rFonts w:ascii="Arial" w:hAnsi="Arial" w:cs="Arial"/>
          <w:sz w:val="20"/>
          <w:szCs w:val="20"/>
        </w:rPr>
        <w:t>statal, elaborado por el INEGI y correspondiente al tercer periodo de 2025, el cual representa un resultado preliminar de la tendencia del Producto Interno Bruto por entidad federativa.</w:t>
      </w:r>
      <w:r>
        <w:rPr>
          <w:rFonts w:ascii="Arial" w:hAnsi="Arial" w:cs="Arial"/>
          <w:sz w:val="20"/>
          <w:szCs w:val="20"/>
        </w:rPr>
        <w:t xml:space="preserve"> </w:t>
      </w:r>
      <w:r w:rsidRPr="00E01619">
        <w:rPr>
          <w:rFonts w:ascii="Arial" w:hAnsi="Arial" w:cs="Arial"/>
          <w:sz w:val="20"/>
          <w:szCs w:val="20"/>
        </w:rPr>
        <w:t>El informe del </w:t>
      </w:r>
      <w:hyperlink r:id="rId9" w:tgtFrame="_blank" w:history="1">
        <w:r w:rsidRPr="00E01619">
          <w:rPr>
            <w:sz w:val="20"/>
            <w:szCs w:val="20"/>
          </w:rPr>
          <w:t>INEGI </w:t>
        </w:r>
      </w:hyperlink>
      <w:r w:rsidRPr="00E01619">
        <w:rPr>
          <w:rFonts w:ascii="Arial" w:hAnsi="Arial" w:cs="Arial"/>
          <w:sz w:val="20"/>
          <w:szCs w:val="20"/>
        </w:rPr>
        <w:t>indicó que, solo en el tercer trimestre del año pasado, Guanajuato se colocó en el lugar 17 entre los estados con crecimiento económico, al contribuir con 0.02 % al PIB nacional. </w:t>
      </w:r>
    </w:p>
    <w:p w:rsidR="007D4E69" w:rsidRPr="00E01619" w:rsidRDefault="007D4E69" w:rsidP="007D4E69">
      <w:pPr>
        <w:jc w:val="both"/>
        <w:rPr>
          <w:rFonts w:ascii="Arial" w:hAnsi="Arial" w:cs="Arial"/>
          <w:sz w:val="20"/>
          <w:szCs w:val="20"/>
        </w:rPr>
      </w:pPr>
      <w:r w:rsidRPr="00E01619">
        <w:rPr>
          <w:rFonts w:ascii="Arial" w:hAnsi="Arial" w:cs="Arial"/>
          <w:sz w:val="20"/>
          <w:szCs w:val="20"/>
        </w:rPr>
        <w:t xml:space="preserve">El panorama económico </w:t>
      </w:r>
      <w:r>
        <w:rPr>
          <w:rFonts w:ascii="Arial" w:hAnsi="Arial" w:cs="Arial"/>
          <w:sz w:val="20"/>
          <w:szCs w:val="20"/>
        </w:rPr>
        <w:t xml:space="preserve">y financiero </w:t>
      </w:r>
      <w:r w:rsidRPr="00E01619">
        <w:rPr>
          <w:rFonts w:ascii="Arial" w:hAnsi="Arial" w:cs="Arial"/>
          <w:sz w:val="20"/>
          <w:szCs w:val="20"/>
        </w:rPr>
        <w:t>de Guanajuato en 2026 se perfila con un crecimiento dinámico basado en la diversificación industrial y una fuerte atracción de inversión extranjera. El estado consolida su posición como 6ª entidad exportadora, con la manufactura liderando (33.6% de la actividad) y un crecimiento sostenido del empleo formal, consolidando un ecosistema competitivo y enfocado en la innovación.</w:t>
      </w:r>
      <w:r>
        <w:rPr>
          <w:rFonts w:ascii="Arial" w:hAnsi="Arial" w:cs="Arial"/>
          <w:sz w:val="20"/>
          <w:szCs w:val="20"/>
        </w:rPr>
        <w:t xml:space="preserve"> A</w:t>
      </w:r>
      <w:r w:rsidRPr="00E01619">
        <w:rPr>
          <w:rFonts w:ascii="Arial" w:hAnsi="Arial" w:cs="Arial"/>
          <w:sz w:val="20"/>
          <w:szCs w:val="20"/>
        </w:rPr>
        <w:t>unque se prevé un entorno complejo, Guanajuato se prepara para fortalecer su economía mediante la innovación y la atracción de nuevas inversiones.</w:t>
      </w:r>
    </w:p>
    <w:p w:rsidR="007D4E69" w:rsidRPr="00E01619" w:rsidRDefault="007D4E69" w:rsidP="007D4E69">
      <w:pPr>
        <w:jc w:val="both"/>
        <w:rPr>
          <w:rFonts w:ascii="Arial" w:hAnsi="Arial" w:cs="Arial"/>
          <w:sz w:val="20"/>
          <w:szCs w:val="20"/>
        </w:rPr>
      </w:pPr>
      <w:r w:rsidRPr="00E01619">
        <w:rPr>
          <w:rFonts w:ascii="Arial" w:hAnsi="Arial" w:cs="Arial"/>
          <w:sz w:val="20"/>
          <w:szCs w:val="20"/>
        </w:rPr>
        <w:t>En resumen, Guanajuato enfrenta un 2026 con una economía fortalecida y "cautelosamente positiva", enfocada en la competitividad local y la adaptación a un entorno de inversión globalizado.</w:t>
      </w:r>
    </w:p>
    <w:p w:rsidR="007D4E69" w:rsidRDefault="007D4E69" w:rsidP="00000EBA">
      <w:pPr>
        <w:pStyle w:val="Ttulo2"/>
        <w:spacing w:line="240" w:lineRule="auto"/>
        <w:rPr>
          <w:rFonts w:ascii="Arial" w:hAnsi="Arial" w:cs="Arial"/>
          <w:b/>
          <w:color w:val="auto"/>
          <w:sz w:val="20"/>
          <w:szCs w:val="20"/>
        </w:rPr>
      </w:pPr>
      <w:bookmarkStart w:id="2" w:name="_Toc220077187"/>
    </w:p>
    <w:p w:rsidR="00000EBA" w:rsidRPr="00091B6D" w:rsidRDefault="00000EBA" w:rsidP="00000EBA">
      <w:pPr>
        <w:pStyle w:val="Ttulo2"/>
        <w:spacing w:line="240" w:lineRule="auto"/>
        <w:rPr>
          <w:rFonts w:ascii="Arial" w:hAnsi="Arial" w:cs="Arial"/>
          <w:b/>
          <w:color w:val="auto"/>
          <w:sz w:val="20"/>
          <w:szCs w:val="20"/>
        </w:rPr>
      </w:pPr>
      <w:r w:rsidRPr="00091B6D">
        <w:rPr>
          <w:rFonts w:ascii="Arial" w:hAnsi="Arial" w:cs="Arial"/>
          <w:b/>
          <w:color w:val="auto"/>
          <w:sz w:val="20"/>
          <w:szCs w:val="20"/>
        </w:rPr>
        <w:t>3. Organización y Objeto Social:</w:t>
      </w:r>
      <w:bookmarkEnd w:id="2"/>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Objeto social.</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Realizar evaluaciones que permitan conocer las condiciones de los sujetos evaluados en términos de control de confianza de conformidad con la normatividad aplicable, así como aquellas evaluaciones que resultan por mandato legal.</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Principal actividad.</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Aplicar evaluaciones de control de confianza al personal del área de seguridad pública y privada del estado y sus municipios.</w:t>
      </w:r>
      <w:r w:rsidRPr="00091B6D">
        <w:rPr>
          <w:rFonts w:ascii="Arial" w:hAnsi="Arial" w:cs="Arial"/>
          <w:sz w:val="20"/>
          <w:szCs w:val="20"/>
        </w:rPr>
        <w:tab/>
      </w:r>
      <w:r w:rsidRPr="00091B6D">
        <w:rPr>
          <w:rFonts w:ascii="Arial" w:hAnsi="Arial" w:cs="Arial"/>
          <w:sz w:val="20"/>
          <w:szCs w:val="20"/>
        </w:rPr>
        <w:tab/>
      </w:r>
      <w:r w:rsidRPr="00091B6D">
        <w:rPr>
          <w:rFonts w:ascii="Arial" w:hAnsi="Arial" w:cs="Arial"/>
          <w:sz w:val="20"/>
          <w:szCs w:val="20"/>
        </w:rPr>
        <w:tab/>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Ejercicio fiscal: Del 01 de enero al 3</w:t>
      </w:r>
      <w:r>
        <w:rPr>
          <w:rFonts w:ascii="Arial" w:hAnsi="Arial" w:cs="Arial"/>
          <w:sz w:val="20"/>
          <w:szCs w:val="20"/>
        </w:rPr>
        <w:t>1</w:t>
      </w:r>
      <w:r w:rsidRPr="00091B6D">
        <w:rPr>
          <w:rFonts w:ascii="Arial" w:hAnsi="Arial" w:cs="Arial"/>
          <w:sz w:val="20"/>
          <w:szCs w:val="20"/>
        </w:rPr>
        <w:t xml:space="preserve"> de </w:t>
      </w:r>
      <w:r w:rsidR="007D4E69">
        <w:rPr>
          <w:rFonts w:ascii="Arial" w:hAnsi="Arial" w:cs="Arial"/>
          <w:sz w:val="20"/>
          <w:szCs w:val="20"/>
        </w:rPr>
        <w:t>marzo de 2026</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Régimen jurídico: Régimen 603 Personas Morales con Fines no Lucrativos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Consideraciones fiscales del ente: Revelar el tipo de contribuciones que esté obligado a pagar o retener.</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Entero de retenciones mensuales de ISR por sueldos y salarios</w:t>
      </w:r>
    </w:p>
    <w:p w:rsidR="00000EBA" w:rsidRPr="00091B6D"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Declaración informativa anual de pagos y retenciones de servicios profesionales. Personas Morales. Impuesto Sobre la Renta</w:t>
      </w:r>
    </w:p>
    <w:p w:rsidR="00000EBA"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Declaración Informativa mensual de Proveedores</w:t>
      </w:r>
    </w:p>
    <w:p w:rsidR="007D4E69" w:rsidRDefault="007D4E69" w:rsidP="007D4E69">
      <w:pPr>
        <w:spacing w:after="0" w:line="240" w:lineRule="auto"/>
        <w:jc w:val="both"/>
        <w:rPr>
          <w:rFonts w:ascii="Arial" w:hAnsi="Arial" w:cs="Arial"/>
          <w:sz w:val="20"/>
          <w:szCs w:val="20"/>
        </w:rPr>
      </w:pPr>
    </w:p>
    <w:p w:rsidR="007D4E69" w:rsidRPr="007D4E69" w:rsidRDefault="007D4E69" w:rsidP="007D4E69">
      <w:pPr>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f)</w:t>
      </w:r>
      <w:r w:rsidRPr="00091B6D">
        <w:rPr>
          <w:rFonts w:ascii="Arial" w:hAnsi="Arial" w:cs="Arial"/>
          <w:sz w:val="20"/>
          <w:szCs w:val="20"/>
        </w:rPr>
        <w:t xml:space="preserve"> Estructura organizacional básica.</w:t>
      </w:r>
    </w:p>
    <w:p w:rsidR="00000EBA" w:rsidRPr="00091B6D" w:rsidRDefault="00000EBA" w:rsidP="00000EBA">
      <w:pPr>
        <w:spacing w:after="0" w:line="240" w:lineRule="auto"/>
        <w:jc w:val="center"/>
        <w:rPr>
          <w:rFonts w:ascii="Arial" w:hAnsi="Arial" w:cs="Arial"/>
          <w:sz w:val="20"/>
          <w:szCs w:val="20"/>
        </w:rPr>
      </w:pPr>
      <w:r w:rsidRPr="00091B6D">
        <w:rPr>
          <w:rFonts w:ascii="Arial" w:hAnsi="Arial" w:cs="Arial"/>
          <w:sz w:val="20"/>
          <w:szCs w:val="20"/>
        </w:rPr>
        <w:t>AL 3</w:t>
      </w:r>
      <w:r>
        <w:rPr>
          <w:rFonts w:ascii="Arial" w:hAnsi="Arial" w:cs="Arial"/>
          <w:sz w:val="20"/>
          <w:szCs w:val="20"/>
        </w:rPr>
        <w:t>1</w:t>
      </w:r>
      <w:r w:rsidRPr="00091B6D">
        <w:rPr>
          <w:rFonts w:ascii="Arial" w:hAnsi="Arial" w:cs="Arial"/>
          <w:sz w:val="20"/>
          <w:szCs w:val="20"/>
        </w:rPr>
        <w:t>/</w:t>
      </w:r>
      <w:r w:rsidR="007D4E69">
        <w:rPr>
          <w:rFonts w:ascii="Arial" w:hAnsi="Arial" w:cs="Arial"/>
          <w:sz w:val="20"/>
          <w:szCs w:val="20"/>
        </w:rPr>
        <w:t>03</w:t>
      </w:r>
      <w:r w:rsidRPr="00091B6D">
        <w:rPr>
          <w:rFonts w:ascii="Arial" w:hAnsi="Arial" w:cs="Arial"/>
          <w:sz w:val="20"/>
          <w:szCs w:val="20"/>
        </w:rPr>
        <w:t>/202</w:t>
      </w:r>
      <w:r w:rsidR="007D4E69">
        <w:rPr>
          <w:rFonts w:ascii="Arial" w:hAnsi="Arial" w:cs="Arial"/>
          <w:sz w:val="20"/>
          <w:szCs w:val="20"/>
        </w:rPr>
        <w:t>6</w:t>
      </w:r>
    </w:p>
    <w:p w:rsidR="00000EBA" w:rsidRPr="00091B6D" w:rsidRDefault="005E0BBA" w:rsidP="00000EBA">
      <w:pPr>
        <w:spacing w:after="0" w:line="240" w:lineRule="auto"/>
        <w:ind w:left="-1134" w:right="-1171"/>
        <w:jc w:val="center"/>
        <w:rPr>
          <w:rFonts w:ascii="Arial" w:hAnsi="Arial" w:cs="Arial"/>
          <w:sz w:val="20"/>
          <w:szCs w:val="20"/>
        </w:rPr>
      </w:pPr>
      <w:r w:rsidRPr="005E0BBA">
        <w:rPr>
          <w:rFonts w:ascii="Arial" w:hAnsi="Arial" w:cs="Arial"/>
          <w:noProof/>
          <w:sz w:val="20"/>
          <w:szCs w:val="20"/>
        </w:rPr>
        <w:drawing>
          <wp:inline distT="0" distB="0" distL="0" distR="0" wp14:anchorId="441158D8" wp14:editId="219DB150">
            <wp:extent cx="8860667" cy="5669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83332" cy="5683782"/>
                    </a:xfrm>
                    <a:prstGeom prst="rect">
                      <a:avLst/>
                    </a:prstGeom>
                  </pic:spPr>
                </pic:pic>
              </a:graphicData>
            </a:graphic>
          </wp:inline>
        </w:drawing>
      </w:r>
    </w:p>
    <w:p w:rsidR="00000EBA" w:rsidRPr="00091B6D" w:rsidRDefault="005E0BBA" w:rsidP="00000EBA">
      <w:pPr>
        <w:spacing w:after="0" w:line="240" w:lineRule="auto"/>
        <w:ind w:hanging="851"/>
        <w:jc w:val="center"/>
        <w:rPr>
          <w:rFonts w:ascii="Arial" w:hAnsi="Arial" w:cs="Arial"/>
          <w:sz w:val="20"/>
          <w:szCs w:val="20"/>
        </w:rPr>
      </w:pPr>
      <w:r w:rsidRPr="005E0BBA">
        <w:rPr>
          <w:rFonts w:ascii="Arial" w:hAnsi="Arial" w:cs="Arial"/>
          <w:noProof/>
          <w:sz w:val="20"/>
          <w:szCs w:val="20"/>
        </w:rPr>
        <w:lastRenderedPageBreak/>
        <w:drawing>
          <wp:inline distT="0" distB="0" distL="0" distR="0" wp14:anchorId="785B0C58" wp14:editId="1581A22E">
            <wp:extent cx="9489302" cy="5455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01692" cy="5463043"/>
                    </a:xfrm>
                    <a:prstGeom prst="rect">
                      <a:avLst/>
                    </a:prstGeom>
                  </pic:spPr>
                </pic:pic>
              </a:graphicData>
            </a:graphic>
          </wp:inline>
        </w:drawing>
      </w:r>
    </w:p>
    <w:p w:rsidR="00000EBA" w:rsidRPr="00091B6D" w:rsidRDefault="00000EBA" w:rsidP="00000EBA">
      <w:pPr>
        <w:spacing w:after="0" w:line="240" w:lineRule="auto"/>
        <w:rPr>
          <w:rFonts w:ascii="Arial" w:hAnsi="Arial" w:cs="Arial"/>
          <w:sz w:val="20"/>
          <w:szCs w:val="20"/>
        </w:rPr>
      </w:pPr>
      <w:r w:rsidRPr="00091B6D">
        <w:rPr>
          <w:rFonts w:ascii="Arial" w:hAnsi="Arial" w:cs="Arial"/>
          <w:sz w:val="20"/>
          <w:szCs w:val="20"/>
        </w:rPr>
        <w:br w:type="page"/>
      </w:r>
    </w:p>
    <w:p w:rsidR="00000EBA" w:rsidRPr="00091B6D" w:rsidRDefault="005E0BBA" w:rsidP="00000EBA">
      <w:pPr>
        <w:spacing w:after="0" w:line="240" w:lineRule="auto"/>
        <w:ind w:left="-567" w:hanging="284"/>
        <w:rPr>
          <w:rFonts w:ascii="Arial" w:hAnsi="Arial" w:cs="Arial"/>
          <w:sz w:val="20"/>
          <w:szCs w:val="20"/>
        </w:rPr>
      </w:pPr>
      <w:r w:rsidRPr="005E0BBA">
        <w:rPr>
          <w:rFonts w:ascii="Arial" w:hAnsi="Arial" w:cs="Arial"/>
          <w:noProof/>
          <w:sz w:val="20"/>
          <w:szCs w:val="20"/>
        </w:rPr>
        <w:lastRenderedPageBreak/>
        <w:drawing>
          <wp:inline distT="0" distB="0" distL="0" distR="0" wp14:anchorId="56F47EA6" wp14:editId="5A322002">
            <wp:extent cx="9531873" cy="46253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42676" cy="4630582"/>
                    </a:xfrm>
                    <a:prstGeom prst="rect">
                      <a:avLst/>
                    </a:prstGeom>
                  </pic:spPr>
                </pic:pic>
              </a:graphicData>
            </a:graphic>
          </wp:inline>
        </w:drawing>
      </w:r>
    </w:p>
    <w:p w:rsidR="00000EBA" w:rsidRPr="00091B6D" w:rsidRDefault="00000EBA" w:rsidP="00000EBA">
      <w:pPr>
        <w:spacing w:after="0" w:line="240" w:lineRule="auto"/>
        <w:rPr>
          <w:rFonts w:ascii="Arial" w:hAnsi="Arial" w:cs="Arial"/>
          <w:sz w:val="20"/>
          <w:szCs w:val="20"/>
        </w:rPr>
      </w:pPr>
    </w:p>
    <w:p w:rsidR="00000EBA" w:rsidRPr="00091B6D" w:rsidRDefault="00000EBA" w:rsidP="00000EBA">
      <w:pPr>
        <w:spacing w:after="0" w:line="240" w:lineRule="auto"/>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Fideicomisos de los cuales es fideicomitente o fideicomisario, y contratos análogos, incluyendo mandatos de los cuales es parte: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Default="00000EBA" w:rsidP="00000EBA">
      <w:pPr>
        <w:spacing w:after="0" w:line="240" w:lineRule="auto"/>
        <w:rPr>
          <w:rFonts w:ascii="Arial" w:eastAsiaTheme="majorEastAsia" w:hAnsi="Arial" w:cs="Arial"/>
          <w:b/>
          <w:sz w:val="20"/>
          <w:szCs w:val="20"/>
        </w:rPr>
      </w:pPr>
      <w:r>
        <w:rPr>
          <w:rFonts w:ascii="Arial" w:hAnsi="Arial" w:cs="Arial"/>
          <w:b/>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3" w:name="_Toc220077188"/>
      <w:r w:rsidRPr="00091B6D">
        <w:rPr>
          <w:rFonts w:ascii="Arial" w:hAnsi="Arial" w:cs="Arial"/>
          <w:b/>
          <w:color w:val="auto"/>
          <w:sz w:val="20"/>
          <w:szCs w:val="20"/>
        </w:rPr>
        <w:lastRenderedPageBreak/>
        <w:t>4. Bases de Preparación de los Estados Financieros:</w:t>
      </w:r>
      <w:bookmarkEnd w:id="3"/>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Si se ha observado la normatividad emitida por el CONAC y las disposiciones legales aplicables.</w:t>
      </w:r>
    </w:p>
    <w:p w:rsidR="00000EBA" w:rsidRPr="00091B6D" w:rsidRDefault="00000EBA" w:rsidP="00000EBA">
      <w:pPr>
        <w:pStyle w:val="Prrafodelista"/>
        <w:spacing w:line="240" w:lineRule="auto"/>
        <w:ind w:left="426"/>
        <w:jc w:val="both"/>
        <w:rPr>
          <w:rFonts w:ascii="Arial" w:hAnsi="Arial" w:cs="Arial"/>
          <w:sz w:val="20"/>
          <w:szCs w:val="20"/>
        </w:rPr>
      </w:pPr>
    </w:p>
    <w:p w:rsidR="00000EBA" w:rsidRPr="00091B6D" w:rsidRDefault="00000EBA" w:rsidP="00000EBA">
      <w:pPr>
        <w:pStyle w:val="Prrafodelista"/>
        <w:spacing w:line="240" w:lineRule="auto"/>
        <w:ind w:left="426"/>
        <w:jc w:val="both"/>
        <w:rPr>
          <w:rFonts w:ascii="Arial" w:hAnsi="Arial" w:cs="Arial"/>
          <w:sz w:val="20"/>
          <w:szCs w:val="20"/>
        </w:rPr>
      </w:pPr>
      <w:r w:rsidRPr="00091B6D">
        <w:rPr>
          <w:rFonts w:ascii="Arial" w:hAnsi="Arial" w:cs="Arial"/>
          <w:sz w:val="20"/>
          <w:szCs w:val="20"/>
        </w:rPr>
        <w:t>En la preparación de los Estados Financieros, se observa la normatividad emitida por la CONAC y las disposiciones legales aplicables de acuerdo a las indicaciones de la SFIA. Las Bases de Preparación de los Estados Financieros observan en cierta medida la normatividad emitida por el CONAC y las disposiciones legales aplicables.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spacing w:line="240" w:lineRule="auto"/>
        <w:ind w:left="426"/>
        <w:jc w:val="both"/>
        <w:rPr>
          <w:rFonts w:ascii="Arial" w:hAnsi="Arial" w:cs="Arial"/>
          <w:sz w:val="20"/>
          <w:szCs w:val="20"/>
        </w:rPr>
      </w:pPr>
      <w:r w:rsidRPr="00091B6D">
        <w:rPr>
          <w:rFonts w:ascii="Arial" w:hAnsi="Arial" w:cs="Arial"/>
          <w:sz w:val="20"/>
          <w:szCs w:val="20"/>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Postulados básicos de Contabilidad Gubernamental (PBCG).</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Sustancia Económica:</w:t>
      </w:r>
      <w:r w:rsidRPr="00091B6D">
        <w:rPr>
          <w:rFonts w:ascii="Arial" w:hAnsi="Arial" w:cs="Arial"/>
          <w:sz w:val="20"/>
          <w:szCs w:val="20"/>
        </w:rPr>
        <w:t xml:space="preserve"> Es el reconocimiento contable de las transacciones, transformaciones internas y otros eventos, que afectan económicamente al ente público y delimitan la operación del Sistema de Contabilidad Gubernamental (SCG).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Entes Públicos:</w:t>
      </w:r>
      <w:r w:rsidRPr="00091B6D">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rsidR="00000EBA" w:rsidRPr="00091B6D" w:rsidRDefault="00000EBA" w:rsidP="00000EBA">
      <w:pPr>
        <w:pStyle w:val="Prrafodelista"/>
        <w:spacing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Existencia Permanente:</w:t>
      </w:r>
      <w:r w:rsidRPr="00091B6D">
        <w:rPr>
          <w:rFonts w:ascii="Arial" w:hAnsi="Arial" w:cs="Arial"/>
          <w:sz w:val="20"/>
          <w:szCs w:val="20"/>
        </w:rPr>
        <w:t xml:space="preserve">  La actividad del ente público se establece por tiempo indefinido, salvo disposición legal en la que se especifique lo contrario.</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Revelación Suficiente:</w:t>
      </w:r>
      <w:r w:rsidRPr="00091B6D">
        <w:rPr>
          <w:rFonts w:ascii="Arial" w:hAnsi="Arial" w:cs="Arial"/>
          <w:sz w:val="20"/>
          <w:szCs w:val="20"/>
        </w:rPr>
        <w:t xml:space="preserve"> Los estados y la información financiera deben mostrar amplia y claramente la situación financiera y los resultados del ente público. </w:t>
      </w: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Importancia Relativa:</w:t>
      </w:r>
      <w:r w:rsidRPr="00091B6D">
        <w:rPr>
          <w:rFonts w:ascii="Arial" w:hAnsi="Arial" w:cs="Arial"/>
          <w:sz w:val="20"/>
          <w:szCs w:val="20"/>
        </w:rPr>
        <w:t xml:space="preserve"> La información debe mostrar los aspectos importantes de la entidad que fueron reconocidos contablemente.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Registro E Integración Presupuestaria:</w:t>
      </w:r>
      <w:r w:rsidRPr="00091B6D">
        <w:rPr>
          <w:rFonts w:ascii="Arial" w:hAnsi="Arial" w:cs="Arial"/>
          <w:sz w:val="20"/>
          <w:szCs w:val="20"/>
        </w:rPr>
        <w:t xml:space="preserve"> 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lastRenderedPageBreak/>
        <w:t>Consolidación De La Información Financiera:</w:t>
      </w:r>
      <w:r w:rsidRPr="00091B6D">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Devengo Contable:</w:t>
      </w:r>
      <w:r w:rsidRPr="00091B6D">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Valuación:</w:t>
      </w:r>
      <w:r w:rsidRPr="00091B6D">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Dualidad Económica:</w:t>
      </w:r>
      <w:r w:rsidRPr="00091B6D">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000EBA" w:rsidRPr="00091B6D" w:rsidRDefault="00000EBA" w:rsidP="00000EBA">
      <w:pPr>
        <w:pStyle w:val="Prrafodelista"/>
        <w:spacing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Consistencia:</w:t>
      </w:r>
      <w:r w:rsidRPr="00091B6D">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t>d)</w:t>
      </w:r>
      <w:r w:rsidRPr="00091B6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Para las entidades que por primera vez estén implementando la base de devengado de acuerdo a la Ley de Contabilidad, deberán:</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sz w:val="20"/>
          <w:szCs w:val="20"/>
        </w:rPr>
        <w:t xml:space="preserve">*Revelar las nuevas políticas de reconocimiento: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*Plan de implementación: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*Revelar los cambios en las políticas, la clasificación y medición de las mismas, así como su impacto en la información financiera: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*Presentar los últimos estados financieros con la normatividad anteriormente utilizada con las nuevas políticas para fines de comparación en la transición a la base de devengado: Se encuentran publicados los estados financieros en nuestra página de internet.</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sz w:val="20"/>
          <w:szCs w:val="20"/>
        </w:rPr>
      </w:pPr>
      <w:bookmarkStart w:id="4" w:name="_Toc220077189"/>
      <w:r w:rsidRPr="00091B6D">
        <w:rPr>
          <w:rFonts w:ascii="Arial" w:hAnsi="Arial" w:cs="Arial"/>
          <w:b/>
          <w:color w:val="auto"/>
          <w:sz w:val="20"/>
          <w:szCs w:val="20"/>
        </w:rPr>
        <w:t>5. Políticas de Contabilidad Significativas:</w:t>
      </w:r>
      <w:bookmarkEnd w:id="4"/>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Son los principios, bases, reglas y procedimientos específicos adoptados por el ente público en la elaboración y presentación de sus estados financieros.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lastRenderedPageBreak/>
        <w:t>El ente público seleccionará y aplicará sus políticas contables de manera congruente para transacciones, otros eventos y condiciones que sean similares.</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t>a)</w:t>
      </w:r>
      <w:r w:rsidRPr="00091B6D">
        <w:rPr>
          <w:rFonts w:ascii="Arial" w:hAnsi="Arial" w:cs="Arial"/>
          <w:sz w:val="20"/>
          <w:szCs w:val="20"/>
        </w:rPr>
        <w:t xml:space="preserve"> Actualización: se informará del método utilizado para la actualización del valor de los activos, pasivos y Hacienda Pública/Patrimonio y las razones de dicha elección. Así como informar de la desconexión o reconexión inflacionaria: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Informar sobre la realización de operaciones en el extranjero y de sus efectos en la información financiera gubernamental, considerando entre otros el importe de las variaciones cambiarias reconocidas en el resultado (ahorro o desahorro):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Método de valuación de la inversión en acciones de Compañías subsidiarias no consolidadas y asociadas: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Sistema y método de valuación de inventarios y costo de lo vendido: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f)</w:t>
      </w:r>
      <w:r w:rsidRPr="00091B6D">
        <w:rPr>
          <w:rFonts w:ascii="Arial" w:hAnsi="Arial" w:cs="Arial"/>
          <w:sz w:val="20"/>
          <w:szCs w:val="20"/>
        </w:rPr>
        <w:t xml:space="preserve"> Provisiones: objetivo de su creación, monto y plazo: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Reservas: objetivo de su creación, monto y plazo: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h)</w:t>
      </w:r>
      <w:r w:rsidRPr="00091B6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i)</w:t>
      </w:r>
      <w:r w:rsidRPr="00091B6D">
        <w:rPr>
          <w:rFonts w:ascii="Arial" w:hAnsi="Arial" w:cs="Arial"/>
          <w:sz w:val="20"/>
          <w:szCs w:val="20"/>
        </w:rPr>
        <w:t xml:space="preserve"> Reclasificaciones: Se deben revelar todos aquellos movimientos entre cuentas por efectos de cambios en los tipos de operaciones: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j)</w:t>
      </w:r>
      <w:r w:rsidRPr="00091B6D">
        <w:rPr>
          <w:rFonts w:ascii="Arial" w:hAnsi="Arial" w:cs="Arial"/>
          <w:sz w:val="20"/>
          <w:szCs w:val="20"/>
        </w:rPr>
        <w:t xml:space="preserve"> Depuración y cancelación de saldos: Constantemente se vienen analizando la información y en caso de encontrar saldos a depurar se realizan las acciones adecuadas y fundamentadas para depurar o cancelar saldos.</w:t>
      </w:r>
    </w:p>
    <w:p w:rsidR="00000EBA" w:rsidRPr="00091B6D" w:rsidRDefault="00000EBA" w:rsidP="00000EBA">
      <w:pPr>
        <w:pStyle w:val="Ttulo2"/>
        <w:spacing w:line="240" w:lineRule="auto"/>
        <w:rPr>
          <w:rFonts w:ascii="Arial" w:hAnsi="Arial" w:cs="Arial"/>
          <w:b/>
          <w:color w:val="auto"/>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5" w:name="_Toc220077190"/>
      <w:r w:rsidRPr="00091B6D">
        <w:rPr>
          <w:rFonts w:ascii="Arial" w:hAnsi="Arial" w:cs="Arial"/>
          <w:b/>
          <w:color w:val="auto"/>
          <w:sz w:val="20"/>
          <w:szCs w:val="20"/>
        </w:rPr>
        <w:t>6. Posición en Moneda Extranjera y Protección por Riesgo Cambiario:</w:t>
      </w:r>
      <w:bookmarkEnd w:id="5"/>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Activos en moneda extranjera: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Pasivos en moneda extranjera: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 xml:space="preserve">c) </w:t>
      </w:r>
      <w:r w:rsidRPr="00091B6D">
        <w:rPr>
          <w:rFonts w:ascii="Arial" w:hAnsi="Arial" w:cs="Arial"/>
          <w:sz w:val="20"/>
          <w:szCs w:val="20"/>
        </w:rPr>
        <w:t>Posición en moneda extranjera: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Tipo de cambio: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 xml:space="preserve">e) </w:t>
      </w:r>
      <w:r w:rsidRPr="00091B6D">
        <w:rPr>
          <w:rFonts w:ascii="Arial" w:hAnsi="Arial" w:cs="Arial"/>
          <w:sz w:val="20"/>
          <w:szCs w:val="20"/>
        </w:rPr>
        <w:t>Equivalente en moneda nacional:</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6" w:name="_Toc220077191"/>
      <w:r w:rsidRPr="00091B6D">
        <w:rPr>
          <w:rFonts w:ascii="Arial" w:hAnsi="Arial" w:cs="Arial"/>
          <w:b/>
          <w:color w:val="auto"/>
          <w:sz w:val="20"/>
          <w:szCs w:val="20"/>
        </w:rPr>
        <w:t>7. Reporte Analítico del Activo:</w:t>
      </w:r>
      <w:bookmarkEnd w:id="6"/>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Debe mostrar la siguiente información:</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Vida útil, porcentajes de depreciación y amortización utilizados en los diferentes tipos de activos, o el importe de las pérdidas por deterioro reconocidas: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exto"/>
        <w:spacing w:line="240" w:lineRule="auto"/>
        <w:rPr>
          <w:rFonts w:eastAsia="Calibri"/>
          <w:sz w:val="20"/>
          <w:lang w:val="es-MX" w:eastAsia="en-US"/>
        </w:rPr>
      </w:pPr>
      <w:r w:rsidRPr="00091B6D">
        <w:rPr>
          <w:rFonts w:eastAsia="Calibri"/>
          <w:b/>
          <w:sz w:val="20"/>
          <w:lang w:val="es-MX" w:eastAsia="en-US"/>
        </w:rPr>
        <w:t>Artículo 34 LISR.</w:t>
      </w:r>
      <w:r w:rsidRPr="00091B6D">
        <w:rPr>
          <w:rFonts w:eastAsia="Calibri"/>
          <w:sz w:val="20"/>
          <w:lang w:val="es-MX" w:eastAsia="en-US"/>
        </w:rPr>
        <w:t xml:space="preserve"> Los por cientos máximos autorizados, tratándose de activos fijos por tipo de bien son los siguientes:</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III.</w:t>
      </w:r>
      <w:r w:rsidRPr="00091B6D">
        <w:rPr>
          <w:rFonts w:eastAsia="Calibri"/>
          <w:sz w:val="20"/>
          <w:lang w:val="es-MX" w:eastAsia="en-US"/>
        </w:rPr>
        <w:tab/>
        <w:t>10% para mobiliario y equipo de oficina.</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VI.</w:t>
      </w:r>
      <w:r w:rsidRPr="00091B6D">
        <w:rPr>
          <w:rFonts w:eastAsia="Calibri"/>
          <w:sz w:val="20"/>
          <w:lang w:val="es-MX" w:eastAsia="en-US"/>
        </w:rPr>
        <w:tab/>
        <w:t>25% para automóviles, autobuses, camiones de carga, tractocamiones, montacargas y remolques.</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VII.</w:t>
      </w:r>
      <w:r w:rsidRPr="00091B6D">
        <w:rPr>
          <w:rFonts w:eastAsia="Calibri"/>
          <w:sz w:val="20"/>
          <w:lang w:val="es-MX" w:eastAsia="en-US"/>
        </w:rPr>
        <w:tab/>
        <w:t>30% para computadoras personales de escritorio y portátiles; servidores; impresoras, lectores ópticos, graficadores, lectores de código de barras, digitalizadores, unidades de almacenamiento externo y concentradores de redes de cómputo.</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Cambios en el porcentaje de depreciación y amortización y en el valor de los activos ocasionado por deterioro: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Importe de los gastos capitalizados en el ejercicio, tanto financieros como de investigación y desarrollo: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Riesgos por tipo de cambio o tipo de interés de las inversiones financieras: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 xml:space="preserve">e) </w:t>
      </w:r>
      <w:r w:rsidRPr="00091B6D">
        <w:rPr>
          <w:rFonts w:ascii="Arial" w:hAnsi="Arial" w:cs="Arial"/>
          <w:sz w:val="20"/>
          <w:szCs w:val="20"/>
        </w:rPr>
        <w:t>Valor activado en el ejercicio de los bienes construidos por la entidad: El bien construido por la entidad ha sido activado por el importe de $113,544,080.90 (Ciento trece millones quinientos cuarenta y cuatro mil ochenta pesos 90/100 M.N.).</w:t>
      </w:r>
    </w:p>
    <w:p w:rsidR="00000EBA" w:rsidRPr="00091B6D" w:rsidRDefault="00000EBA" w:rsidP="00000EBA">
      <w:pPr>
        <w:tabs>
          <w:tab w:val="left" w:leader="underscore" w:pos="9639"/>
        </w:tabs>
        <w:spacing w:after="0" w:line="240" w:lineRule="auto"/>
        <w:jc w:val="both"/>
        <w:rPr>
          <w:rFonts w:ascii="Arial" w:hAnsi="Arial" w:cs="Arial"/>
          <w:b/>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f)</w:t>
      </w:r>
      <w:r w:rsidRPr="00091B6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Desmantelamiento de Activos, procedimientos, implicaciones, efectos contables: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h)</w:t>
      </w:r>
      <w:r w:rsidRPr="00091B6D">
        <w:rPr>
          <w:rFonts w:ascii="Arial" w:hAnsi="Arial" w:cs="Arial"/>
          <w:sz w:val="20"/>
          <w:szCs w:val="20"/>
        </w:rPr>
        <w:t xml:space="preserve"> Administración de activos; planeación con el objetivo de que el ente los utilice de manera más efectiva: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Adicionalmente, se deben incluir las explicaciones de las principales variaciones en el activo, en cuadros comparativos como sigue: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Inversiones en valores: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Patrimonio de Organismos Descentralizados de Control Presupuestario Indirecto: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c)</w:t>
      </w:r>
      <w:r w:rsidRPr="00091B6D">
        <w:rPr>
          <w:rFonts w:ascii="Arial" w:hAnsi="Arial" w:cs="Arial"/>
          <w:sz w:val="20"/>
          <w:szCs w:val="20"/>
        </w:rPr>
        <w:t xml:space="preserve"> Inversiones en empresas de participación mayoritaria: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Inversiones en empresas de participación minoritaria: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Patrimonio de Organismos Descentralizados de control Presupuestario Directo, según corresponda: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7" w:name="_Toc220077192"/>
      <w:r w:rsidRPr="00091B6D">
        <w:rPr>
          <w:rFonts w:ascii="Arial" w:hAnsi="Arial" w:cs="Arial"/>
          <w:b/>
          <w:color w:val="auto"/>
          <w:sz w:val="20"/>
          <w:szCs w:val="20"/>
        </w:rPr>
        <w:t>8. Fideicomisos, Mandatos y Análogos:</w:t>
      </w:r>
      <w:bookmarkEnd w:id="7"/>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deberá informar:</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Por ramo administrativo que los reporta: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Enlistar los de mayor monto de disponibilidad, relacionando aquéllos que conforman el 80% de las disponibilidades: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rPr>
          <w:rFonts w:ascii="Arial" w:hAnsi="Arial" w:cs="Arial"/>
          <w:sz w:val="20"/>
          <w:szCs w:val="20"/>
        </w:rPr>
      </w:pPr>
      <w:r w:rsidRPr="00091B6D">
        <w:rPr>
          <w:rFonts w:ascii="Arial" w:hAnsi="Arial" w:cs="Arial"/>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8" w:name="_Toc220077193"/>
      <w:r w:rsidRPr="00091B6D">
        <w:rPr>
          <w:rFonts w:ascii="Arial" w:hAnsi="Arial" w:cs="Arial"/>
          <w:b/>
          <w:color w:val="auto"/>
          <w:sz w:val="20"/>
          <w:szCs w:val="20"/>
        </w:rPr>
        <w:lastRenderedPageBreak/>
        <w:t>9. Reporte de la Recaudación:</w:t>
      </w:r>
      <w:bookmarkEnd w:id="8"/>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000EBA" w:rsidRPr="00091B6D" w:rsidRDefault="009F482A" w:rsidP="00000EBA">
      <w:pPr>
        <w:spacing w:after="0" w:line="240" w:lineRule="auto"/>
        <w:jc w:val="center"/>
        <w:rPr>
          <w:rFonts w:ascii="Arial" w:hAnsi="Arial" w:cs="Arial"/>
          <w:sz w:val="20"/>
          <w:szCs w:val="20"/>
        </w:rPr>
      </w:pPr>
      <w:r w:rsidRPr="009F482A">
        <w:rPr>
          <w:noProof/>
        </w:rPr>
        <w:drawing>
          <wp:inline distT="0" distB="0" distL="0" distR="0">
            <wp:extent cx="7063740" cy="5512166"/>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6963" cy="5522485"/>
                    </a:xfrm>
                    <a:prstGeom prst="rect">
                      <a:avLst/>
                    </a:prstGeom>
                    <a:noFill/>
                    <a:ln>
                      <a:noFill/>
                    </a:ln>
                  </pic:spPr>
                </pic:pic>
              </a:graphicData>
            </a:graphic>
          </wp:inline>
        </w:drawing>
      </w:r>
      <w:r w:rsidR="00000EBA" w:rsidRPr="00091B6D">
        <w:rPr>
          <w:rFonts w:ascii="Arial" w:hAnsi="Arial" w:cs="Arial"/>
          <w:sz w:val="20"/>
          <w:szCs w:val="20"/>
        </w:rPr>
        <w:br w:type="page"/>
      </w: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lastRenderedPageBreak/>
        <w:t>b)</w:t>
      </w:r>
      <w:r w:rsidRPr="00091B6D">
        <w:rPr>
          <w:rFonts w:ascii="Arial" w:hAnsi="Arial" w:cs="Arial"/>
          <w:sz w:val="20"/>
          <w:szCs w:val="20"/>
        </w:rPr>
        <w:t xml:space="preserve"> Proyección de la recaudación e ingresos en el mediano plazo: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9" w:name="_Toc220077194"/>
      <w:r w:rsidRPr="00091B6D">
        <w:rPr>
          <w:rFonts w:ascii="Arial" w:hAnsi="Arial" w:cs="Arial"/>
          <w:b/>
          <w:color w:val="auto"/>
          <w:sz w:val="20"/>
          <w:szCs w:val="20"/>
        </w:rPr>
        <w:t>10. Información sobre la Deuda y el Reporte Analítico de la Deuda:</w:t>
      </w:r>
      <w:bookmarkEnd w:id="9"/>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Utilizar al menos los siguientes indicadores: deuda respecto al PIB y deuda respecto a la recaudación tomando, como mínimo, un período igual o menor a 5 años.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 * Se anexará la información en las notas de desglose.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0" w:name="_Toc220077195"/>
      <w:r w:rsidRPr="00091B6D">
        <w:rPr>
          <w:rFonts w:ascii="Arial" w:hAnsi="Arial" w:cs="Arial"/>
          <w:b/>
          <w:color w:val="auto"/>
          <w:sz w:val="20"/>
          <w:szCs w:val="20"/>
        </w:rPr>
        <w:t>11. Calificaciones otorgadas:</w:t>
      </w:r>
      <w:bookmarkEnd w:id="10"/>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Informar, tanto del ente público como cualquier transacción realizada, que haya sido sujeta a una calificación crediticia: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1" w:name="_Toc220077196"/>
      <w:r w:rsidRPr="00091B6D">
        <w:rPr>
          <w:rFonts w:ascii="Arial" w:hAnsi="Arial" w:cs="Arial"/>
          <w:b/>
          <w:color w:val="auto"/>
          <w:sz w:val="20"/>
          <w:szCs w:val="20"/>
        </w:rPr>
        <w:t>12. Proceso de Mejora:</w:t>
      </w:r>
      <w:bookmarkEnd w:id="11"/>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de: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Principales Políticas de control interno:</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El proceso de evaluación de control de confianza se lleva a cabo de acuerdo con los lineamientos, criterios, políticas y protocolos que establece el Centro Nacional de Certificación y Acreditación y el propio Centro, así como en base en los demás instrumentos normativos aplicables. Este proceso comprende las siguientes examinaciones: </w:t>
      </w:r>
    </w:p>
    <w:p w:rsidR="00000EBA" w:rsidRPr="00091B6D" w:rsidRDefault="00000EBA" w:rsidP="00000EBA">
      <w:pPr>
        <w:spacing w:after="0" w:line="240" w:lineRule="auto"/>
        <w:jc w:val="both"/>
        <w:rPr>
          <w:rFonts w:ascii="Arial" w:hAnsi="Arial" w:cs="Arial"/>
          <w:sz w:val="20"/>
          <w:szCs w:val="20"/>
        </w:rPr>
      </w:pPr>
    </w:p>
    <w:p w:rsidR="00000EBA" w:rsidRPr="00091B6D" w:rsidRDefault="00000EBA" w:rsidP="00000EBA">
      <w:pPr>
        <w:pStyle w:val="Prrafodelista"/>
        <w:numPr>
          <w:ilvl w:val="0"/>
          <w:numId w:val="3"/>
        </w:numPr>
        <w:spacing w:after="0" w:line="240" w:lineRule="auto"/>
        <w:jc w:val="both"/>
        <w:rPr>
          <w:rFonts w:ascii="Arial" w:hAnsi="Arial" w:cs="Arial"/>
          <w:sz w:val="20"/>
          <w:szCs w:val="20"/>
        </w:rPr>
        <w:sectPr w:rsidR="00000EBA" w:rsidRPr="00091B6D" w:rsidSect="0008152A">
          <w:headerReference w:type="default" r:id="rId14"/>
          <w:pgSz w:w="15840" w:h="12240" w:orient="landscape" w:code="1"/>
          <w:pgMar w:top="1418" w:right="1418" w:bottom="851" w:left="1134" w:header="709" w:footer="567" w:gutter="0"/>
          <w:cols w:space="708"/>
          <w:docGrid w:linePitch="360"/>
        </w:sectPr>
      </w:pP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De investigación socioeconómica;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Médica;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Poligráfica;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Psicológica; y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sectPr w:rsidR="00000EBA" w:rsidRPr="00091B6D" w:rsidSect="005F128B">
          <w:type w:val="continuous"/>
          <w:pgSz w:w="15840" w:h="12240" w:orient="landscape" w:code="1"/>
          <w:pgMar w:top="1418" w:right="1418" w:bottom="851" w:left="1134" w:header="709" w:footer="567" w:gutter="0"/>
          <w:cols w:num="3" w:space="708"/>
          <w:docGrid w:linePitch="360"/>
        </w:sectPr>
      </w:pPr>
      <w:r w:rsidRPr="00091B6D">
        <w:rPr>
          <w:rFonts w:ascii="Arial" w:hAnsi="Arial" w:cs="Arial"/>
          <w:sz w:val="20"/>
          <w:szCs w:val="20"/>
        </w:rPr>
        <w:t>Toxicológica</w:t>
      </w:r>
    </w:p>
    <w:p w:rsidR="00000EBA" w:rsidRPr="00091B6D" w:rsidRDefault="00000EBA" w:rsidP="00000EBA">
      <w:pPr>
        <w:spacing w:after="0" w:line="240" w:lineRule="auto"/>
        <w:jc w:val="both"/>
        <w:rPr>
          <w:rFonts w:ascii="Arial" w:hAnsi="Arial" w:cs="Arial"/>
          <w:sz w:val="20"/>
          <w:szCs w:val="20"/>
        </w:rPr>
      </w:pPr>
      <w:r w:rsidRPr="00091B6D">
        <w:rPr>
          <w:rFonts w:ascii="Arial" w:hAnsi="Arial" w:cs="Arial"/>
          <w:sz w:val="20"/>
          <w:szCs w:val="20"/>
        </w:rPr>
        <w:lastRenderedPageBreak/>
        <w:t>Para impulsar el desarrollo de una cultura de control interno en la Administración Pública Estatal, con el fin de prevenir y evitar actos de corrupción y contribuir al cumplimiento de las metas y objetivos de la misma, que promueva la prevención y administración de posibles eventos que obstaculicen o impidan el logro de los objetivos institucionales, con la normativa aplicable para este ejercicio 202</w:t>
      </w:r>
      <w:r w:rsidR="002564C0">
        <w:rPr>
          <w:rFonts w:ascii="Arial" w:hAnsi="Arial" w:cs="Arial"/>
          <w:sz w:val="20"/>
          <w:szCs w:val="20"/>
        </w:rPr>
        <w:t>6</w:t>
      </w:r>
      <w:bookmarkStart w:id="12" w:name="_GoBack"/>
      <w:bookmarkEnd w:id="12"/>
      <w:r w:rsidRPr="00091B6D">
        <w:rPr>
          <w:rFonts w:ascii="Arial" w:hAnsi="Arial" w:cs="Arial"/>
          <w:sz w:val="20"/>
          <w:szCs w:val="20"/>
        </w:rPr>
        <w:t>.</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Medidas de desempeño financiero, metas y alcance: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Mediante matrices de evaluaciones de riesgos en cada una de las áreas del CECCEG</w:t>
      </w:r>
    </w:p>
    <w:p w:rsidR="00000EBA" w:rsidRPr="00091B6D" w:rsidRDefault="00000EBA" w:rsidP="00000EBA">
      <w:pPr>
        <w:spacing w:after="0" w:line="240" w:lineRule="auto"/>
        <w:jc w:val="both"/>
        <w:rPr>
          <w:rFonts w:ascii="Arial" w:hAnsi="Arial" w:cs="Arial"/>
          <w:sz w:val="20"/>
          <w:szCs w:val="20"/>
        </w:rPr>
      </w:pPr>
      <w:r w:rsidRPr="00091B6D">
        <w:rPr>
          <w:rFonts w:ascii="Arial" w:hAnsi="Arial" w:cs="Arial"/>
          <w:sz w:val="20"/>
          <w:szCs w:val="20"/>
        </w:rPr>
        <w:t xml:space="preserve">PRESUPUESTO EJERCIDO / PRESUPUESTO MODIFICADO = % DEL PPTO. POR EJERCER, LA META ES EJERCER EL 100% DEL PRESUPUESTADO MODIFICADO OPTIMIZANDO LOS RECURSOS.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3" w:name="_Toc220077197"/>
      <w:r w:rsidRPr="00091B6D">
        <w:rPr>
          <w:rFonts w:ascii="Arial" w:hAnsi="Arial" w:cs="Arial"/>
          <w:b/>
          <w:color w:val="auto"/>
          <w:sz w:val="20"/>
          <w:szCs w:val="20"/>
        </w:rPr>
        <w:t xml:space="preserve">13. Información por Segmentos: </w:t>
      </w:r>
      <w:r w:rsidRPr="00091B6D">
        <w:rPr>
          <w:rFonts w:ascii="Arial" w:eastAsia="Calibri" w:hAnsi="Arial" w:cs="Arial"/>
          <w:b/>
          <w:color w:val="auto"/>
          <w:sz w:val="20"/>
          <w:szCs w:val="20"/>
        </w:rPr>
        <w:t>“Esta nota no le aplica al ente público”</w:t>
      </w:r>
      <w:bookmarkEnd w:id="13"/>
      <w:r w:rsidRPr="00091B6D">
        <w:rPr>
          <w:rFonts w:ascii="Arial" w:eastAsia="Calibri" w:hAnsi="Arial" w:cs="Arial"/>
          <w:b/>
          <w:color w:val="auto"/>
          <w:sz w:val="20"/>
          <w:szCs w:val="20"/>
        </w:rPr>
        <w:t xml:space="preserve"> </w:t>
      </w:r>
      <w:r w:rsidRPr="00091B6D">
        <w:rPr>
          <w:rFonts w:ascii="Arial" w:hAnsi="Arial" w:cs="Arial"/>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sz w:val="20"/>
          <w:szCs w:val="20"/>
        </w:rPr>
      </w:pPr>
      <w:bookmarkStart w:id="14" w:name="_Toc220077198"/>
      <w:r w:rsidRPr="00091B6D">
        <w:rPr>
          <w:rFonts w:ascii="Arial" w:hAnsi="Arial" w:cs="Arial"/>
          <w:b/>
          <w:color w:val="auto"/>
          <w:sz w:val="20"/>
          <w:szCs w:val="20"/>
        </w:rPr>
        <w:t xml:space="preserve">14. Eventos Posteriores al Cierre: </w:t>
      </w:r>
      <w:r w:rsidRPr="00091B6D">
        <w:rPr>
          <w:rFonts w:ascii="Arial" w:eastAsia="Calibri" w:hAnsi="Arial" w:cs="Arial"/>
          <w:b/>
          <w:color w:val="auto"/>
          <w:sz w:val="20"/>
          <w:szCs w:val="20"/>
        </w:rPr>
        <w:t>“Esta nota no le aplica al ente público”</w:t>
      </w:r>
      <w:bookmarkEnd w:id="14"/>
      <w:r w:rsidRPr="00091B6D">
        <w:rPr>
          <w:rFonts w:ascii="Arial" w:eastAsia="Calibri" w:hAnsi="Arial" w:cs="Arial"/>
          <w:b/>
          <w:color w:val="auto"/>
          <w:sz w:val="20"/>
          <w:szCs w:val="20"/>
        </w:rPr>
        <w:t xml:space="preserve"> </w:t>
      </w:r>
      <w:r w:rsidRPr="00091B6D">
        <w:rPr>
          <w:rFonts w:ascii="Arial" w:hAnsi="Arial" w:cs="Arial"/>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5" w:name="_Toc220077199"/>
      <w:r w:rsidRPr="00091B6D">
        <w:rPr>
          <w:rFonts w:ascii="Arial" w:hAnsi="Arial" w:cs="Arial"/>
          <w:b/>
          <w:color w:val="auto"/>
          <w:sz w:val="20"/>
          <w:szCs w:val="20"/>
        </w:rPr>
        <w:t xml:space="preserve">15. Partes Relacionadas: </w:t>
      </w:r>
      <w:r w:rsidRPr="00091B6D">
        <w:rPr>
          <w:rFonts w:ascii="Arial" w:eastAsia="Calibri" w:hAnsi="Arial" w:cs="Arial"/>
          <w:b/>
          <w:color w:val="auto"/>
          <w:sz w:val="20"/>
          <w:szCs w:val="20"/>
        </w:rPr>
        <w:t>“Esta nota no le aplica al ente público”</w:t>
      </w:r>
      <w:bookmarkEnd w:id="15"/>
      <w:r w:rsidRPr="00091B6D">
        <w:rPr>
          <w:rFonts w:ascii="Arial" w:eastAsia="Calibri" w:hAnsi="Arial" w:cs="Arial"/>
          <w:b/>
          <w:color w:val="auto"/>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6" w:name="_Toc220077200"/>
      <w:r w:rsidRPr="00091B6D">
        <w:rPr>
          <w:rFonts w:ascii="Arial" w:hAnsi="Arial" w:cs="Arial"/>
          <w:b/>
          <w:color w:val="auto"/>
          <w:sz w:val="20"/>
          <w:szCs w:val="20"/>
        </w:rPr>
        <w:t>16. Responsabilidad Sobre la Presentación Razonable de la Información Contable:</w:t>
      </w:r>
      <w:bookmarkEnd w:id="16"/>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“Bajo protesta de decir verdad declaramos que los Estados Financieros y sus notas, son razonablemente correctos y son responsabilidad del emisor”. </w:t>
      </w: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9F482A" w:rsidP="00000EBA">
      <w:pPr>
        <w:rPr>
          <w:rFonts w:ascii="Arial" w:hAnsi="Arial" w:cs="Arial"/>
          <w:sz w:val="20"/>
          <w:szCs w:val="20"/>
        </w:rPr>
      </w:pPr>
      <w:r>
        <w:rPr>
          <w:noProof/>
        </w:rPr>
        <mc:AlternateContent>
          <mc:Choice Requires="wpg">
            <w:drawing>
              <wp:anchor distT="0" distB="0" distL="114300" distR="114300" simplePos="0" relativeHeight="251659264" behindDoc="0" locked="0" layoutInCell="1" allowOverlap="1" wp14:anchorId="39D3AC17" wp14:editId="087DB099">
                <wp:simplePos x="0" y="0"/>
                <wp:positionH relativeFrom="column">
                  <wp:posOffset>1017270</wp:posOffset>
                </wp:positionH>
                <wp:positionV relativeFrom="paragraph">
                  <wp:posOffset>5715</wp:posOffset>
                </wp:positionV>
                <wp:extent cx="6171565" cy="737870"/>
                <wp:effectExtent l="0" t="0" r="635" b="5080"/>
                <wp:wrapNone/>
                <wp:docPr id="9" name="Grupo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171565" cy="737870"/>
                          <a:chOff x="0" y="0"/>
                          <a:chExt cx="3735512" cy="268795"/>
                        </a:xfrm>
                      </wpg:grpSpPr>
                      <wps:wsp>
                        <wps:cNvPr id="10" name="CuadroTexto 2">
                          <a:extLst/>
                        </wps:cNvPr>
                        <wps:cNvSpPr txBox="1"/>
                        <wps:spPr>
                          <a:xfrm>
                            <a:off x="0" y="0"/>
                            <a:ext cx="1506238" cy="268795"/>
                          </a:xfrm>
                          <a:prstGeom prst="rect">
                            <a:avLst/>
                          </a:prstGeom>
                          <a:solidFill>
                            <a:schemeClr val="lt1"/>
                          </a:solidFill>
                          <a:ln w="9525" cmpd="sng">
                            <a:noFill/>
                          </a:ln>
                          <a:effectLst/>
                          <a:extLs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9F482A" w:rsidRDefault="009F482A" w:rsidP="009F482A">
                              <w:pPr>
                                <w:pStyle w:val="NormalWeb"/>
                                <w:spacing w:before="0" w:beforeAutospacing="0" w:after="0" w:afterAutospacing="0"/>
                              </w:pPr>
                              <w:r>
                                <w:rPr>
                                  <w:rFonts w:asciiTheme="minorHAnsi" w:hAnsi="Calibri" w:cstheme="minorBidi"/>
                                  <w:color w:val="000000" w:themeColor="dark1"/>
                                  <w:sz w:val="22"/>
                                  <w:szCs w:val="22"/>
                                </w:rPr>
                                <w:t>_________________________________</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Revisó</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 xml:space="preserve">C.P Carlos Pineda Gómez </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Director de Administración</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CECC</w:t>
                              </w:r>
                            </w:p>
                          </w:txbxContent>
                        </wps:txbx>
                        <wps:bodyPr vert="horz" wrap="none" rtlCol="0" anchor="t">
                          <a:spAutoFit/>
                        </wps:bodyPr>
                      </wps:wsp>
                      <wps:wsp>
                        <wps:cNvPr id="11" name="CuadroTexto 3">
                          <a:extLst/>
                        </wps:cNvPr>
                        <wps:cNvSpPr txBox="1"/>
                        <wps:spPr>
                          <a:xfrm>
                            <a:off x="2229274" y="0"/>
                            <a:ext cx="1506238" cy="268795"/>
                          </a:xfrm>
                          <a:prstGeom prst="rect">
                            <a:avLst/>
                          </a:prstGeom>
                          <a:solidFill>
                            <a:schemeClr val="lt1"/>
                          </a:solidFill>
                          <a:ln w="9525" cmpd="sng">
                            <a:noFill/>
                          </a:ln>
                          <a:effectLst/>
                          <a:extLs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9F482A" w:rsidRDefault="009F482A" w:rsidP="009F482A">
                              <w:pPr>
                                <w:pStyle w:val="NormalWeb"/>
                                <w:spacing w:before="0" w:beforeAutospacing="0" w:after="0" w:afterAutospacing="0"/>
                              </w:pPr>
                              <w:r>
                                <w:rPr>
                                  <w:rFonts w:asciiTheme="minorHAnsi" w:hAnsi="Calibri" w:cstheme="minorBidi"/>
                                  <w:color w:val="000000" w:themeColor="dark1"/>
                                  <w:sz w:val="22"/>
                                  <w:szCs w:val="22"/>
                                </w:rPr>
                                <w:t>_________________________________</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Autorizó</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 xml:space="preserve">Lic. José Gustavo Saldívar Bautista </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Director General</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CECC</w:t>
                              </w:r>
                            </w:p>
                          </w:txbxContent>
                        </wps:txbx>
                        <wps:bodyPr vert="horz" wrap="none" rtlCol="0" anchor="t">
                          <a:spAutoFit/>
                        </wps:bodyPr>
                      </wps:wsp>
                    </wpg:wgp>
                  </a:graphicData>
                </a:graphic>
              </wp:anchor>
            </w:drawing>
          </mc:Choice>
          <mc:Fallback>
            <w:pict>
              <v:group w14:anchorId="39D3AC17" id="Grupo 1" o:spid="_x0000_s1026" style="position:absolute;margin-left:80.1pt;margin-top:.45pt;width:485.95pt;height:58.1pt;z-index:251659264" coordsize="37355,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">
                <v:shapetype id="_x0000_t202" coordsize="21600,21600" o:spt="202" path="m,l,21600r21600,l21600,xe">
                  <v:stroke joinstyle="miter"/>
                  <v:path gradientshapeok="t" o:connecttype="rect"/>
                </v:shapetype>
                <v:shape id="CuadroTexto 2" o:spid="_x0000_s1027" type="#_x0000_t202" style="position:absolute;width:15062;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" fillcolor="white [3201]" stroked="f" strokecolor="#7f7f7f [1601]">
                  <v:textbox style="mso-fit-shape-to-text:t">
                    <w:txbxContent>
                      <w:p w:rsidR="009F482A" w:rsidRDefault="009F482A" w:rsidP="009F482A">
                        <w:pPr>
                          <w:pStyle w:val="NormalWeb"/>
                          <w:spacing w:before="0" w:beforeAutospacing="0" w:after="0" w:afterAutospacing="0"/>
                        </w:pPr>
                        <w:r>
                          <w:rPr>
                            <w:rFonts w:asciiTheme="minorHAnsi" w:hAnsi="Calibri" w:cstheme="minorBidi"/>
                            <w:color w:val="000000" w:themeColor="dark1"/>
                            <w:sz w:val="22"/>
                            <w:szCs w:val="22"/>
                          </w:rPr>
                          <w:t>_________________________________</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Revisó</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 xml:space="preserve">C.P Carlos Pineda Gómez </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Director de Administración</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CECC</w:t>
                        </w:r>
                      </w:p>
                    </w:txbxContent>
                  </v:textbox>
                </v:shape>
                <v:shape id="CuadroTexto 3" o:spid="_x0000_s1028" type="#_x0000_t202" style="position:absolute;left:22292;width:15063;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" fillcolor="white [3201]" stroked="f" strokecolor="#7f7f7f [1601]">
                  <v:textbox style="mso-fit-shape-to-text:t">
                    <w:txbxContent>
                      <w:p w:rsidR="009F482A" w:rsidRDefault="009F482A" w:rsidP="009F482A">
                        <w:pPr>
                          <w:pStyle w:val="NormalWeb"/>
                          <w:spacing w:before="0" w:beforeAutospacing="0" w:after="0" w:afterAutospacing="0"/>
                        </w:pPr>
                        <w:r>
                          <w:rPr>
                            <w:rFonts w:asciiTheme="minorHAnsi" w:hAnsi="Calibri" w:cstheme="minorBidi"/>
                            <w:color w:val="000000" w:themeColor="dark1"/>
                            <w:sz w:val="22"/>
                            <w:szCs w:val="22"/>
                          </w:rPr>
                          <w:t>_________________________________</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Autorizó</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 xml:space="preserve">Lic. José Gustavo Saldívar Bautista </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Director General</w:t>
                        </w:r>
                      </w:p>
                      <w:p w:rsidR="009F482A" w:rsidRDefault="009F482A" w:rsidP="009F482A">
                        <w:pPr>
                          <w:pStyle w:val="NormalWeb"/>
                          <w:spacing w:before="0" w:beforeAutospacing="0" w:after="0" w:afterAutospacing="0"/>
                          <w:jc w:val="center"/>
                        </w:pPr>
                        <w:r>
                          <w:rPr>
                            <w:rFonts w:ascii="Arial" w:hAnsi="Arial" w:cstheme="minorBidi"/>
                            <w:color w:val="000000" w:themeColor="dark1"/>
                            <w:sz w:val="16"/>
                            <w:szCs w:val="16"/>
                          </w:rPr>
                          <w:t>CECC</w:t>
                        </w:r>
                      </w:p>
                    </w:txbxContent>
                  </v:textbox>
                </v:shape>
              </v:group>
            </w:pict>
          </mc:Fallback>
        </mc:AlternateContent>
      </w: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jc w:val="right"/>
        <w:rPr>
          <w:rFonts w:ascii="Arial" w:hAnsi="Arial" w:cs="Arial"/>
          <w:sz w:val="20"/>
          <w:szCs w:val="20"/>
        </w:rPr>
      </w:pPr>
    </w:p>
    <w:p w:rsidR="00A272EF" w:rsidRDefault="00A272EF"/>
    <w:sectPr w:rsidR="00A272EF" w:rsidSect="004C0484">
      <w:headerReference w:type="default" r:id="rId15"/>
      <w:footerReference w:type="default" r:id="rId16"/>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61" w:rsidRDefault="004B5861" w:rsidP="00000EBA">
      <w:pPr>
        <w:spacing w:after="0" w:line="240" w:lineRule="auto"/>
      </w:pPr>
      <w:r>
        <w:separator/>
      </w:r>
    </w:p>
  </w:endnote>
  <w:endnote w:type="continuationSeparator" w:id="0">
    <w:p w:rsidR="004B5861" w:rsidRDefault="004B5861" w:rsidP="0000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5A" w:rsidRDefault="004B5861" w:rsidP="00000EBA">
    <w:pPr>
      <w:pStyle w:val="Piedepgina"/>
    </w:pPr>
  </w:p>
  <w:p w:rsidR="0012405A" w:rsidRDefault="004B58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61" w:rsidRDefault="004B5861" w:rsidP="00000EBA">
      <w:pPr>
        <w:spacing w:after="0" w:line="240" w:lineRule="auto"/>
      </w:pPr>
      <w:r>
        <w:separator/>
      </w:r>
    </w:p>
  </w:footnote>
  <w:footnote w:type="continuationSeparator" w:id="0">
    <w:p w:rsidR="004B5861" w:rsidRDefault="004B5861" w:rsidP="0000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BA7" w:rsidRDefault="003B6BA7" w:rsidP="003B6BA7">
    <w:pPr>
      <w:pStyle w:val="Encabezado"/>
      <w:spacing w:after="0" w:line="240" w:lineRule="auto"/>
      <w:jc w:val="center"/>
    </w:pPr>
    <w:r>
      <w:t>CENTRO DE EVALUACIÓN Y CONTROL DE CONFIANZA DEL ESTADO DE GUANAJUATO</w:t>
    </w:r>
  </w:p>
  <w:p w:rsidR="003B6BA7" w:rsidRDefault="003B6BA7" w:rsidP="003B6BA7">
    <w:pPr>
      <w:pStyle w:val="Encabezado"/>
      <w:spacing w:after="0" w:line="240" w:lineRule="auto"/>
      <w:jc w:val="center"/>
    </w:pPr>
    <w:r w:rsidRPr="00A4610E">
      <w:t>CORRESPONDI</w:t>
    </w:r>
    <w:r>
      <w:t>E</w:t>
    </w:r>
    <w:r w:rsidRPr="00A4610E">
      <w:t xml:space="preserve">NTES AL </w:t>
    </w:r>
    <w:r>
      <w:t>31 DE MARZO DE 2026</w:t>
    </w:r>
  </w:p>
  <w:p w:rsidR="003B6BA7" w:rsidRDefault="003B6B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0E" w:rsidRPr="00000EBA" w:rsidRDefault="004B5861" w:rsidP="00000E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4637"/>
    <w:multiLevelType w:val="hybridMultilevel"/>
    <w:tmpl w:val="DA7205E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16B5F80"/>
    <w:multiLevelType w:val="hybridMultilevel"/>
    <w:tmpl w:val="662E7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2C2697"/>
    <w:multiLevelType w:val="hybridMultilevel"/>
    <w:tmpl w:val="31AE4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BA"/>
    <w:rsid w:val="00000EBA"/>
    <w:rsid w:val="000216FD"/>
    <w:rsid w:val="001E43D6"/>
    <w:rsid w:val="002564C0"/>
    <w:rsid w:val="003B6BA7"/>
    <w:rsid w:val="004B5861"/>
    <w:rsid w:val="005E0BBA"/>
    <w:rsid w:val="007D4E69"/>
    <w:rsid w:val="009A5E87"/>
    <w:rsid w:val="009F482A"/>
    <w:rsid w:val="00A272EF"/>
    <w:rsid w:val="00DE4380"/>
    <w:rsid w:val="00E72D3A"/>
    <w:rsid w:val="00F31E1B"/>
    <w:rsid w:val="00F43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F9AB"/>
  <w15:chartTrackingRefBased/>
  <w15:docId w15:val="{AF7B9937-46A6-434E-9CEA-1083875B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EB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00E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00E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0EBA"/>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000EBA"/>
    <w:pPr>
      <w:ind w:left="720"/>
      <w:contextualSpacing/>
    </w:pPr>
  </w:style>
  <w:style w:type="character" w:styleId="Hipervnculo">
    <w:name w:val="Hyperlink"/>
    <w:uiPriority w:val="99"/>
    <w:unhideWhenUsed/>
    <w:rsid w:val="00000EBA"/>
    <w:rPr>
      <w:color w:val="0000FF"/>
      <w:u w:val="single"/>
    </w:rPr>
  </w:style>
  <w:style w:type="paragraph" w:styleId="Encabezado">
    <w:name w:val="header"/>
    <w:basedOn w:val="Normal"/>
    <w:link w:val="EncabezadoCar"/>
    <w:uiPriority w:val="99"/>
    <w:unhideWhenUsed/>
    <w:rsid w:val="00000EBA"/>
    <w:pPr>
      <w:tabs>
        <w:tab w:val="center" w:pos="4419"/>
        <w:tab w:val="right" w:pos="8838"/>
      </w:tabs>
    </w:pPr>
  </w:style>
  <w:style w:type="character" w:customStyle="1" w:styleId="EncabezadoCar">
    <w:name w:val="Encabezado Car"/>
    <w:basedOn w:val="Fuentedeprrafopredeter"/>
    <w:link w:val="Encabezado"/>
    <w:uiPriority w:val="99"/>
    <w:rsid w:val="00000EBA"/>
    <w:rPr>
      <w:rFonts w:ascii="Calibri" w:eastAsia="Calibri" w:hAnsi="Calibri" w:cs="Times New Roman"/>
    </w:rPr>
  </w:style>
  <w:style w:type="paragraph" w:styleId="Piedepgina">
    <w:name w:val="footer"/>
    <w:basedOn w:val="Normal"/>
    <w:link w:val="PiedepginaCar"/>
    <w:uiPriority w:val="99"/>
    <w:unhideWhenUsed/>
    <w:rsid w:val="00000EBA"/>
    <w:pPr>
      <w:tabs>
        <w:tab w:val="center" w:pos="4419"/>
        <w:tab w:val="right" w:pos="8838"/>
      </w:tabs>
    </w:pPr>
  </w:style>
  <w:style w:type="character" w:customStyle="1" w:styleId="PiedepginaCar">
    <w:name w:val="Pie de página Car"/>
    <w:basedOn w:val="Fuentedeprrafopredeter"/>
    <w:link w:val="Piedepgina"/>
    <w:uiPriority w:val="99"/>
    <w:rsid w:val="00000EBA"/>
    <w:rPr>
      <w:rFonts w:ascii="Calibri" w:eastAsia="Calibri" w:hAnsi="Calibri" w:cs="Times New Roman"/>
    </w:rPr>
  </w:style>
  <w:style w:type="character" w:customStyle="1" w:styleId="Ttulo1Car">
    <w:name w:val="Título 1 Car"/>
    <w:basedOn w:val="Fuentedeprrafopredeter"/>
    <w:link w:val="Ttulo1"/>
    <w:uiPriority w:val="9"/>
    <w:rsid w:val="00000EB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00EBA"/>
    <w:pPr>
      <w:spacing w:line="259" w:lineRule="auto"/>
      <w:outlineLvl w:val="9"/>
    </w:pPr>
    <w:rPr>
      <w:lang w:eastAsia="es-MX"/>
    </w:rPr>
  </w:style>
  <w:style w:type="paragraph" w:styleId="TDC2">
    <w:name w:val="toc 2"/>
    <w:basedOn w:val="Normal"/>
    <w:next w:val="Normal"/>
    <w:autoRedefine/>
    <w:uiPriority w:val="39"/>
    <w:unhideWhenUsed/>
    <w:rsid w:val="00000EBA"/>
    <w:pPr>
      <w:spacing w:after="100"/>
      <w:ind w:left="220"/>
    </w:pPr>
  </w:style>
  <w:style w:type="paragraph" w:customStyle="1" w:styleId="Texto">
    <w:name w:val="Texto"/>
    <w:basedOn w:val="Normal"/>
    <w:link w:val="TextoCar"/>
    <w:qFormat/>
    <w:rsid w:val="00000EB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00EBA"/>
    <w:rPr>
      <w:rFonts w:ascii="Arial" w:eastAsia="Times New Roman" w:hAnsi="Arial" w:cs="Arial"/>
      <w:sz w:val="18"/>
      <w:szCs w:val="20"/>
      <w:lang w:val="es-ES" w:eastAsia="es-ES"/>
    </w:rPr>
  </w:style>
  <w:style w:type="paragraph" w:styleId="NormalWeb">
    <w:name w:val="Normal (Web)"/>
    <w:basedOn w:val="Normal"/>
    <w:uiPriority w:val="99"/>
    <w:semiHidden/>
    <w:unhideWhenUsed/>
    <w:rsid w:val="009F482A"/>
    <w:pPr>
      <w:spacing w:before="100" w:beforeAutospacing="1" w:after="100" w:afterAutospacing="1" w:line="240" w:lineRule="auto"/>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egi.org.m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3107</Words>
  <Characters>17090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Cecceg</dc:creator>
  <cp:keywords/>
  <dc:description/>
  <cp:lastModifiedBy>Cecceg</cp:lastModifiedBy>
  <cp:revision>5</cp:revision>
  <cp:lastPrinted>2026-04-21T14:57:00Z</cp:lastPrinted>
  <dcterms:created xsi:type="dcterms:W3CDTF">2026-04-15T20:27:00Z</dcterms:created>
  <dcterms:modified xsi:type="dcterms:W3CDTF">2026-04-21T16:03:00Z</dcterms:modified>
</cp:coreProperties>
</file>