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EBA" w:rsidRPr="00091B6D" w:rsidRDefault="00000EBA" w:rsidP="00000EBA">
      <w:pPr>
        <w:tabs>
          <w:tab w:val="left" w:leader="underscore" w:pos="9639"/>
        </w:tabs>
        <w:spacing w:after="0" w:line="240" w:lineRule="auto"/>
        <w:ind w:left="9639" w:hanging="9639"/>
        <w:jc w:val="center"/>
        <w:rPr>
          <w:rFonts w:ascii="Arial" w:hAnsi="Arial" w:cs="Arial"/>
          <w:sz w:val="20"/>
          <w:szCs w:val="20"/>
        </w:rPr>
      </w:pPr>
    </w:p>
    <w:p w:rsidR="00000EBA" w:rsidRPr="00091B6D" w:rsidRDefault="00000EBA" w:rsidP="00000EBA">
      <w:pPr>
        <w:tabs>
          <w:tab w:val="left" w:leader="underscore" w:pos="9639"/>
        </w:tabs>
        <w:spacing w:after="0" w:line="240" w:lineRule="auto"/>
        <w:jc w:val="center"/>
        <w:rPr>
          <w:rFonts w:ascii="Arial" w:hAnsi="Arial" w:cs="Arial"/>
          <w:b/>
          <w:sz w:val="20"/>
          <w:szCs w:val="20"/>
        </w:rPr>
      </w:pPr>
      <w:hyperlink r:id="rId7" w:history="1">
        <w:r w:rsidRPr="00091B6D">
          <w:rPr>
            <w:rStyle w:val="Hipervnculo"/>
            <w:rFonts w:ascii="Arial" w:hAnsi="Arial" w:cs="Arial"/>
            <w:b/>
            <w:sz w:val="20"/>
            <w:szCs w:val="20"/>
          </w:rPr>
          <w:t>NOTAS DE GESTIÓN ADMINISTRATIVA</w:t>
        </w:r>
      </w:hyperlink>
    </w:p>
    <w:p w:rsidR="00000EBA" w:rsidRPr="00091B6D" w:rsidRDefault="00000EBA" w:rsidP="00000EBA">
      <w:pPr>
        <w:tabs>
          <w:tab w:val="left" w:leader="underscore" w:pos="9639"/>
        </w:tabs>
        <w:spacing w:after="0" w:line="240" w:lineRule="auto"/>
        <w:jc w:val="both"/>
        <w:rPr>
          <w:rFonts w:ascii="Arial" w:hAnsi="Arial" w:cs="Arial"/>
          <w:sz w:val="20"/>
          <w:szCs w:val="20"/>
        </w:rPr>
      </w:pPr>
    </w:p>
    <w:sdt>
      <w:sdtPr>
        <w:rPr>
          <w:rFonts w:ascii="Arial" w:eastAsia="Calibri" w:hAnsi="Arial" w:cs="Arial"/>
          <w:color w:val="auto"/>
          <w:sz w:val="20"/>
          <w:szCs w:val="20"/>
          <w:lang w:val="es-ES" w:eastAsia="en-US"/>
        </w:rPr>
        <w:id w:val="-191922827"/>
        <w:docPartObj>
          <w:docPartGallery w:val="Table of Contents"/>
          <w:docPartUnique/>
        </w:docPartObj>
      </w:sdtPr>
      <w:sdtEndPr>
        <w:rPr>
          <w:b/>
          <w:bCs/>
        </w:rPr>
      </w:sdtEndPr>
      <w:sdtContent>
        <w:p w:rsidR="00000EBA" w:rsidRPr="00091B6D" w:rsidRDefault="00000EBA" w:rsidP="00000EBA">
          <w:pPr>
            <w:pStyle w:val="TtuloTDC"/>
            <w:spacing w:line="240" w:lineRule="auto"/>
            <w:rPr>
              <w:rFonts w:ascii="Arial" w:hAnsi="Arial" w:cs="Arial"/>
              <w:sz w:val="20"/>
              <w:szCs w:val="20"/>
              <w:lang w:val="es-ES"/>
            </w:rPr>
          </w:pPr>
          <w:r w:rsidRPr="00091B6D">
            <w:rPr>
              <w:rFonts w:ascii="Arial" w:hAnsi="Arial" w:cs="Arial"/>
              <w:sz w:val="20"/>
              <w:szCs w:val="20"/>
              <w:lang w:val="es-ES"/>
            </w:rPr>
            <w:t>Contenido</w:t>
          </w:r>
        </w:p>
        <w:p w:rsidR="00000EBA" w:rsidRPr="00091B6D" w:rsidRDefault="00000EBA" w:rsidP="00000EBA">
          <w:pPr>
            <w:spacing w:line="240" w:lineRule="auto"/>
            <w:rPr>
              <w:rFonts w:ascii="Arial" w:hAnsi="Arial" w:cs="Arial"/>
              <w:sz w:val="20"/>
              <w:szCs w:val="20"/>
              <w:lang w:val="es-ES" w:eastAsia="es-MX"/>
            </w:rPr>
          </w:pPr>
        </w:p>
        <w:p w:rsidR="00000EBA" w:rsidRDefault="00000EBA">
          <w:pPr>
            <w:pStyle w:val="TDC2"/>
            <w:tabs>
              <w:tab w:val="right" w:leader="dot" w:pos="13278"/>
            </w:tabs>
            <w:rPr>
              <w:rFonts w:asciiTheme="minorHAnsi" w:eastAsiaTheme="minorEastAsia" w:hAnsiTheme="minorHAnsi" w:cstheme="minorBidi"/>
              <w:noProof/>
              <w:lang w:eastAsia="es-MX"/>
            </w:rPr>
          </w:pPr>
          <w:r w:rsidRPr="00091B6D">
            <w:rPr>
              <w:rFonts w:ascii="Arial" w:hAnsi="Arial" w:cs="Arial"/>
              <w:sz w:val="20"/>
              <w:szCs w:val="20"/>
            </w:rPr>
            <w:fldChar w:fldCharType="begin"/>
          </w:r>
          <w:r w:rsidRPr="00091B6D">
            <w:rPr>
              <w:rFonts w:ascii="Arial" w:hAnsi="Arial" w:cs="Arial"/>
              <w:sz w:val="20"/>
              <w:szCs w:val="20"/>
            </w:rPr>
            <w:instrText xml:space="preserve"> TOC \o "1-3" \h \z \u </w:instrText>
          </w:r>
          <w:r w:rsidRPr="00091B6D">
            <w:rPr>
              <w:rFonts w:ascii="Arial" w:hAnsi="Arial" w:cs="Arial"/>
              <w:sz w:val="20"/>
              <w:szCs w:val="20"/>
            </w:rPr>
            <w:fldChar w:fldCharType="separate"/>
          </w:r>
          <w:bookmarkStart w:id="0" w:name="_GoBack"/>
          <w:bookmarkEnd w:id="0"/>
          <w:r w:rsidRPr="00495280">
            <w:rPr>
              <w:rStyle w:val="Hipervnculo"/>
              <w:noProof/>
            </w:rPr>
            <w:fldChar w:fldCharType="begin"/>
          </w:r>
          <w:r w:rsidRPr="00495280">
            <w:rPr>
              <w:rStyle w:val="Hipervnculo"/>
              <w:noProof/>
            </w:rPr>
            <w:instrText xml:space="preserve"> </w:instrText>
          </w:r>
          <w:r>
            <w:rPr>
              <w:noProof/>
            </w:rPr>
            <w:instrText>HYPERLINK \l "_Toc220077185"</w:instrText>
          </w:r>
          <w:r w:rsidRPr="00495280">
            <w:rPr>
              <w:rStyle w:val="Hipervnculo"/>
              <w:noProof/>
            </w:rPr>
            <w:instrText xml:space="preserve"> </w:instrText>
          </w:r>
          <w:r w:rsidRPr="00495280">
            <w:rPr>
              <w:rStyle w:val="Hipervnculo"/>
              <w:noProof/>
            </w:rPr>
          </w:r>
          <w:r w:rsidRPr="00495280">
            <w:rPr>
              <w:rStyle w:val="Hipervnculo"/>
              <w:noProof/>
            </w:rPr>
            <w:fldChar w:fldCharType="separate"/>
          </w:r>
          <w:r w:rsidRPr="00495280">
            <w:rPr>
              <w:rStyle w:val="Hipervnculo"/>
              <w:rFonts w:ascii="Arial" w:hAnsi="Arial" w:cs="Arial"/>
              <w:b/>
              <w:noProof/>
            </w:rPr>
            <w:t>1. Autorización e Historia:</w:t>
          </w:r>
          <w:r>
            <w:rPr>
              <w:noProof/>
              <w:webHidden/>
            </w:rPr>
            <w:tab/>
          </w:r>
          <w:r>
            <w:rPr>
              <w:noProof/>
              <w:webHidden/>
            </w:rPr>
            <w:fldChar w:fldCharType="begin"/>
          </w:r>
          <w:r>
            <w:rPr>
              <w:noProof/>
              <w:webHidden/>
            </w:rPr>
            <w:instrText xml:space="preserve"> PAGEREF _Toc220077185 \h </w:instrText>
          </w:r>
          <w:r>
            <w:rPr>
              <w:noProof/>
              <w:webHidden/>
            </w:rPr>
          </w:r>
          <w:r>
            <w:rPr>
              <w:noProof/>
              <w:webHidden/>
            </w:rPr>
            <w:fldChar w:fldCharType="separate"/>
          </w:r>
          <w:r>
            <w:rPr>
              <w:noProof/>
              <w:webHidden/>
            </w:rPr>
            <w:t>2</w:t>
          </w:r>
          <w:r>
            <w:rPr>
              <w:noProof/>
              <w:webHidden/>
            </w:rPr>
            <w:fldChar w:fldCharType="end"/>
          </w:r>
          <w:r w:rsidRPr="00495280">
            <w:rPr>
              <w:rStyle w:val="Hipervnculo"/>
              <w:noProof/>
            </w:rPr>
            <w:fldChar w:fldCharType="end"/>
          </w:r>
        </w:p>
        <w:p w:rsidR="00000EBA" w:rsidRDefault="00000EBA">
          <w:pPr>
            <w:pStyle w:val="TDC2"/>
            <w:tabs>
              <w:tab w:val="right" w:leader="dot" w:pos="13278"/>
            </w:tabs>
            <w:rPr>
              <w:rFonts w:asciiTheme="minorHAnsi" w:eastAsiaTheme="minorEastAsia" w:hAnsiTheme="minorHAnsi" w:cstheme="minorBidi"/>
              <w:noProof/>
              <w:lang w:eastAsia="es-MX"/>
            </w:rPr>
          </w:pPr>
          <w:hyperlink w:anchor="_Toc220077186" w:history="1">
            <w:r w:rsidRPr="00495280">
              <w:rPr>
                <w:rStyle w:val="Hipervnculo"/>
                <w:rFonts w:ascii="Arial" w:hAnsi="Arial" w:cs="Arial"/>
                <w:b/>
                <w:noProof/>
              </w:rPr>
              <w:t>2. Panorama Económico y Financiero</w:t>
            </w:r>
            <w:r>
              <w:rPr>
                <w:noProof/>
                <w:webHidden/>
              </w:rPr>
              <w:tab/>
            </w:r>
            <w:r>
              <w:rPr>
                <w:noProof/>
                <w:webHidden/>
              </w:rPr>
              <w:fldChar w:fldCharType="begin"/>
            </w:r>
            <w:r>
              <w:rPr>
                <w:noProof/>
                <w:webHidden/>
              </w:rPr>
              <w:instrText xml:space="preserve"> PAGEREF _Toc220077186 \h </w:instrText>
            </w:r>
            <w:r>
              <w:rPr>
                <w:noProof/>
                <w:webHidden/>
              </w:rPr>
            </w:r>
            <w:r>
              <w:rPr>
                <w:noProof/>
                <w:webHidden/>
              </w:rPr>
              <w:fldChar w:fldCharType="separate"/>
            </w:r>
            <w:r>
              <w:rPr>
                <w:noProof/>
                <w:webHidden/>
              </w:rPr>
              <w:t>4</w:t>
            </w:r>
            <w:r>
              <w:rPr>
                <w:noProof/>
                <w:webHidden/>
              </w:rPr>
              <w:fldChar w:fldCharType="end"/>
            </w:r>
          </w:hyperlink>
        </w:p>
        <w:p w:rsidR="00000EBA" w:rsidRDefault="00000EBA">
          <w:pPr>
            <w:pStyle w:val="TDC2"/>
            <w:tabs>
              <w:tab w:val="right" w:leader="dot" w:pos="13278"/>
            </w:tabs>
            <w:rPr>
              <w:rFonts w:asciiTheme="minorHAnsi" w:eastAsiaTheme="minorEastAsia" w:hAnsiTheme="minorHAnsi" w:cstheme="minorBidi"/>
              <w:noProof/>
              <w:lang w:eastAsia="es-MX"/>
            </w:rPr>
          </w:pPr>
          <w:hyperlink w:anchor="_Toc220077187" w:history="1">
            <w:r w:rsidRPr="00495280">
              <w:rPr>
                <w:rStyle w:val="Hipervnculo"/>
                <w:rFonts w:ascii="Arial" w:hAnsi="Arial" w:cs="Arial"/>
                <w:b/>
                <w:noProof/>
              </w:rPr>
              <w:t>3. Organización y Objeto Social:</w:t>
            </w:r>
            <w:r>
              <w:rPr>
                <w:noProof/>
                <w:webHidden/>
              </w:rPr>
              <w:tab/>
            </w:r>
            <w:r>
              <w:rPr>
                <w:noProof/>
                <w:webHidden/>
              </w:rPr>
              <w:fldChar w:fldCharType="begin"/>
            </w:r>
            <w:r>
              <w:rPr>
                <w:noProof/>
                <w:webHidden/>
              </w:rPr>
              <w:instrText xml:space="preserve"> PAGEREF _Toc220077187 \h </w:instrText>
            </w:r>
            <w:r>
              <w:rPr>
                <w:noProof/>
                <w:webHidden/>
              </w:rPr>
            </w:r>
            <w:r>
              <w:rPr>
                <w:noProof/>
                <w:webHidden/>
              </w:rPr>
              <w:fldChar w:fldCharType="separate"/>
            </w:r>
            <w:r>
              <w:rPr>
                <w:noProof/>
                <w:webHidden/>
              </w:rPr>
              <w:t>4</w:t>
            </w:r>
            <w:r>
              <w:rPr>
                <w:noProof/>
                <w:webHidden/>
              </w:rPr>
              <w:fldChar w:fldCharType="end"/>
            </w:r>
          </w:hyperlink>
        </w:p>
        <w:p w:rsidR="00000EBA" w:rsidRDefault="00000EBA">
          <w:pPr>
            <w:pStyle w:val="TDC2"/>
            <w:tabs>
              <w:tab w:val="right" w:leader="dot" w:pos="13278"/>
            </w:tabs>
            <w:rPr>
              <w:rFonts w:asciiTheme="minorHAnsi" w:eastAsiaTheme="minorEastAsia" w:hAnsiTheme="minorHAnsi" w:cstheme="minorBidi"/>
              <w:noProof/>
              <w:lang w:eastAsia="es-MX"/>
            </w:rPr>
          </w:pPr>
          <w:hyperlink w:anchor="_Toc220077188" w:history="1">
            <w:r w:rsidRPr="00495280">
              <w:rPr>
                <w:rStyle w:val="Hipervnculo"/>
                <w:rFonts w:ascii="Arial" w:hAnsi="Arial" w:cs="Arial"/>
                <w:b/>
                <w:noProof/>
              </w:rPr>
              <w:t>4. Bases de Preparación de los Estados Financieros:</w:t>
            </w:r>
            <w:r>
              <w:rPr>
                <w:noProof/>
                <w:webHidden/>
              </w:rPr>
              <w:tab/>
            </w:r>
            <w:r>
              <w:rPr>
                <w:noProof/>
                <w:webHidden/>
              </w:rPr>
              <w:fldChar w:fldCharType="begin"/>
            </w:r>
            <w:r>
              <w:rPr>
                <w:noProof/>
                <w:webHidden/>
              </w:rPr>
              <w:instrText xml:space="preserve"> PAGEREF _Toc220077188 \h </w:instrText>
            </w:r>
            <w:r>
              <w:rPr>
                <w:noProof/>
                <w:webHidden/>
              </w:rPr>
            </w:r>
            <w:r>
              <w:rPr>
                <w:noProof/>
                <w:webHidden/>
              </w:rPr>
              <w:fldChar w:fldCharType="separate"/>
            </w:r>
            <w:r>
              <w:rPr>
                <w:noProof/>
                <w:webHidden/>
              </w:rPr>
              <w:t>8</w:t>
            </w:r>
            <w:r>
              <w:rPr>
                <w:noProof/>
                <w:webHidden/>
              </w:rPr>
              <w:fldChar w:fldCharType="end"/>
            </w:r>
          </w:hyperlink>
        </w:p>
        <w:p w:rsidR="00000EBA" w:rsidRDefault="00000EBA">
          <w:pPr>
            <w:pStyle w:val="TDC2"/>
            <w:tabs>
              <w:tab w:val="right" w:leader="dot" w:pos="13278"/>
            </w:tabs>
            <w:rPr>
              <w:rFonts w:asciiTheme="minorHAnsi" w:eastAsiaTheme="minorEastAsia" w:hAnsiTheme="minorHAnsi" w:cstheme="minorBidi"/>
              <w:noProof/>
              <w:lang w:eastAsia="es-MX"/>
            </w:rPr>
          </w:pPr>
          <w:hyperlink w:anchor="_Toc220077189" w:history="1">
            <w:r w:rsidRPr="00495280">
              <w:rPr>
                <w:rStyle w:val="Hipervnculo"/>
                <w:rFonts w:ascii="Arial" w:hAnsi="Arial" w:cs="Arial"/>
                <w:b/>
                <w:noProof/>
              </w:rPr>
              <w:t>5. Políticas de Contabilidad Significativas:</w:t>
            </w:r>
            <w:r>
              <w:rPr>
                <w:noProof/>
                <w:webHidden/>
              </w:rPr>
              <w:tab/>
            </w:r>
            <w:r>
              <w:rPr>
                <w:noProof/>
                <w:webHidden/>
              </w:rPr>
              <w:fldChar w:fldCharType="begin"/>
            </w:r>
            <w:r>
              <w:rPr>
                <w:noProof/>
                <w:webHidden/>
              </w:rPr>
              <w:instrText xml:space="preserve"> PAGEREF _Toc220077189 \h </w:instrText>
            </w:r>
            <w:r>
              <w:rPr>
                <w:noProof/>
                <w:webHidden/>
              </w:rPr>
            </w:r>
            <w:r>
              <w:rPr>
                <w:noProof/>
                <w:webHidden/>
              </w:rPr>
              <w:fldChar w:fldCharType="separate"/>
            </w:r>
            <w:r>
              <w:rPr>
                <w:noProof/>
                <w:webHidden/>
              </w:rPr>
              <w:t>9</w:t>
            </w:r>
            <w:r>
              <w:rPr>
                <w:noProof/>
                <w:webHidden/>
              </w:rPr>
              <w:fldChar w:fldCharType="end"/>
            </w:r>
          </w:hyperlink>
        </w:p>
        <w:p w:rsidR="00000EBA" w:rsidRDefault="00000EBA">
          <w:pPr>
            <w:pStyle w:val="TDC2"/>
            <w:tabs>
              <w:tab w:val="right" w:leader="dot" w:pos="13278"/>
            </w:tabs>
            <w:rPr>
              <w:rFonts w:asciiTheme="minorHAnsi" w:eastAsiaTheme="minorEastAsia" w:hAnsiTheme="minorHAnsi" w:cstheme="minorBidi"/>
              <w:noProof/>
              <w:lang w:eastAsia="es-MX"/>
            </w:rPr>
          </w:pPr>
          <w:hyperlink w:anchor="_Toc220077190" w:history="1">
            <w:r w:rsidRPr="00495280">
              <w:rPr>
                <w:rStyle w:val="Hipervnculo"/>
                <w:rFonts w:ascii="Arial" w:hAnsi="Arial" w:cs="Arial"/>
                <w:b/>
                <w:noProof/>
              </w:rPr>
              <w:t>6. Posición en Moneda Extranjera y Protección por Riesgo Cambiario:</w:t>
            </w:r>
            <w:r>
              <w:rPr>
                <w:noProof/>
                <w:webHidden/>
              </w:rPr>
              <w:tab/>
            </w:r>
            <w:r>
              <w:rPr>
                <w:noProof/>
                <w:webHidden/>
              </w:rPr>
              <w:fldChar w:fldCharType="begin"/>
            </w:r>
            <w:r>
              <w:rPr>
                <w:noProof/>
                <w:webHidden/>
              </w:rPr>
              <w:instrText xml:space="preserve"> PAGEREF _Toc220077190 \h </w:instrText>
            </w:r>
            <w:r>
              <w:rPr>
                <w:noProof/>
                <w:webHidden/>
              </w:rPr>
            </w:r>
            <w:r>
              <w:rPr>
                <w:noProof/>
                <w:webHidden/>
              </w:rPr>
              <w:fldChar w:fldCharType="separate"/>
            </w:r>
            <w:r>
              <w:rPr>
                <w:noProof/>
                <w:webHidden/>
              </w:rPr>
              <w:t>10</w:t>
            </w:r>
            <w:r>
              <w:rPr>
                <w:noProof/>
                <w:webHidden/>
              </w:rPr>
              <w:fldChar w:fldCharType="end"/>
            </w:r>
          </w:hyperlink>
        </w:p>
        <w:p w:rsidR="00000EBA" w:rsidRDefault="00000EBA">
          <w:pPr>
            <w:pStyle w:val="TDC2"/>
            <w:tabs>
              <w:tab w:val="right" w:leader="dot" w:pos="13278"/>
            </w:tabs>
            <w:rPr>
              <w:rFonts w:asciiTheme="minorHAnsi" w:eastAsiaTheme="minorEastAsia" w:hAnsiTheme="minorHAnsi" w:cstheme="minorBidi"/>
              <w:noProof/>
              <w:lang w:eastAsia="es-MX"/>
            </w:rPr>
          </w:pPr>
          <w:hyperlink w:anchor="_Toc220077191" w:history="1">
            <w:r w:rsidRPr="00495280">
              <w:rPr>
                <w:rStyle w:val="Hipervnculo"/>
                <w:rFonts w:ascii="Arial" w:hAnsi="Arial" w:cs="Arial"/>
                <w:b/>
                <w:noProof/>
              </w:rPr>
              <w:t>7. Reporte Analítico del Activo:</w:t>
            </w:r>
            <w:r>
              <w:rPr>
                <w:noProof/>
                <w:webHidden/>
              </w:rPr>
              <w:tab/>
            </w:r>
            <w:r>
              <w:rPr>
                <w:noProof/>
                <w:webHidden/>
              </w:rPr>
              <w:fldChar w:fldCharType="begin"/>
            </w:r>
            <w:r>
              <w:rPr>
                <w:noProof/>
                <w:webHidden/>
              </w:rPr>
              <w:instrText xml:space="preserve"> PAGEREF _Toc220077191 \h </w:instrText>
            </w:r>
            <w:r>
              <w:rPr>
                <w:noProof/>
                <w:webHidden/>
              </w:rPr>
            </w:r>
            <w:r>
              <w:rPr>
                <w:noProof/>
                <w:webHidden/>
              </w:rPr>
              <w:fldChar w:fldCharType="separate"/>
            </w:r>
            <w:r>
              <w:rPr>
                <w:noProof/>
                <w:webHidden/>
              </w:rPr>
              <w:t>11</w:t>
            </w:r>
            <w:r>
              <w:rPr>
                <w:noProof/>
                <w:webHidden/>
              </w:rPr>
              <w:fldChar w:fldCharType="end"/>
            </w:r>
          </w:hyperlink>
        </w:p>
        <w:p w:rsidR="00000EBA" w:rsidRDefault="00000EBA">
          <w:pPr>
            <w:pStyle w:val="TDC2"/>
            <w:tabs>
              <w:tab w:val="right" w:leader="dot" w:pos="13278"/>
            </w:tabs>
            <w:rPr>
              <w:rFonts w:asciiTheme="minorHAnsi" w:eastAsiaTheme="minorEastAsia" w:hAnsiTheme="minorHAnsi" w:cstheme="minorBidi"/>
              <w:noProof/>
              <w:lang w:eastAsia="es-MX"/>
            </w:rPr>
          </w:pPr>
          <w:hyperlink w:anchor="_Toc220077192" w:history="1">
            <w:r w:rsidRPr="00495280">
              <w:rPr>
                <w:rStyle w:val="Hipervnculo"/>
                <w:rFonts w:ascii="Arial" w:hAnsi="Arial" w:cs="Arial"/>
                <w:b/>
                <w:noProof/>
              </w:rPr>
              <w:t>8. Fideicomisos, Mandatos y Análogos:</w:t>
            </w:r>
            <w:r>
              <w:rPr>
                <w:noProof/>
                <w:webHidden/>
              </w:rPr>
              <w:tab/>
            </w:r>
            <w:r>
              <w:rPr>
                <w:noProof/>
                <w:webHidden/>
              </w:rPr>
              <w:fldChar w:fldCharType="begin"/>
            </w:r>
            <w:r>
              <w:rPr>
                <w:noProof/>
                <w:webHidden/>
              </w:rPr>
              <w:instrText xml:space="preserve"> PAGEREF _Toc220077192 \h </w:instrText>
            </w:r>
            <w:r>
              <w:rPr>
                <w:noProof/>
                <w:webHidden/>
              </w:rPr>
            </w:r>
            <w:r>
              <w:rPr>
                <w:noProof/>
                <w:webHidden/>
              </w:rPr>
              <w:fldChar w:fldCharType="separate"/>
            </w:r>
            <w:r>
              <w:rPr>
                <w:noProof/>
                <w:webHidden/>
              </w:rPr>
              <w:t>12</w:t>
            </w:r>
            <w:r>
              <w:rPr>
                <w:noProof/>
                <w:webHidden/>
              </w:rPr>
              <w:fldChar w:fldCharType="end"/>
            </w:r>
          </w:hyperlink>
        </w:p>
        <w:p w:rsidR="00000EBA" w:rsidRDefault="00000EBA">
          <w:pPr>
            <w:pStyle w:val="TDC2"/>
            <w:tabs>
              <w:tab w:val="right" w:leader="dot" w:pos="13278"/>
            </w:tabs>
            <w:rPr>
              <w:rFonts w:asciiTheme="minorHAnsi" w:eastAsiaTheme="minorEastAsia" w:hAnsiTheme="minorHAnsi" w:cstheme="minorBidi"/>
              <w:noProof/>
              <w:lang w:eastAsia="es-MX"/>
            </w:rPr>
          </w:pPr>
          <w:hyperlink w:anchor="_Toc220077193" w:history="1">
            <w:r w:rsidRPr="00495280">
              <w:rPr>
                <w:rStyle w:val="Hipervnculo"/>
                <w:rFonts w:ascii="Arial" w:hAnsi="Arial" w:cs="Arial"/>
                <w:b/>
                <w:noProof/>
              </w:rPr>
              <w:t>9. Reporte de la Recaudación:</w:t>
            </w:r>
            <w:r>
              <w:rPr>
                <w:noProof/>
                <w:webHidden/>
              </w:rPr>
              <w:tab/>
            </w:r>
            <w:r>
              <w:rPr>
                <w:noProof/>
                <w:webHidden/>
              </w:rPr>
              <w:fldChar w:fldCharType="begin"/>
            </w:r>
            <w:r>
              <w:rPr>
                <w:noProof/>
                <w:webHidden/>
              </w:rPr>
              <w:instrText xml:space="preserve"> PAGEREF _Toc220077193 \h </w:instrText>
            </w:r>
            <w:r>
              <w:rPr>
                <w:noProof/>
                <w:webHidden/>
              </w:rPr>
            </w:r>
            <w:r>
              <w:rPr>
                <w:noProof/>
                <w:webHidden/>
              </w:rPr>
              <w:fldChar w:fldCharType="separate"/>
            </w:r>
            <w:r>
              <w:rPr>
                <w:noProof/>
                <w:webHidden/>
              </w:rPr>
              <w:t>13</w:t>
            </w:r>
            <w:r>
              <w:rPr>
                <w:noProof/>
                <w:webHidden/>
              </w:rPr>
              <w:fldChar w:fldCharType="end"/>
            </w:r>
          </w:hyperlink>
        </w:p>
        <w:p w:rsidR="00000EBA" w:rsidRDefault="00000EBA">
          <w:pPr>
            <w:pStyle w:val="TDC2"/>
            <w:tabs>
              <w:tab w:val="right" w:leader="dot" w:pos="13278"/>
            </w:tabs>
            <w:rPr>
              <w:rFonts w:asciiTheme="minorHAnsi" w:eastAsiaTheme="minorEastAsia" w:hAnsiTheme="minorHAnsi" w:cstheme="minorBidi"/>
              <w:noProof/>
              <w:lang w:eastAsia="es-MX"/>
            </w:rPr>
          </w:pPr>
          <w:hyperlink w:anchor="_Toc220077194" w:history="1">
            <w:r w:rsidRPr="00495280">
              <w:rPr>
                <w:rStyle w:val="Hipervnculo"/>
                <w:rFonts w:ascii="Arial" w:hAnsi="Arial" w:cs="Arial"/>
                <w:b/>
                <w:noProof/>
              </w:rPr>
              <w:t>10. Información sobre la Deuda y el Reporte Analítico de la Deuda:</w:t>
            </w:r>
            <w:r>
              <w:rPr>
                <w:noProof/>
                <w:webHidden/>
              </w:rPr>
              <w:tab/>
            </w:r>
            <w:r>
              <w:rPr>
                <w:noProof/>
                <w:webHidden/>
              </w:rPr>
              <w:fldChar w:fldCharType="begin"/>
            </w:r>
            <w:r>
              <w:rPr>
                <w:noProof/>
                <w:webHidden/>
              </w:rPr>
              <w:instrText xml:space="preserve"> PAGEREF _Toc220077194 \h </w:instrText>
            </w:r>
            <w:r>
              <w:rPr>
                <w:noProof/>
                <w:webHidden/>
              </w:rPr>
            </w:r>
            <w:r>
              <w:rPr>
                <w:noProof/>
                <w:webHidden/>
              </w:rPr>
              <w:fldChar w:fldCharType="separate"/>
            </w:r>
            <w:r>
              <w:rPr>
                <w:noProof/>
                <w:webHidden/>
              </w:rPr>
              <w:t>14</w:t>
            </w:r>
            <w:r>
              <w:rPr>
                <w:noProof/>
                <w:webHidden/>
              </w:rPr>
              <w:fldChar w:fldCharType="end"/>
            </w:r>
          </w:hyperlink>
        </w:p>
        <w:p w:rsidR="00000EBA" w:rsidRDefault="00000EBA">
          <w:pPr>
            <w:pStyle w:val="TDC2"/>
            <w:tabs>
              <w:tab w:val="right" w:leader="dot" w:pos="13278"/>
            </w:tabs>
            <w:rPr>
              <w:rFonts w:asciiTheme="minorHAnsi" w:eastAsiaTheme="minorEastAsia" w:hAnsiTheme="minorHAnsi" w:cstheme="minorBidi"/>
              <w:noProof/>
              <w:lang w:eastAsia="es-MX"/>
            </w:rPr>
          </w:pPr>
          <w:hyperlink w:anchor="_Toc220077195" w:history="1">
            <w:r w:rsidRPr="00495280">
              <w:rPr>
                <w:rStyle w:val="Hipervnculo"/>
                <w:rFonts w:ascii="Arial" w:hAnsi="Arial" w:cs="Arial"/>
                <w:b/>
                <w:noProof/>
              </w:rPr>
              <w:t>11. Calificaciones otorgadas:</w:t>
            </w:r>
            <w:r>
              <w:rPr>
                <w:noProof/>
                <w:webHidden/>
              </w:rPr>
              <w:tab/>
            </w:r>
            <w:r>
              <w:rPr>
                <w:noProof/>
                <w:webHidden/>
              </w:rPr>
              <w:fldChar w:fldCharType="begin"/>
            </w:r>
            <w:r>
              <w:rPr>
                <w:noProof/>
                <w:webHidden/>
              </w:rPr>
              <w:instrText xml:space="preserve"> PAGEREF _Toc220077195 \h </w:instrText>
            </w:r>
            <w:r>
              <w:rPr>
                <w:noProof/>
                <w:webHidden/>
              </w:rPr>
            </w:r>
            <w:r>
              <w:rPr>
                <w:noProof/>
                <w:webHidden/>
              </w:rPr>
              <w:fldChar w:fldCharType="separate"/>
            </w:r>
            <w:r>
              <w:rPr>
                <w:noProof/>
                <w:webHidden/>
              </w:rPr>
              <w:t>14</w:t>
            </w:r>
            <w:r>
              <w:rPr>
                <w:noProof/>
                <w:webHidden/>
              </w:rPr>
              <w:fldChar w:fldCharType="end"/>
            </w:r>
          </w:hyperlink>
        </w:p>
        <w:p w:rsidR="00000EBA" w:rsidRDefault="00000EBA">
          <w:pPr>
            <w:pStyle w:val="TDC2"/>
            <w:tabs>
              <w:tab w:val="right" w:leader="dot" w:pos="13278"/>
            </w:tabs>
            <w:rPr>
              <w:rFonts w:asciiTheme="minorHAnsi" w:eastAsiaTheme="minorEastAsia" w:hAnsiTheme="minorHAnsi" w:cstheme="minorBidi"/>
              <w:noProof/>
              <w:lang w:eastAsia="es-MX"/>
            </w:rPr>
          </w:pPr>
          <w:hyperlink w:anchor="_Toc220077196" w:history="1">
            <w:r w:rsidRPr="00495280">
              <w:rPr>
                <w:rStyle w:val="Hipervnculo"/>
                <w:rFonts w:ascii="Arial" w:hAnsi="Arial" w:cs="Arial"/>
                <w:b/>
                <w:noProof/>
              </w:rPr>
              <w:t>12. Proceso de Mejora:</w:t>
            </w:r>
            <w:r>
              <w:rPr>
                <w:noProof/>
                <w:webHidden/>
              </w:rPr>
              <w:tab/>
            </w:r>
            <w:r>
              <w:rPr>
                <w:noProof/>
                <w:webHidden/>
              </w:rPr>
              <w:fldChar w:fldCharType="begin"/>
            </w:r>
            <w:r>
              <w:rPr>
                <w:noProof/>
                <w:webHidden/>
              </w:rPr>
              <w:instrText xml:space="preserve"> PAGEREF _Toc220077196 \h </w:instrText>
            </w:r>
            <w:r>
              <w:rPr>
                <w:noProof/>
                <w:webHidden/>
              </w:rPr>
            </w:r>
            <w:r>
              <w:rPr>
                <w:noProof/>
                <w:webHidden/>
              </w:rPr>
              <w:fldChar w:fldCharType="separate"/>
            </w:r>
            <w:r>
              <w:rPr>
                <w:noProof/>
                <w:webHidden/>
              </w:rPr>
              <w:t>14</w:t>
            </w:r>
            <w:r>
              <w:rPr>
                <w:noProof/>
                <w:webHidden/>
              </w:rPr>
              <w:fldChar w:fldCharType="end"/>
            </w:r>
          </w:hyperlink>
        </w:p>
        <w:p w:rsidR="00000EBA" w:rsidRDefault="00000EBA">
          <w:pPr>
            <w:pStyle w:val="TDC2"/>
            <w:tabs>
              <w:tab w:val="right" w:leader="dot" w:pos="13278"/>
            </w:tabs>
            <w:rPr>
              <w:rFonts w:asciiTheme="minorHAnsi" w:eastAsiaTheme="minorEastAsia" w:hAnsiTheme="minorHAnsi" w:cstheme="minorBidi"/>
              <w:noProof/>
              <w:lang w:eastAsia="es-MX"/>
            </w:rPr>
          </w:pPr>
          <w:hyperlink w:anchor="_Toc220077197" w:history="1">
            <w:r w:rsidRPr="00495280">
              <w:rPr>
                <w:rStyle w:val="Hipervnculo"/>
                <w:rFonts w:ascii="Arial" w:hAnsi="Arial" w:cs="Arial"/>
                <w:b/>
                <w:noProof/>
              </w:rPr>
              <w:t>13. Información por Segmentos: “Esta nota no le aplica al ente público”</w:t>
            </w:r>
            <w:r>
              <w:rPr>
                <w:noProof/>
                <w:webHidden/>
              </w:rPr>
              <w:tab/>
            </w:r>
            <w:r>
              <w:rPr>
                <w:noProof/>
                <w:webHidden/>
              </w:rPr>
              <w:fldChar w:fldCharType="begin"/>
            </w:r>
            <w:r>
              <w:rPr>
                <w:noProof/>
                <w:webHidden/>
              </w:rPr>
              <w:instrText xml:space="preserve"> PAGEREF _Toc220077197 \h </w:instrText>
            </w:r>
            <w:r>
              <w:rPr>
                <w:noProof/>
                <w:webHidden/>
              </w:rPr>
            </w:r>
            <w:r>
              <w:rPr>
                <w:noProof/>
                <w:webHidden/>
              </w:rPr>
              <w:fldChar w:fldCharType="separate"/>
            </w:r>
            <w:r>
              <w:rPr>
                <w:noProof/>
                <w:webHidden/>
              </w:rPr>
              <w:t>15</w:t>
            </w:r>
            <w:r>
              <w:rPr>
                <w:noProof/>
                <w:webHidden/>
              </w:rPr>
              <w:fldChar w:fldCharType="end"/>
            </w:r>
          </w:hyperlink>
        </w:p>
        <w:p w:rsidR="00000EBA" w:rsidRDefault="00000EBA">
          <w:pPr>
            <w:pStyle w:val="TDC2"/>
            <w:tabs>
              <w:tab w:val="right" w:leader="dot" w:pos="13278"/>
            </w:tabs>
            <w:rPr>
              <w:rFonts w:asciiTheme="minorHAnsi" w:eastAsiaTheme="minorEastAsia" w:hAnsiTheme="minorHAnsi" w:cstheme="minorBidi"/>
              <w:noProof/>
              <w:lang w:eastAsia="es-MX"/>
            </w:rPr>
          </w:pPr>
          <w:hyperlink w:anchor="_Toc220077198" w:history="1">
            <w:r w:rsidRPr="00495280">
              <w:rPr>
                <w:rStyle w:val="Hipervnculo"/>
                <w:rFonts w:ascii="Arial" w:hAnsi="Arial" w:cs="Arial"/>
                <w:b/>
                <w:noProof/>
              </w:rPr>
              <w:t>14. Eventos Posteriores al Cierre: “Esta nota no le aplica al ente público”</w:t>
            </w:r>
            <w:r>
              <w:rPr>
                <w:noProof/>
                <w:webHidden/>
              </w:rPr>
              <w:tab/>
            </w:r>
            <w:r>
              <w:rPr>
                <w:noProof/>
                <w:webHidden/>
              </w:rPr>
              <w:fldChar w:fldCharType="begin"/>
            </w:r>
            <w:r>
              <w:rPr>
                <w:noProof/>
                <w:webHidden/>
              </w:rPr>
              <w:instrText xml:space="preserve"> PAGEREF _Toc220077198 \h </w:instrText>
            </w:r>
            <w:r>
              <w:rPr>
                <w:noProof/>
                <w:webHidden/>
              </w:rPr>
            </w:r>
            <w:r>
              <w:rPr>
                <w:noProof/>
                <w:webHidden/>
              </w:rPr>
              <w:fldChar w:fldCharType="separate"/>
            </w:r>
            <w:r>
              <w:rPr>
                <w:noProof/>
                <w:webHidden/>
              </w:rPr>
              <w:t>15</w:t>
            </w:r>
            <w:r>
              <w:rPr>
                <w:noProof/>
                <w:webHidden/>
              </w:rPr>
              <w:fldChar w:fldCharType="end"/>
            </w:r>
          </w:hyperlink>
        </w:p>
        <w:p w:rsidR="00000EBA" w:rsidRDefault="00000EBA">
          <w:pPr>
            <w:pStyle w:val="TDC2"/>
            <w:tabs>
              <w:tab w:val="right" w:leader="dot" w:pos="13278"/>
            </w:tabs>
            <w:rPr>
              <w:rFonts w:asciiTheme="minorHAnsi" w:eastAsiaTheme="minorEastAsia" w:hAnsiTheme="minorHAnsi" w:cstheme="minorBidi"/>
              <w:noProof/>
              <w:lang w:eastAsia="es-MX"/>
            </w:rPr>
          </w:pPr>
          <w:hyperlink w:anchor="_Toc220077199" w:history="1">
            <w:r w:rsidRPr="00495280">
              <w:rPr>
                <w:rStyle w:val="Hipervnculo"/>
                <w:rFonts w:ascii="Arial" w:hAnsi="Arial" w:cs="Arial"/>
                <w:b/>
                <w:noProof/>
              </w:rPr>
              <w:t>15. Partes Relacionadas: “Esta nota no le aplica al ente público”</w:t>
            </w:r>
            <w:r>
              <w:rPr>
                <w:noProof/>
                <w:webHidden/>
              </w:rPr>
              <w:tab/>
            </w:r>
            <w:r>
              <w:rPr>
                <w:noProof/>
                <w:webHidden/>
              </w:rPr>
              <w:fldChar w:fldCharType="begin"/>
            </w:r>
            <w:r>
              <w:rPr>
                <w:noProof/>
                <w:webHidden/>
              </w:rPr>
              <w:instrText xml:space="preserve"> PAGEREF _Toc220077199 \h </w:instrText>
            </w:r>
            <w:r>
              <w:rPr>
                <w:noProof/>
                <w:webHidden/>
              </w:rPr>
            </w:r>
            <w:r>
              <w:rPr>
                <w:noProof/>
                <w:webHidden/>
              </w:rPr>
              <w:fldChar w:fldCharType="separate"/>
            </w:r>
            <w:r>
              <w:rPr>
                <w:noProof/>
                <w:webHidden/>
              </w:rPr>
              <w:t>15</w:t>
            </w:r>
            <w:r>
              <w:rPr>
                <w:noProof/>
                <w:webHidden/>
              </w:rPr>
              <w:fldChar w:fldCharType="end"/>
            </w:r>
          </w:hyperlink>
        </w:p>
        <w:p w:rsidR="00000EBA" w:rsidRDefault="00000EBA">
          <w:pPr>
            <w:pStyle w:val="TDC2"/>
            <w:tabs>
              <w:tab w:val="right" w:leader="dot" w:pos="13278"/>
            </w:tabs>
            <w:rPr>
              <w:rFonts w:asciiTheme="minorHAnsi" w:eastAsiaTheme="minorEastAsia" w:hAnsiTheme="minorHAnsi" w:cstheme="minorBidi"/>
              <w:noProof/>
              <w:lang w:eastAsia="es-MX"/>
            </w:rPr>
          </w:pPr>
          <w:hyperlink w:anchor="_Toc220077200" w:history="1">
            <w:r w:rsidRPr="00495280">
              <w:rPr>
                <w:rStyle w:val="Hipervnculo"/>
                <w:rFonts w:ascii="Arial" w:hAnsi="Arial" w:cs="Arial"/>
                <w:b/>
                <w:noProof/>
              </w:rPr>
              <w:t>16. Responsabilidad Sobre la Presentación Razonable de la Información Contable:</w:t>
            </w:r>
            <w:r>
              <w:rPr>
                <w:noProof/>
                <w:webHidden/>
              </w:rPr>
              <w:tab/>
            </w:r>
            <w:r>
              <w:rPr>
                <w:noProof/>
                <w:webHidden/>
              </w:rPr>
              <w:fldChar w:fldCharType="begin"/>
            </w:r>
            <w:r>
              <w:rPr>
                <w:noProof/>
                <w:webHidden/>
              </w:rPr>
              <w:instrText xml:space="preserve"> PAGEREF _Toc220077200 \h </w:instrText>
            </w:r>
            <w:r>
              <w:rPr>
                <w:noProof/>
                <w:webHidden/>
              </w:rPr>
            </w:r>
            <w:r>
              <w:rPr>
                <w:noProof/>
                <w:webHidden/>
              </w:rPr>
              <w:fldChar w:fldCharType="separate"/>
            </w:r>
            <w:r>
              <w:rPr>
                <w:noProof/>
                <w:webHidden/>
              </w:rPr>
              <w:t>15</w:t>
            </w:r>
            <w:r>
              <w:rPr>
                <w:noProof/>
                <w:webHidden/>
              </w:rPr>
              <w:fldChar w:fldCharType="end"/>
            </w:r>
          </w:hyperlink>
        </w:p>
        <w:p w:rsidR="00000EBA" w:rsidRPr="00091B6D" w:rsidRDefault="00000EBA" w:rsidP="00000EBA">
          <w:pPr>
            <w:spacing w:line="240" w:lineRule="auto"/>
            <w:rPr>
              <w:rFonts w:ascii="Arial" w:hAnsi="Arial" w:cs="Arial"/>
              <w:sz w:val="20"/>
              <w:szCs w:val="20"/>
            </w:rPr>
          </w:pPr>
          <w:r w:rsidRPr="00091B6D">
            <w:rPr>
              <w:rFonts w:ascii="Arial" w:hAnsi="Arial" w:cs="Arial"/>
              <w:b/>
              <w:bCs/>
              <w:sz w:val="20"/>
              <w:szCs w:val="20"/>
              <w:lang w:val="es-ES"/>
            </w:rPr>
            <w:fldChar w:fldCharType="end"/>
          </w:r>
        </w:p>
      </w:sdtContent>
    </w:sdt>
    <w:p w:rsidR="00000EBA" w:rsidRDefault="00000EBA" w:rsidP="00000EBA">
      <w:pPr>
        <w:spacing w:after="0" w:line="240" w:lineRule="auto"/>
        <w:rPr>
          <w:rFonts w:ascii="Arial" w:eastAsiaTheme="majorEastAsia" w:hAnsi="Arial" w:cs="Arial"/>
          <w:b/>
          <w:sz w:val="20"/>
          <w:szCs w:val="20"/>
        </w:rPr>
      </w:pPr>
      <w:r>
        <w:rPr>
          <w:rFonts w:ascii="Arial" w:hAnsi="Arial" w:cs="Arial"/>
          <w:b/>
          <w:sz w:val="20"/>
          <w:szCs w:val="20"/>
        </w:rPr>
        <w:br w:type="page"/>
      </w:r>
    </w:p>
    <w:p w:rsidR="00000EBA" w:rsidRPr="00091B6D" w:rsidRDefault="00000EBA" w:rsidP="00000EBA">
      <w:pPr>
        <w:pStyle w:val="Ttulo2"/>
        <w:spacing w:line="240" w:lineRule="auto"/>
        <w:rPr>
          <w:rFonts w:ascii="Arial" w:hAnsi="Arial" w:cs="Arial"/>
          <w:b/>
          <w:color w:val="auto"/>
          <w:sz w:val="20"/>
          <w:szCs w:val="20"/>
        </w:rPr>
      </w:pPr>
      <w:bookmarkStart w:id="1" w:name="_Toc220077185"/>
      <w:r w:rsidRPr="00091B6D">
        <w:rPr>
          <w:rFonts w:ascii="Arial" w:hAnsi="Arial" w:cs="Arial"/>
          <w:b/>
          <w:color w:val="auto"/>
          <w:sz w:val="20"/>
          <w:szCs w:val="20"/>
        </w:rPr>
        <w:lastRenderedPageBreak/>
        <w:t>1. Autorización e Historia:</w:t>
      </w:r>
      <w:bookmarkEnd w:id="1"/>
    </w:p>
    <w:p w:rsidR="00000EBA" w:rsidRPr="00091B6D" w:rsidRDefault="00000EBA" w:rsidP="00000EBA">
      <w:pPr>
        <w:spacing w:line="240" w:lineRule="auto"/>
        <w:rPr>
          <w:rFonts w:ascii="Arial" w:hAnsi="Arial" w:cs="Arial"/>
          <w:sz w:val="20"/>
          <w:szCs w:val="20"/>
        </w:rPr>
      </w:pPr>
    </w:p>
    <w:p w:rsidR="00000EBA" w:rsidRPr="00091B6D" w:rsidRDefault="00000EBA" w:rsidP="00000EBA">
      <w:pPr>
        <w:spacing w:line="240" w:lineRule="auto"/>
        <w:jc w:val="both"/>
        <w:rPr>
          <w:rFonts w:ascii="Arial" w:hAnsi="Arial" w:cs="Arial"/>
          <w:sz w:val="20"/>
          <w:szCs w:val="20"/>
        </w:rPr>
      </w:pPr>
      <w:r w:rsidRPr="00091B6D">
        <w:rPr>
          <w:rFonts w:ascii="Arial" w:hAnsi="Arial" w:cs="Arial"/>
          <w:sz w:val="20"/>
          <w:szCs w:val="20"/>
        </w:rPr>
        <w:t>El Centro de Evaluación y Control de Confianza del Estado de Guanajuato, CECCEG, es un organismo público descentralizado de la Administración Pública Estatal con personalidad Jurídica y Patrimonio Propios, sectorizado a la Secretaría de Gobierno, se encarga de realizar evaluaciones de control de confianza al personal del área de seguridad pública de los municipios, personal de la SSP y FGE de Guanajuato; así como también a personal adscrito a empresas de seguridad privada, mediante la aplicación de exámenes médicos-toxicológicos, psicológicos, poligráficos y de investigación socioeconómica; esto con el propósito de depurar las corporaciones policiacas del estado de elementos que pudieran estar vinculados con el crimen organizado o bien determinar que no son considerados como aptos para el desempeño de sus funciones, de acuerdo a su grado de confiabilidad.</w:t>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r w:rsidRPr="00091B6D">
        <w:rPr>
          <w:rFonts w:ascii="Arial" w:hAnsi="Arial" w:cs="Arial"/>
          <w:sz w:val="20"/>
          <w:szCs w:val="20"/>
        </w:rPr>
        <w:t>Se informará sobre:</w:t>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spacing w:after="0" w:line="240" w:lineRule="auto"/>
        <w:jc w:val="both"/>
        <w:rPr>
          <w:rFonts w:ascii="Arial" w:hAnsi="Arial" w:cs="Arial"/>
          <w:sz w:val="20"/>
          <w:szCs w:val="20"/>
          <w:lang w:val="es-ES" w:eastAsia="es-ES"/>
        </w:rPr>
      </w:pPr>
      <w:r w:rsidRPr="00091B6D">
        <w:rPr>
          <w:rFonts w:ascii="Arial" w:hAnsi="Arial" w:cs="Arial"/>
          <w:b/>
          <w:sz w:val="20"/>
          <w:szCs w:val="20"/>
        </w:rPr>
        <w:t>a)</w:t>
      </w:r>
      <w:r w:rsidRPr="00091B6D">
        <w:rPr>
          <w:rFonts w:ascii="Arial" w:hAnsi="Arial" w:cs="Arial"/>
          <w:sz w:val="20"/>
          <w:szCs w:val="20"/>
        </w:rPr>
        <w:t xml:space="preserve"> Fecha de creación del ente público:</w:t>
      </w:r>
      <w:r w:rsidRPr="00091B6D">
        <w:rPr>
          <w:rFonts w:ascii="Arial" w:hAnsi="Arial" w:cs="Arial"/>
          <w:b/>
          <w:sz w:val="20"/>
          <w:szCs w:val="20"/>
        </w:rPr>
        <w:t xml:space="preserve"> 01/01/2009 (INSCRIPCION RFC).</w:t>
      </w:r>
      <w:r w:rsidRPr="00091B6D">
        <w:rPr>
          <w:rFonts w:ascii="Arial" w:hAnsi="Arial" w:cs="Arial"/>
          <w:sz w:val="20"/>
          <w:szCs w:val="20"/>
        </w:rPr>
        <w:tab/>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spacing w:after="0" w:line="240" w:lineRule="auto"/>
        <w:rPr>
          <w:rFonts w:ascii="Arial" w:hAnsi="Arial" w:cs="Arial"/>
          <w:b/>
          <w:sz w:val="20"/>
          <w:szCs w:val="20"/>
        </w:rPr>
      </w:pPr>
      <w:r w:rsidRPr="00091B6D">
        <w:rPr>
          <w:rFonts w:ascii="Arial" w:hAnsi="Arial" w:cs="Arial"/>
          <w:b/>
          <w:sz w:val="20"/>
          <w:szCs w:val="20"/>
        </w:rPr>
        <w:br w:type="page"/>
      </w:r>
    </w:p>
    <w:p w:rsidR="00000EBA" w:rsidRPr="00091B6D" w:rsidRDefault="00000EBA" w:rsidP="00000EBA">
      <w:pPr>
        <w:tabs>
          <w:tab w:val="left" w:leader="underscore" w:pos="9639"/>
        </w:tabs>
        <w:spacing w:after="0" w:line="240" w:lineRule="auto"/>
        <w:jc w:val="both"/>
        <w:rPr>
          <w:rFonts w:ascii="Arial" w:hAnsi="Arial" w:cs="Arial"/>
          <w:sz w:val="20"/>
          <w:szCs w:val="20"/>
        </w:rPr>
      </w:pPr>
      <w:r w:rsidRPr="00091B6D">
        <w:rPr>
          <w:rFonts w:ascii="Arial" w:hAnsi="Arial" w:cs="Arial"/>
          <w:b/>
          <w:sz w:val="20"/>
          <w:szCs w:val="20"/>
        </w:rPr>
        <w:lastRenderedPageBreak/>
        <w:t>b)</w:t>
      </w:r>
      <w:r w:rsidRPr="00091B6D">
        <w:rPr>
          <w:rFonts w:ascii="Arial" w:hAnsi="Arial" w:cs="Arial"/>
          <w:sz w:val="20"/>
          <w:szCs w:val="20"/>
        </w:rPr>
        <w:t xml:space="preserve"> Principales cambios en su estructura (interna históricamente):</w:t>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spacing w:line="240" w:lineRule="auto"/>
        <w:jc w:val="center"/>
        <w:rPr>
          <w:rFonts w:ascii="Arial" w:hAnsi="Arial" w:cs="Arial"/>
          <w:b/>
          <w:sz w:val="20"/>
          <w:szCs w:val="20"/>
        </w:rPr>
      </w:pPr>
      <w:r w:rsidRPr="00091B6D">
        <w:rPr>
          <w:rFonts w:ascii="Arial" w:hAnsi="Arial" w:cs="Arial"/>
          <w:b/>
          <w:sz w:val="20"/>
          <w:szCs w:val="20"/>
        </w:rPr>
        <w:t>ORGANIGRAMA INICIAL DEL CECCEG 29/05/2009.</w:t>
      </w:r>
    </w:p>
    <w:p w:rsidR="00000EBA" w:rsidRPr="00091B6D" w:rsidRDefault="00000EBA" w:rsidP="00000EBA">
      <w:pPr>
        <w:spacing w:line="240" w:lineRule="auto"/>
        <w:ind w:hanging="709"/>
        <w:jc w:val="both"/>
        <w:rPr>
          <w:rFonts w:ascii="Arial" w:hAnsi="Arial" w:cs="Arial"/>
          <w:sz w:val="20"/>
          <w:szCs w:val="20"/>
        </w:rPr>
      </w:pPr>
      <w:r w:rsidRPr="00091B6D">
        <w:rPr>
          <w:rFonts w:ascii="Arial" w:hAnsi="Arial" w:cs="Arial"/>
          <w:noProof/>
          <w:sz w:val="20"/>
          <w:szCs w:val="20"/>
          <w:lang w:eastAsia="es-MX"/>
        </w:rPr>
        <w:drawing>
          <wp:inline distT="0" distB="0" distL="0" distR="0" wp14:anchorId="59945D18" wp14:editId="2BC444C7">
            <wp:extent cx="9504590" cy="4996281"/>
            <wp:effectExtent l="0" t="0" r="190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99024" cy="5045922"/>
                    </a:xfrm>
                    <a:prstGeom prst="rect">
                      <a:avLst/>
                    </a:prstGeom>
                    <a:noFill/>
                    <a:ln>
                      <a:noFill/>
                    </a:ln>
                  </pic:spPr>
                </pic:pic>
              </a:graphicData>
            </a:graphic>
          </wp:inline>
        </w:drawing>
      </w:r>
    </w:p>
    <w:p w:rsidR="00000EBA" w:rsidRPr="00091B6D" w:rsidRDefault="00000EBA" w:rsidP="00000EBA">
      <w:pPr>
        <w:spacing w:line="240" w:lineRule="auto"/>
        <w:ind w:hanging="709"/>
        <w:jc w:val="both"/>
        <w:rPr>
          <w:rFonts w:ascii="Arial" w:hAnsi="Arial" w:cs="Arial"/>
          <w:sz w:val="20"/>
          <w:szCs w:val="20"/>
        </w:rPr>
      </w:pPr>
    </w:p>
    <w:p w:rsidR="00000EBA" w:rsidRPr="00091B6D" w:rsidRDefault="00000EBA" w:rsidP="00000EBA">
      <w:pPr>
        <w:pStyle w:val="Ttulo2"/>
        <w:spacing w:line="240" w:lineRule="auto"/>
        <w:rPr>
          <w:rFonts w:ascii="Arial" w:hAnsi="Arial" w:cs="Arial"/>
          <w:b/>
          <w:color w:val="auto"/>
          <w:sz w:val="20"/>
          <w:szCs w:val="20"/>
        </w:rPr>
      </w:pPr>
      <w:bookmarkStart w:id="2" w:name="_Toc220077186"/>
      <w:r w:rsidRPr="00091B6D">
        <w:rPr>
          <w:rFonts w:ascii="Arial" w:hAnsi="Arial" w:cs="Arial"/>
          <w:b/>
          <w:color w:val="auto"/>
          <w:sz w:val="20"/>
          <w:szCs w:val="20"/>
        </w:rPr>
        <w:lastRenderedPageBreak/>
        <w:t>2. Panorama Económico y Financiero</w:t>
      </w:r>
      <w:bookmarkEnd w:id="2"/>
    </w:p>
    <w:p w:rsidR="00000EBA" w:rsidRPr="00091B6D" w:rsidRDefault="00000EBA" w:rsidP="00000EBA">
      <w:pPr>
        <w:shd w:val="clear" w:color="auto" w:fill="FFFFFF"/>
        <w:spacing w:before="100" w:beforeAutospacing="1" w:after="100" w:afterAutospacing="1" w:line="240" w:lineRule="auto"/>
        <w:jc w:val="both"/>
        <w:rPr>
          <w:rFonts w:ascii="Arial" w:hAnsi="Arial" w:cs="Arial"/>
          <w:sz w:val="20"/>
          <w:szCs w:val="20"/>
        </w:rPr>
      </w:pPr>
      <w:r w:rsidRPr="00091B6D">
        <w:rPr>
          <w:rFonts w:ascii="Arial" w:hAnsi="Arial" w:cs="Arial"/>
          <w:sz w:val="20"/>
          <w:szCs w:val="20"/>
        </w:rPr>
        <w:t>La meta de crecimiento económico de México para 2025 se ha ajustado a la baja, en un entorno de elevada incertidumbre. La Secretaría de Hacienda perfila un alza del Producto Interno Bruto (PIB) para este año en un rango de 1,5% a 2,3%, una reducción respecto a su propia previsión de octubre de 2024, cuando fijó su previsión en un espectro entre un 2% a 3%. Para 2026, el desarrollo de la economía mexicana se sitúa en un rango de 1,5% a 2,5%. Hacienda reconoce que la revisión a la baja responde a varios factores, entre los que sobresalen la incertidumbre en torno a la política comercial de Estados Unidos, así como la debilidad en la inversión y el consumo privado.</w:t>
      </w:r>
    </w:p>
    <w:p w:rsidR="00000EBA" w:rsidRPr="00091B6D" w:rsidRDefault="00000EBA" w:rsidP="00000EBA">
      <w:pPr>
        <w:shd w:val="clear" w:color="auto" w:fill="FFFFFF"/>
        <w:spacing w:before="100" w:beforeAutospacing="1" w:after="100" w:afterAutospacing="1" w:line="240" w:lineRule="auto"/>
        <w:jc w:val="both"/>
        <w:rPr>
          <w:rFonts w:ascii="Arial" w:hAnsi="Arial" w:cs="Arial"/>
          <w:sz w:val="20"/>
          <w:szCs w:val="20"/>
        </w:rPr>
      </w:pPr>
      <w:r w:rsidRPr="00091B6D">
        <w:rPr>
          <w:rFonts w:ascii="Arial" w:hAnsi="Arial" w:cs="Arial"/>
          <w:sz w:val="20"/>
          <w:szCs w:val="20"/>
        </w:rPr>
        <w:t>Sin una reforma fiscal a la vista, el Gobierno insiste en una mayor eficiencia recaudatoria y en el uso de tecnologías digitales para obtener más ingresos en 2025. Los desembolsos públicos se centrarán en los programas sociales, inversión en infraestructura y en la transición energética. “El financiamiento del sector público priorizará el endeudamiento en moneda local, a tasa fija y a largo plazo, lo que reduce la exposición a la volatilidad financiera internacional”</w:t>
      </w:r>
    </w:p>
    <w:p w:rsidR="00000EBA" w:rsidRPr="00091B6D" w:rsidRDefault="00000EBA" w:rsidP="00000EBA">
      <w:pPr>
        <w:shd w:val="clear" w:color="auto" w:fill="FFFFFF"/>
        <w:spacing w:before="100" w:beforeAutospacing="1" w:after="100" w:afterAutospacing="1" w:line="240" w:lineRule="auto"/>
        <w:jc w:val="both"/>
        <w:rPr>
          <w:rFonts w:ascii="Arial" w:hAnsi="Arial" w:cs="Arial"/>
          <w:sz w:val="20"/>
          <w:szCs w:val="20"/>
        </w:rPr>
      </w:pPr>
      <w:r w:rsidRPr="00091B6D">
        <w:rPr>
          <w:rFonts w:ascii="Arial" w:hAnsi="Arial" w:cs="Arial"/>
          <w:sz w:val="20"/>
          <w:szCs w:val="20"/>
        </w:rPr>
        <w:t>En un momento clave para el desarrollo de México, Guanajuato se consolida como referente de crecimiento económico, inclusión productiva y desarrollo social bajo el </w:t>
      </w:r>
      <w:r w:rsidRPr="00091B6D">
        <w:rPr>
          <w:rFonts w:ascii="Arial" w:hAnsi="Arial" w:cs="Arial"/>
          <w:iCs/>
          <w:sz w:val="20"/>
          <w:szCs w:val="20"/>
        </w:rPr>
        <w:t>Gobierno de la Gente</w:t>
      </w:r>
      <w:r w:rsidRPr="00091B6D">
        <w:rPr>
          <w:rFonts w:ascii="Arial" w:hAnsi="Arial" w:cs="Arial"/>
          <w:sz w:val="20"/>
          <w:szCs w:val="20"/>
        </w:rPr>
        <w:t>.</w:t>
      </w:r>
    </w:p>
    <w:p w:rsidR="00000EBA" w:rsidRPr="00091B6D" w:rsidRDefault="00000EBA" w:rsidP="00000EBA">
      <w:pPr>
        <w:spacing w:line="240" w:lineRule="auto"/>
        <w:jc w:val="both"/>
        <w:rPr>
          <w:rFonts w:ascii="Arial" w:hAnsi="Arial" w:cs="Arial"/>
          <w:sz w:val="20"/>
          <w:szCs w:val="20"/>
        </w:rPr>
      </w:pPr>
      <w:r w:rsidRPr="00091B6D">
        <w:rPr>
          <w:rFonts w:ascii="Arial" w:hAnsi="Arial" w:cs="Arial"/>
          <w:sz w:val="20"/>
          <w:szCs w:val="20"/>
        </w:rPr>
        <w:t>La Secretaría de Economía reporta que más de 9 mil 600 unidades económicas fueron fortalecidas con apoyos integrales. Además, 46 mil 500 personas encontraron empleo formal, mientras que más de 2 mil proyectos productivos dinamizaron a Guanajuato. Estos logros se complementan con la integración de 5 mil empresas a los 12 clústeres industriales estratégicos del estado.</w:t>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pStyle w:val="Ttulo2"/>
        <w:spacing w:line="240" w:lineRule="auto"/>
        <w:rPr>
          <w:rFonts w:ascii="Arial" w:hAnsi="Arial" w:cs="Arial"/>
          <w:b/>
          <w:color w:val="auto"/>
          <w:sz w:val="20"/>
          <w:szCs w:val="20"/>
        </w:rPr>
      </w:pPr>
      <w:bookmarkStart w:id="3" w:name="_Toc220077187"/>
      <w:r w:rsidRPr="00091B6D">
        <w:rPr>
          <w:rFonts w:ascii="Arial" w:hAnsi="Arial" w:cs="Arial"/>
          <w:b/>
          <w:color w:val="auto"/>
          <w:sz w:val="20"/>
          <w:szCs w:val="20"/>
        </w:rPr>
        <w:t>3. Organización y Objeto Social:</w:t>
      </w:r>
      <w:bookmarkEnd w:id="3"/>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r w:rsidRPr="00091B6D">
        <w:rPr>
          <w:rFonts w:ascii="Arial" w:hAnsi="Arial" w:cs="Arial"/>
          <w:sz w:val="20"/>
          <w:szCs w:val="20"/>
        </w:rPr>
        <w:t>Se informará sobre:</w:t>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r w:rsidRPr="00091B6D">
        <w:rPr>
          <w:rFonts w:ascii="Arial" w:hAnsi="Arial" w:cs="Arial"/>
          <w:b/>
          <w:sz w:val="20"/>
          <w:szCs w:val="20"/>
        </w:rPr>
        <w:t>a)</w:t>
      </w:r>
      <w:r w:rsidRPr="00091B6D">
        <w:rPr>
          <w:rFonts w:ascii="Arial" w:hAnsi="Arial" w:cs="Arial"/>
          <w:sz w:val="20"/>
          <w:szCs w:val="20"/>
        </w:rPr>
        <w:t xml:space="preserve"> Objeto social.</w:t>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r w:rsidRPr="00091B6D">
        <w:rPr>
          <w:rFonts w:ascii="Arial" w:hAnsi="Arial" w:cs="Arial"/>
          <w:sz w:val="20"/>
          <w:szCs w:val="20"/>
        </w:rPr>
        <w:t>Realizar evaluaciones que permitan conocer las condiciones de los sujetos evaluados en términos de control de confianza de conformidad con la normatividad aplicable, así como aquellas evaluaciones que resultan por mandato legal.</w:t>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r w:rsidRPr="00091B6D">
        <w:rPr>
          <w:rFonts w:ascii="Arial" w:hAnsi="Arial" w:cs="Arial"/>
          <w:b/>
          <w:sz w:val="20"/>
          <w:szCs w:val="20"/>
        </w:rPr>
        <w:t>b)</w:t>
      </w:r>
      <w:r w:rsidRPr="00091B6D">
        <w:rPr>
          <w:rFonts w:ascii="Arial" w:hAnsi="Arial" w:cs="Arial"/>
          <w:sz w:val="20"/>
          <w:szCs w:val="20"/>
        </w:rPr>
        <w:t xml:space="preserve"> Principal actividad.</w:t>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r w:rsidRPr="00091B6D">
        <w:rPr>
          <w:rFonts w:ascii="Arial" w:hAnsi="Arial" w:cs="Arial"/>
          <w:sz w:val="20"/>
          <w:szCs w:val="20"/>
        </w:rPr>
        <w:t>Aplicar evaluaciones de control de confianza al personal del área de seguridad pública y privada del estado y sus municipios.</w:t>
      </w:r>
      <w:r w:rsidRPr="00091B6D">
        <w:rPr>
          <w:rFonts w:ascii="Arial" w:hAnsi="Arial" w:cs="Arial"/>
          <w:sz w:val="20"/>
          <w:szCs w:val="20"/>
        </w:rPr>
        <w:tab/>
      </w:r>
      <w:r w:rsidRPr="00091B6D">
        <w:rPr>
          <w:rFonts w:ascii="Arial" w:hAnsi="Arial" w:cs="Arial"/>
          <w:sz w:val="20"/>
          <w:szCs w:val="20"/>
        </w:rPr>
        <w:tab/>
      </w:r>
      <w:r w:rsidRPr="00091B6D">
        <w:rPr>
          <w:rFonts w:ascii="Arial" w:hAnsi="Arial" w:cs="Arial"/>
          <w:sz w:val="20"/>
          <w:szCs w:val="20"/>
        </w:rPr>
        <w:tab/>
      </w:r>
    </w:p>
    <w:p w:rsidR="00000EBA" w:rsidRPr="00091B6D" w:rsidRDefault="00000EBA" w:rsidP="00000EBA">
      <w:pPr>
        <w:tabs>
          <w:tab w:val="left" w:leader="underscore" w:pos="9639"/>
        </w:tabs>
        <w:spacing w:after="0" w:line="240" w:lineRule="auto"/>
        <w:jc w:val="both"/>
        <w:rPr>
          <w:rFonts w:ascii="Arial" w:hAnsi="Arial" w:cs="Arial"/>
          <w:sz w:val="20"/>
          <w:szCs w:val="20"/>
        </w:rPr>
      </w:pPr>
      <w:r w:rsidRPr="00091B6D">
        <w:rPr>
          <w:rFonts w:ascii="Arial" w:hAnsi="Arial" w:cs="Arial"/>
          <w:b/>
          <w:sz w:val="20"/>
          <w:szCs w:val="20"/>
        </w:rPr>
        <w:t>c)</w:t>
      </w:r>
      <w:r w:rsidRPr="00091B6D">
        <w:rPr>
          <w:rFonts w:ascii="Arial" w:hAnsi="Arial" w:cs="Arial"/>
          <w:sz w:val="20"/>
          <w:szCs w:val="20"/>
        </w:rPr>
        <w:t xml:space="preserve"> Ejercicio fiscal: Del 01 de enero al 3</w:t>
      </w:r>
      <w:r>
        <w:rPr>
          <w:rFonts w:ascii="Arial" w:hAnsi="Arial" w:cs="Arial"/>
          <w:sz w:val="20"/>
          <w:szCs w:val="20"/>
        </w:rPr>
        <w:t>1</w:t>
      </w:r>
      <w:r w:rsidRPr="00091B6D">
        <w:rPr>
          <w:rFonts w:ascii="Arial" w:hAnsi="Arial" w:cs="Arial"/>
          <w:sz w:val="20"/>
          <w:szCs w:val="20"/>
        </w:rPr>
        <w:t xml:space="preserve"> de </w:t>
      </w:r>
      <w:r>
        <w:rPr>
          <w:rFonts w:ascii="Arial" w:hAnsi="Arial" w:cs="Arial"/>
          <w:sz w:val="20"/>
          <w:szCs w:val="20"/>
        </w:rPr>
        <w:t>diciembre</w:t>
      </w:r>
      <w:r w:rsidRPr="00091B6D">
        <w:rPr>
          <w:rFonts w:ascii="Arial" w:hAnsi="Arial" w:cs="Arial"/>
          <w:sz w:val="20"/>
          <w:szCs w:val="20"/>
        </w:rPr>
        <w:t xml:space="preserve"> del 2025</w:t>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r w:rsidRPr="00091B6D">
        <w:rPr>
          <w:rFonts w:ascii="Arial" w:hAnsi="Arial" w:cs="Arial"/>
          <w:b/>
          <w:sz w:val="20"/>
          <w:szCs w:val="20"/>
        </w:rPr>
        <w:t>d)</w:t>
      </w:r>
      <w:r w:rsidRPr="00091B6D">
        <w:rPr>
          <w:rFonts w:ascii="Arial" w:hAnsi="Arial" w:cs="Arial"/>
          <w:sz w:val="20"/>
          <w:szCs w:val="20"/>
        </w:rPr>
        <w:t xml:space="preserve"> Régimen jurídico: Régimen 603 Personas Morales con Fines no Lucrativos</w:t>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r w:rsidRPr="00091B6D">
        <w:rPr>
          <w:rFonts w:ascii="Arial" w:hAnsi="Arial" w:cs="Arial"/>
          <w:b/>
          <w:sz w:val="20"/>
          <w:szCs w:val="20"/>
        </w:rPr>
        <w:t>e)</w:t>
      </w:r>
      <w:r w:rsidRPr="00091B6D">
        <w:rPr>
          <w:rFonts w:ascii="Arial" w:hAnsi="Arial" w:cs="Arial"/>
          <w:sz w:val="20"/>
          <w:szCs w:val="20"/>
        </w:rPr>
        <w:t xml:space="preserve"> Consideraciones fiscales del ente: Revelar el tipo de contribuciones que esté obligado a pagar o retener.</w:t>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pStyle w:val="Prrafodelista"/>
        <w:numPr>
          <w:ilvl w:val="0"/>
          <w:numId w:val="1"/>
        </w:numPr>
        <w:spacing w:after="0" w:line="240" w:lineRule="auto"/>
        <w:jc w:val="both"/>
        <w:rPr>
          <w:rFonts w:ascii="Arial" w:hAnsi="Arial" w:cs="Arial"/>
          <w:sz w:val="20"/>
          <w:szCs w:val="20"/>
        </w:rPr>
      </w:pPr>
      <w:r w:rsidRPr="00091B6D">
        <w:rPr>
          <w:rFonts w:ascii="Arial" w:hAnsi="Arial" w:cs="Arial"/>
          <w:sz w:val="20"/>
          <w:szCs w:val="20"/>
        </w:rPr>
        <w:t>Entero de retenciones mensuales de ISR por sueldos y salarios</w:t>
      </w:r>
    </w:p>
    <w:p w:rsidR="00000EBA" w:rsidRPr="00091B6D" w:rsidRDefault="00000EBA" w:rsidP="00000EBA">
      <w:pPr>
        <w:pStyle w:val="Prrafodelista"/>
        <w:numPr>
          <w:ilvl w:val="0"/>
          <w:numId w:val="1"/>
        </w:numPr>
        <w:spacing w:after="0" w:line="240" w:lineRule="auto"/>
        <w:jc w:val="both"/>
        <w:rPr>
          <w:rFonts w:ascii="Arial" w:hAnsi="Arial" w:cs="Arial"/>
          <w:sz w:val="20"/>
          <w:szCs w:val="20"/>
        </w:rPr>
      </w:pPr>
      <w:r w:rsidRPr="00091B6D">
        <w:rPr>
          <w:rFonts w:ascii="Arial" w:hAnsi="Arial" w:cs="Arial"/>
          <w:sz w:val="20"/>
          <w:szCs w:val="20"/>
        </w:rPr>
        <w:t>Declaración informativa anual de pagos y retenciones de servicios profesionales. Personas Morales. Impuesto Sobre la Renta</w:t>
      </w:r>
    </w:p>
    <w:p w:rsidR="00000EBA" w:rsidRPr="00091B6D" w:rsidRDefault="00000EBA" w:rsidP="00000EBA">
      <w:pPr>
        <w:pStyle w:val="Prrafodelista"/>
        <w:numPr>
          <w:ilvl w:val="0"/>
          <w:numId w:val="1"/>
        </w:numPr>
        <w:spacing w:after="0" w:line="240" w:lineRule="auto"/>
        <w:jc w:val="both"/>
        <w:rPr>
          <w:rFonts w:ascii="Arial" w:hAnsi="Arial" w:cs="Arial"/>
          <w:sz w:val="20"/>
          <w:szCs w:val="20"/>
        </w:rPr>
      </w:pPr>
      <w:r w:rsidRPr="00091B6D">
        <w:rPr>
          <w:rFonts w:ascii="Arial" w:hAnsi="Arial" w:cs="Arial"/>
          <w:sz w:val="20"/>
          <w:szCs w:val="20"/>
        </w:rPr>
        <w:t>Declaración Informativa mensual de Proveedores</w:t>
      </w:r>
    </w:p>
    <w:p w:rsidR="00000EBA" w:rsidRPr="00091B6D" w:rsidRDefault="00000EBA" w:rsidP="00000EBA">
      <w:pPr>
        <w:tabs>
          <w:tab w:val="left" w:leader="underscore" w:pos="9639"/>
        </w:tabs>
        <w:spacing w:after="0" w:line="240" w:lineRule="auto"/>
        <w:jc w:val="both"/>
        <w:rPr>
          <w:rFonts w:ascii="Arial" w:hAnsi="Arial" w:cs="Arial"/>
          <w:sz w:val="20"/>
          <w:szCs w:val="20"/>
        </w:rPr>
      </w:pPr>
      <w:r w:rsidRPr="00091B6D">
        <w:rPr>
          <w:rFonts w:ascii="Arial" w:hAnsi="Arial" w:cs="Arial"/>
          <w:b/>
          <w:sz w:val="20"/>
          <w:szCs w:val="20"/>
        </w:rPr>
        <w:lastRenderedPageBreak/>
        <w:t>f)</w:t>
      </w:r>
      <w:r w:rsidRPr="00091B6D">
        <w:rPr>
          <w:rFonts w:ascii="Arial" w:hAnsi="Arial" w:cs="Arial"/>
          <w:sz w:val="20"/>
          <w:szCs w:val="20"/>
        </w:rPr>
        <w:t xml:space="preserve"> Estructura organizacional básica.</w:t>
      </w:r>
    </w:p>
    <w:p w:rsidR="00000EBA" w:rsidRPr="00091B6D" w:rsidRDefault="00000EBA" w:rsidP="00000EBA">
      <w:pPr>
        <w:spacing w:after="0" w:line="240" w:lineRule="auto"/>
        <w:jc w:val="center"/>
        <w:rPr>
          <w:rFonts w:ascii="Arial" w:hAnsi="Arial" w:cs="Arial"/>
          <w:sz w:val="20"/>
          <w:szCs w:val="20"/>
        </w:rPr>
      </w:pPr>
      <w:r w:rsidRPr="00091B6D">
        <w:rPr>
          <w:rFonts w:ascii="Arial" w:hAnsi="Arial" w:cs="Arial"/>
          <w:sz w:val="20"/>
          <w:szCs w:val="20"/>
        </w:rPr>
        <w:t>AL 3</w:t>
      </w:r>
      <w:r>
        <w:rPr>
          <w:rFonts w:ascii="Arial" w:hAnsi="Arial" w:cs="Arial"/>
          <w:sz w:val="20"/>
          <w:szCs w:val="20"/>
        </w:rPr>
        <w:t>1</w:t>
      </w:r>
      <w:r w:rsidRPr="00091B6D">
        <w:rPr>
          <w:rFonts w:ascii="Arial" w:hAnsi="Arial" w:cs="Arial"/>
          <w:sz w:val="20"/>
          <w:szCs w:val="20"/>
        </w:rPr>
        <w:t>/</w:t>
      </w:r>
      <w:r>
        <w:rPr>
          <w:rFonts w:ascii="Arial" w:hAnsi="Arial" w:cs="Arial"/>
          <w:sz w:val="20"/>
          <w:szCs w:val="20"/>
        </w:rPr>
        <w:t>12</w:t>
      </w:r>
      <w:r w:rsidRPr="00091B6D">
        <w:rPr>
          <w:rFonts w:ascii="Arial" w:hAnsi="Arial" w:cs="Arial"/>
          <w:sz w:val="20"/>
          <w:szCs w:val="20"/>
        </w:rPr>
        <w:t>/2025</w:t>
      </w:r>
    </w:p>
    <w:p w:rsidR="00000EBA" w:rsidRPr="00091B6D" w:rsidRDefault="00000EBA" w:rsidP="00000EBA">
      <w:pPr>
        <w:spacing w:after="0" w:line="240" w:lineRule="auto"/>
        <w:ind w:left="-1134" w:right="-1171"/>
        <w:jc w:val="center"/>
        <w:rPr>
          <w:rFonts w:ascii="Arial" w:hAnsi="Arial" w:cs="Arial"/>
          <w:sz w:val="20"/>
          <w:szCs w:val="20"/>
        </w:rPr>
      </w:pPr>
      <w:r w:rsidRPr="00000EBA">
        <w:rPr>
          <w:rFonts w:ascii="Arial" w:hAnsi="Arial" w:cs="Arial"/>
          <w:sz w:val="20"/>
          <w:szCs w:val="20"/>
        </w:rPr>
        <w:drawing>
          <wp:inline distT="0" distB="0" distL="0" distR="0" wp14:anchorId="05B38282" wp14:editId="7086C516">
            <wp:extent cx="8437880" cy="5342255"/>
            <wp:effectExtent l="0" t="0" r="127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8437880" cy="5342255"/>
                    </a:xfrm>
                    <a:prstGeom prst="rect">
                      <a:avLst/>
                    </a:prstGeom>
                  </pic:spPr>
                </pic:pic>
              </a:graphicData>
            </a:graphic>
          </wp:inline>
        </w:drawing>
      </w:r>
    </w:p>
    <w:p w:rsidR="00000EBA" w:rsidRPr="00091B6D" w:rsidRDefault="00000EBA" w:rsidP="00000EBA">
      <w:pPr>
        <w:spacing w:after="0" w:line="240" w:lineRule="auto"/>
        <w:ind w:hanging="851"/>
        <w:jc w:val="center"/>
        <w:rPr>
          <w:rFonts w:ascii="Arial" w:hAnsi="Arial" w:cs="Arial"/>
          <w:sz w:val="20"/>
          <w:szCs w:val="20"/>
        </w:rPr>
      </w:pPr>
      <w:r w:rsidRPr="00000EBA">
        <w:rPr>
          <w:rFonts w:ascii="Arial" w:hAnsi="Arial" w:cs="Arial"/>
          <w:sz w:val="20"/>
          <w:szCs w:val="20"/>
        </w:rPr>
        <w:lastRenderedPageBreak/>
        <w:drawing>
          <wp:inline distT="0" distB="0" distL="0" distR="0" wp14:anchorId="73D7791B" wp14:editId="048F2AFF">
            <wp:extent cx="8437880" cy="4907280"/>
            <wp:effectExtent l="0" t="0" r="127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8437880" cy="4907280"/>
                    </a:xfrm>
                    <a:prstGeom prst="rect">
                      <a:avLst/>
                    </a:prstGeom>
                  </pic:spPr>
                </pic:pic>
              </a:graphicData>
            </a:graphic>
          </wp:inline>
        </w:drawing>
      </w:r>
    </w:p>
    <w:p w:rsidR="00000EBA" w:rsidRPr="00091B6D" w:rsidRDefault="00000EBA" w:rsidP="00000EBA">
      <w:pPr>
        <w:spacing w:after="0" w:line="240" w:lineRule="auto"/>
        <w:rPr>
          <w:rFonts w:ascii="Arial" w:hAnsi="Arial" w:cs="Arial"/>
          <w:sz w:val="20"/>
          <w:szCs w:val="20"/>
        </w:rPr>
      </w:pPr>
      <w:r w:rsidRPr="00091B6D">
        <w:rPr>
          <w:rFonts w:ascii="Arial" w:hAnsi="Arial" w:cs="Arial"/>
          <w:sz w:val="20"/>
          <w:szCs w:val="20"/>
        </w:rPr>
        <w:br w:type="page"/>
      </w:r>
    </w:p>
    <w:p w:rsidR="00000EBA" w:rsidRPr="00091B6D" w:rsidRDefault="00000EBA" w:rsidP="00000EBA">
      <w:pPr>
        <w:spacing w:after="0" w:line="240" w:lineRule="auto"/>
        <w:ind w:left="-567" w:hanging="284"/>
        <w:rPr>
          <w:rFonts w:ascii="Arial" w:hAnsi="Arial" w:cs="Arial"/>
          <w:sz w:val="20"/>
          <w:szCs w:val="20"/>
        </w:rPr>
      </w:pPr>
      <w:r w:rsidRPr="00000EBA">
        <w:rPr>
          <w:rFonts w:ascii="Arial" w:hAnsi="Arial" w:cs="Arial"/>
          <w:sz w:val="20"/>
          <w:szCs w:val="20"/>
        </w:rPr>
        <w:lastRenderedPageBreak/>
        <w:drawing>
          <wp:inline distT="0" distB="0" distL="0" distR="0" wp14:anchorId="32C02B14" wp14:editId="43F77EC8">
            <wp:extent cx="9546096" cy="463296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9551241" cy="4635457"/>
                    </a:xfrm>
                    <a:prstGeom prst="rect">
                      <a:avLst/>
                    </a:prstGeom>
                  </pic:spPr>
                </pic:pic>
              </a:graphicData>
            </a:graphic>
          </wp:inline>
        </w:drawing>
      </w:r>
    </w:p>
    <w:p w:rsidR="00000EBA" w:rsidRPr="00091B6D" w:rsidRDefault="00000EBA" w:rsidP="00000EBA">
      <w:pPr>
        <w:spacing w:after="0" w:line="240" w:lineRule="auto"/>
        <w:rPr>
          <w:rFonts w:ascii="Arial" w:hAnsi="Arial" w:cs="Arial"/>
          <w:sz w:val="20"/>
          <w:szCs w:val="20"/>
        </w:rPr>
      </w:pPr>
    </w:p>
    <w:p w:rsidR="00000EBA" w:rsidRPr="00091B6D" w:rsidRDefault="00000EBA" w:rsidP="00000EBA">
      <w:pPr>
        <w:spacing w:after="0" w:line="240" w:lineRule="auto"/>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r w:rsidRPr="00091B6D">
        <w:rPr>
          <w:rFonts w:ascii="Arial" w:hAnsi="Arial" w:cs="Arial"/>
          <w:b/>
          <w:sz w:val="20"/>
          <w:szCs w:val="20"/>
        </w:rPr>
        <w:t>g)</w:t>
      </w:r>
      <w:r w:rsidRPr="00091B6D">
        <w:rPr>
          <w:rFonts w:ascii="Arial" w:hAnsi="Arial" w:cs="Arial"/>
          <w:sz w:val="20"/>
          <w:szCs w:val="20"/>
        </w:rPr>
        <w:t xml:space="preserve"> Fideicomisos de los cuales es fideicomitente o fideicomisario, y contratos análogos, incluyendo mandatos de los cuales es parte: </w:t>
      </w:r>
      <w:r w:rsidRPr="00091B6D">
        <w:rPr>
          <w:rFonts w:ascii="Arial" w:hAnsi="Arial" w:cs="Arial"/>
          <w:b/>
          <w:sz w:val="20"/>
          <w:szCs w:val="20"/>
        </w:rPr>
        <w:t xml:space="preserve">“Esta nota no le aplica al ente público” </w:t>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Default="00000EBA" w:rsidP="00000EBA">
      <w:pPr>
        <w:spacing w:after="0" w:line="240" w:lineRule="auto"/>
        <w:rPr>
          <w:rFonts w:ascii="Arial" w:eastAsiaTheme="majorEastAsia" w:hAnsi="Arial" w:cs="Arial"/>
          <w:b/>
          <w:sz w:val="20"/>
          <w:szCs w:val="20"/>
        </w:rPr>
      </w:pPr>
      <w:r>
        <w:rPr>
          <w:rFonts w:ascii="Arial" w:hAnsi="Arial" w:cs="Arial"/>
          <w:b/>
          <w:sz w:val="20"/>
          <w:szCs w:val="20"/>
        </w:rPr>
        <w:br w:type="page"/>
      </w:r>
    </w:p>
    <w:p w:rsidR="00000EBA" w:rsidRPr="00091B6D" w:rsidRDefault="00000EBA" w:rsidP="00000EBA">
      <w:pPr>
        <w:pStyle w:val="Ttulo2"/>
        <w:spacing w:line="240" w:lineRule="auto"/>
        <w:rPr>
          <w:rFonts w:ascii="Arial" w:hAnsi="Arial" w:cs="Arial"/>
          <w:b/>
          <w:color w:val="auto"/>
          <w:sz w:val="20"/>
          <w:szCs w:val="20"/>
        </w:rPr>
      </w:pPr>
      <w:bookmarkStart w:id="4" w:name="_Toc220077188"/>
      <w:r w:rsidRPr="00091B6D">
        <w:rPr>
          <w:rFonts w:ascii="Arial" w:hAnsi="Arial" w:cs="Arial"/>
          <w:b/>
          <w:color w:val="auto"/>
          <w:sz w:val="20"/>
          <w:szCs w:val="20"/>
        </w:rPr>
        <w:lastRenderedPageBreak/>
        <w:t>4. Bases de Preparación de los Estados Financieros:</w:t>
      </w:r>
      <w:bookmarkEnd w:id="4"/>
    </w:p>
    <w:p w:rsidR="00000EBA" w:rsidRPr="00091B6D" w:rsidRDefault="00000EBA" w:rsidP="00000EBA">
      <w:pPr>
        <w:tabs>
          <w:tab w:val="left" w:leader="underscore" w:pos="9639"/>
        </w:tabs>
        <w:spacing w:after="0" w:line="240" w:lineRule="auto"/>
        <w:jc w:val="both"/>
        <w:rPr>
          <w:rFonts w:ascii="Arial" w:hAnsi="Arial" w:cs="Arial"/>
          <w:sz w:val="20"/>
          <w:szCs w:val="20"/>
        </w:rPr>
      </w:pPr>
      <w:r w:rsidRPr="00091B6D">
        <w:rPr>
          <w:rFonts w:ascii="Arial" w:hAnsi="Arial" w:cs="Arial"/>
          <w:sz w:val="20"/>
          <w:szCs w:val="20"/>
        </w:rPr>
        <w:t>Se informará sobre:</w:t>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r w:rsidRPr="00091B6D">
        <w:rPr>
          <w:rFonts w:ascii="Arial" w:hAnsi="Arial" w:cs="Arial"/>
          <w:b/>
          <w:sz w:val="20"/>
          <w:szCs w:val="20"/>
        </w:rPr>
        <w:t>a)</w:t>
      </w:r>
      <w:r w:rsidRPr="00091B6D">
        <w:rPr>
          <w:rFonts w:ascii="Arial" w:hAnsi="Arial" w:cs="Arial"/>
          <w:sz w:val="20"/>
          <w:szCs w:val="20"/>
        </w:rPr>
        <w:t xml:space="preserve"> Si se ha observado la normatividad emitida por el CONAC y las disposiciones legales aplicables.</w:t>
      </w:r>
    </w:p>
    <w:p w:rsidR="00000EBA" w:rsidRPr="00091B6D" w:rsidRDefault="00000EBA" w:rsidP="00000EBA">
      <w:pPr>
        <w:pStyle w:val="Prrafodelista"/>
        <w:spacing w:line="240" w:lineRule="auto"/>
        <w:ind w:left="426"/>
        <w:jc w:val="both"/>
        <w:rPr>
          <w:rFonts w:ascii="Arial" w:hAnsi="Arial" w:cs="Arial"/>
          <w:sz w:val="20"/>
          <w:szCs w:val="20"/>
        </w:rPr>
      </w:pPr>
    </w:p>
    <w:p w:rsidR="00000EBA" w:rsidRPr="00091B6D" w:rsidRDefault="00000EBA" w:rsidP="00000EBA">
      <w:pPr>
        <w:pStyle w:val="Prrafodelista"/>
        <w:spacing w:line="240" w:lineRule="auto"/>
        <w:ind w:left="426"/>
        <w:jc w:val="both"/>
        <w:rPr>
          <w:rFonts w:ascii="Arial" w:hAnsi="Arial" w:cs="Arial"/>
          <w:sz w:val="20"/>
          <w:szCs w:val="20"/>
        </w:rPr>
      </w:pPr>
      <w:r w:rsidRPr="00091B6D">
        <w:rPr>
          <w:rFonts w:ascii="Arial" w:hAnsi="Arial" w:cs="Arial"/>
          <w:sz w:val="20"/>
          <w:szCs w:val="20"/>
        </w:rPr>
        <w:t>En la preparación de los Estados Financieros, se observa la normatividad emitida por la CONAC y las disposiciones legales aplicables de acuerdo a las indicaciones de la SFIA. Las Bases de Preparación de los Estados Financieros observan en cierta medida la normatividad emitida por el CONAC y las disposiciones legales aplicables.</w:t>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r w:rsidRPr="00091B6D">
        <w:rPr>
          <w:rFonts w:ascii="Arial" w:hAnsi="Arial" w:cs="Arial"/>
          <w:b/>
          <w:sz w:val="20"/>
          <w:szCs w:val="20"/>
        </w:rPr>
        <w:t>b)</w:t>
      </w:r>
      <w:r w:rsidRPr="00091B6D">
        <w:rPr>
          <w:rFonts w:ascii="Arial" w:hAnsi="Arial" w:cs="Arial"/>
          <w:sz w:val="20"/>
          <w:szCs w:val="20"/>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pStyle w:val="Prrafodelista"/>
        <w:spacing w:line="240" w:lineRule="auto"/>
        <w:ind w:left="426"/>
        <w:jc w:val="both"/>
        <w:rPr>
          <w:rFonts w:ascii="Arial" w:hAnsi="Arial" w:cs="Arial"/>
          <w:sz w:val="20"/>
          <w:szCs w:val="20"/>
        </w:rPr>
      </w:pPr>
      <w:r w:rsidRPr="00091B6D">
        <w:rPr>
          <w:rFonts w:ascii="Arial" w:hAnsi="Arial" w:cs="Arial"/>
          <w:sz w:val="20"/>
          <w:szCs w:val="20"/>
        </w:rPr>
        <w:t>Las Bases de Preparación de los Estados Financieros observan en cierta medida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rsidR="00000EBA" w:rsidRPr="00091B6D" w:rsidRDefault="00000EBA" w:rsidP="00000EBA">
      <w:pPr>
        <w:tabs>
          <w:tab w:val="left" w:leader="underscore" w:pos="9639"/>
        </w:tabs>
        <w:spacing w:after="0" w:line="240" w:lineRule="auto"/>
        <w:jc w:val="both"/>
        <w:rPr>
          <w:rFonts w:ascii="Arial" w:hAnsi="Arial" w:cs="Arial"/>
          <w:sz w:val="20"/>
          <w:szCs w:val="20"/>
        </w:rPr>
      </w:pPr>
      <w:r w:rsidRPr="00091B6D">
        <w:rPr>
          <w:rFonts w:ascii="Arial" w:hAnsi="Arial" w:cs="Arial"/>
          <w:b/>
          <w:sz w:val="20"/>
          <w:szCs w:val="20"/>
        </w:rPr>
        <w:t>c)</w:t>
      </w:r>
      <w:r w:rsidRPr="00091B6D">
        <w:rPr>
          <w:rFonts w:ascii="Arial" w:hAnsi="Arial" w:cs="Arial"/>
          <w:sz w:val="20"/>
          <w:szCs w:val="20"/>
        </w:rPr>
        <w:t xml:space="preserve"> Postulados básicos de Contabilidad Gubernamental (PBCG).</w:t>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pStyle w:val="Prrafodelista"/>
        <w:numPr>
          <w:ilvl w:val="0"/>
          <w:numId w:val="2"/>
        </w:numPr>
        <w:spacing w:after="160" w:line="240" w:lineRule="auto"/>
        <w:jc w:val="both"/>
        <w:rPr>
          <w:rFonts w:ascii="Arial" w:hAnsi="Arial" w:cs="Arial"/>
          <w:sz w:val="20"/>
          <w:szCs w:val="20"/>
        </w:rPr>
      </w:pPr>
      <w:r w:rsidRPr="00091B6D">
        <w:rPr>
          <w:rFonts w:ascii="Arial" w:hAnsi="Arial" w:cs="Arial"/>
          <w:b/>
          <w:sz w:val="20"/>
          <w:szCs w:val="20"/>
        </w:rPr>
        <w:t>Sustancia Económica:</w:t>
      </w:r>
      <w:r w:rsidRPr="00091B6D">
        <w:rPr>
          <w:rFonts w:ascii="Arial" w:hAnsi="Arial" w:cs="Arial"/>
          <w:sz w:val="20"/>
          <w:szCs w:val="20"/>
        </w:rPr>
        <w:t xml:space="preserve"> Es el reconocimiento contable de las transacciones, transformaciones internas y otros eventos, que afectan económicamente al ente público y delimitan la operación del Sistema de Contabilidad Gubernamental (SCG). </w:t>
      </w:r>
    </w:p>
    <w:p w:rsidR="00000EBA" w:rsidRPr="00091B6D" w:rsidRDefault="00000EBA" w:rsidP="00000EBA">
      <w:pPr>
        <w:pStyle w:val="Prrafodelista"/>
        <w:spacing w:after="160" w:line="240" w:lineRule="auto"/>
        <w:jc w:val="both"/>
        <w:rPr>
          <w:rFonts w:ascii="Arial" w:hAnsi="Arial" w:cs="Arial"/>
          <w:sz w:val="20"/>
          <w:szCs w:val="20"/>
        </w:rPr>
      </w:pPr>
    </w:p>
    <w:p w:rsidR="00000EBA" w:rsidRPr="00091B6D" w:rsidRDefault="00000EBA" w:rsidP="00000EBA">
      <w:pPr>
        <w:pStyle w:val="Prrafodelista"/>
        <w:numPr>
          <w:ilvl w:val="0"/>
          <w:numId w:val="2"/>
        </w:numPr>
        <w:spacing w:after="160" w:line="240" w:lineRule="auto"/>
        <w:jc w:val="both"/>
        <w:rPr>
          <w:rFonts w:ascii="Arial" w:hAnsi="Arial" w:cs="Arial"/>
          <w:sz w:val="20"/>
          <w:szCs w:val="20"/>
        </w:rPr>
      </w:pPr>
      <w:r w:rsidRPr="00091B6D">
        <w:rPr>
          <w:rFonts w:ascii="Arial" w:hAnsi="Arial" w:cs="Arial"/>
          <w:b/>
          <w:sz w:val="20"/>
          <w:szCs w:val="20"/>
        </w:rPr>
        <w:t>Entes Públicos:</w:t>
      </w:r>
      <w:r w:rsidRPr="00091B6D">
        <w:rPr>
          <w:rFonts w:ascii="Arial" w:hAnsi="Arial" w:cs="Arial"/>
          <w:sz w:val="20"/>
          <w:szCs w:val="20"/>
        </w:rPr>
        <w:t xml:space="preserve">  Los poderes Ejecutivo, Legislativo y Judicial de la Federación y de las entidades federativas; los entes autónomos de la Federación y de las entidades federativas; los ayuntamientos de los municipios; los órganos político-administrativos de las demarcaciones territoriales del Distrito Federal; y las entidades de la administración pública paraestatal, ya sean federales, estatales o municipales. </w:t>
      </w:r>
    </w:p>
    <w:p w:rsidR="00000EBA" w:rsidRPr="00091B6D" w:rsidRDefault="00000EBA" w:rsidP="00000EBA">
      <w:pPr>
        <w:pStyle w:val="Prrafodelista"/>
        <w:spacing w:line="240" w:lineRule="auto"/>
        <w:jc w:val="both"/>
        <w:rPr>
          <w:rFonts w:ascii="Arial" w:hAnsi="Arial" w:cs="Arial"/>
          <w:sz w:val="20"/>
          <w:szCs w:val="20"/>
        </w:rPr>
      </w:pPr>
    </w:p>
    <w:p w:rsidR="00000EBA" w:rsidRPr="00091B6D" w:rsidRDefault="00000EBA" w:rsidP="00000EBA">
      <w:pPr>
        <w:pStyle w:val="Prrafodelista"/>
        <w:numPr>
          <w:ilvl w:val="0"/>
          <w:numId w:val="2"/>
        </w:numPr>
        <w:spacing w:after="160" w:line="240" w:lineRule="auto"/>
        <w:jc w:val="both"/>
        <w:rPr>
          <w:rFonts w:ascii="Arial" w:hAnsi="Arial" w:cs="Arial"/>
          <w:sz w:val="20"/>
          <w:szCs w:val="20"/>
        </w:rPr>
      </w:pPr>
      <w:r w:rsidRPr="00091B6D">
        <w:rPr>
          <w:rFonts w:ascii="Arial" w:hAnsi="Arial" w:cs="Arial"/>
          <w:b/>
          <w:sz w:val="20"/>
          <w:szCs w:val="20"/>
        </w:rPr>
        <w:t>Existencia Permanente:</w:t>
      </w:r>
      <w:r w:rsidRPr="00091B6D">
        <w:rPr>
          <w:rFonts w:ascii="Arial" w:hAnsi="Arial" w:cs="Arial"/>
          <w:sz w:val="20"/>
          <w:szCs w:val="20"/>
        </w:rPr>
        <w:t xml:space="preserve">  La actividad del ente público se establece por tiempo indefinido, salvo disposición legal en la que se especifique lo contrario.</w:t>
      </w:r>
    </w:p>
    <w:p w:rsidR="00000EBA" w:rsidRPr="00091B6D" w:rsidRDefault="00000EBA" w:rsidP="00000EBA">
      <w:pPr>
        <w:pStyle w:val="Prrafodelista"/>
        <w:spacing w:after="160" w:line="240" w:lineRule="auto"/>
        <w:jc w:val="both"/>
        <w:rPr>
          <w:rFonts w:ascii="Arial" w:hAnsi="Arial" w:cs="Arial"/>
          <w:sz w:val="20"/>
          <w:szCs w:val="20"/>
        </w:rPr>
      </w:pPr>
    </w:p>
    <w:p w:rsidR="00000EBA" w:rsidRPr="00091B6D" w:rsidRDefault="00000EBA" w:rsidP="00000EBA">
      <w:pPr>
        <w:pStyle w:val="Prrafodelista"/>
        <w:numPr>
          <w:ilvl w:val="0"/>
          <w:numId w:val="2"/>
        </w:numPr>
        <w:spacing w:after="160" w:line="240" w:lineRule="auto"/>
        <w:jc w:val="both"/>
        <w:rPr>
          <w:rFonts w:ascii="Arial" w:hAnsi="Arial" w:cs="Arial"/>
          <w:sz w:val="20"/>
          <w:szCs w:val="20"/>
        </w:rPr>
      </w:pPr>
      <w:r w:rsidRPr="00091B6D">
        <w:rPr>
          <w:rFonts w:ascii="Arial" w:hAnsi="Arial" w:cs="Arial"/>
          <w:b/>
          <w:sz w:val="20"/>
          <w:szCs w:val="20"/>
        </w:rPr>
        <w:t>Revelación Suficiente:</w:t>
      </w:r>
      <w:r w:rsidRPr="00091B6D">
        <w:rPr>
          <w:rFonts w:ascii="Arial" w:hAnsi="Arial" w:cs="Arial"/>
          <w:sz w:val="20"/>
          <w:szCs w:val="20"/>
        </w:rPr>
        <w:t xml:space="preserve"> Los estados y la información financiera deben mostrar amplia y claramente la situación financiera y los resultados del ente público. </w:t>
      </w:r>
    </w:p>
    <w:p w:rsidR="00000EBA" w:rsidRPr="00091B6D" w:rsidRDefault="00000EBA" w:rsidP="00000EBA">
      <w:pPr>
        <w:pStyle w:val="Prrafodelista"/>
        <w:numPr>
          <w:ilvl w:val="0"/>
          <w:numId w:val="2"/>
        </w:numPr>
        <w:spacing w:after="160" w:line="240" w:lineRule="auto"/>
        <w:jc w:val="both"/>
        <w:rPr>
          <w:rFonts w:ascii="Arial" w:hAnsi="Arial" w:cs="Arial"/>
          <w:sz w:val="20"/>
          <w:szCs w:val="20"/>
        </w:rPr>
      </w:pPr>
      <w:r w:rsidRPr="00091B6D">
        <w:rPr>
          <w:rFonts w:ascii="Arial" w:hAnsi="Arial" w:cs="Arial"/>
          <w:b/>
          <w:sz w:val="20"/>
          <w:szCs w:val="20"/>
        </w:rPr>
        <w:t>Importancia Relativa:</w:t>
      </w:r>
      <w:r w:rsidRPr="00091B6D">
        <w:rPr>
          <w:rFonts w:ascii="Arial" w:hAnsi="Arial" w:cs="Arial"/>
          <w:sz w:val="20"/>
          <w:szCs w:val="20"/>
        </w:rPr>
        <w:t xml:space="preserve"> La información debe mostrar los aspectos importantes de la entidad que fueron reconocidos contablemente. </w:t>
      </w:r>
    </w:p>
    <w:p w:rsidR="00000EBA" w:rsidRPr="00091B6D" w:rsidRDefault="00000EBA" w:rsidP="00000EBA">
      <w:pPr>
        <w:pStyle w:val="Prrafodelista"/>
        <w:spacing w:after="160" w:line="240" w:lineRule="auto"/>
        <w:jc w:val="both"/>
        <w:rPr>
          <w:rFonts w:ascii="Arial" w:hAnsi="Arial" w:cs="Arial"/>
          <w:sz w:val="20"/>
          <w:szCs w:val="20"/>
        </w:rPr>
      </w:pPr>
    </w:p>
    <w:p w:rsidR="00000EBA" w:rsidRPr="00091B6D" w:rsidRDefault="00000EBA" w:rsidP="00000EBA">
      <w:pPr>
        <w:pStyle w:val="Prrafodelista"/>
        <w:numPr>
          <w:ilvl w:val="0"/>
          <w:numId w:val="2"/>
        </w:numPr>
        <w:spacing w:after="160" w:line="240" w:lineRule="auto"/>
        <w:jc w:val="both"/>
        <w:rPr>
          <w:rFonts w:ascii="Arial" w:hAnsi="Arial" w:cs="Arial"/>
          <w:sz w:val="20"/>
          <w:szCs w:val="20"/>
        </w:rPr>
      </w:pPr>
      <w:r w:rsidRPr="00091B6D">
        <w:rPr>
          <w:rFonts w:ascii="Arial" w:hAnsi="Arial" w:cs="Arial"/>
          <w:b/>
          <w:sz w:val="20"/>
          <w:szCs w:val="20"/>
        </w:rPr>
        <w:t>Registro E Integración Presupuestaria:</w:t>
      </w:r>
      <w:r w:rsidRPr="00091B6D">
        <w:rPr>
          <w:rFonts w:ascii="Arial" w:hAnsi="Arial" w:cs="Arial"/>
          <w:sz w:val="20"/>
          <w:szCs w:val="20"/>
        </w:rPr>
        <w:t xml:space="preserve"> La información presupuestaria de los entes públicos se integra en la contabilidad en los mismos términos que se presentan en la ley de Ingresos y en el Decreto del Presupuesto Egresos, de acuerdo a la naturaleza económica que le corresponda. El registro presupuestario del ingreso y del egreso en los entes públicos se debe reflejar en la contabilidad, considerando sus efectos patrimoniales y su vinculación con las etapas presupuestarias correspondientes.</w:t>
      </w:r>
    </w:p>
    <w:p w:rsidR="00000EBA" w:rsidRPr="00091B6D" w:rsidRDefault="00000EBA" w:rsidP="00000EBA">
      <w:pPr>
        <w:pStyle w:val="Prrafodelista"/>
        <w:spacing w:after="160" w:line="240" w:lineRule="auto"/>
        <w:jc w:val="both"/>
        <w:rPr>
          <w:rFonts w:ascii="Arial" w:hAnsi="Arial" w:cs="Arial"/>
          <w:sz w:val="20"/>
          <w:szCs w:val="20"/>
        </w:rPr>
      </w:pPr>
    </w:p>
    <w:p w:rsidR="00000EBA" w:rsidRPr="00091B6D" w:rsidRDefault="00000EBA" w:rsidP="00000EBA">
      <w:pPr>
        <w:pStyle w:val="Prrafodelista"/>
        <w:numPr>
          <w:ilvl w:val="0"/>
          <w:numId w:val="2"/>
        </w:numPr>
        <w:spacing w:after="160" w:line="240" w:lineRule="auto"/>
        <w:jc w:val="both"/>
        <w:rPr>
          <w:rFonts w:ascii="Arial" w:hAnsi="Arial" w:cs="Arial"/>
          <w:sz w:val="20"/>
          <w:szCs w:val="20"/>
        </w:rPr>
      </w:pPr>
      <w:r w:rsidRPr="00091B6D">
        <w:rPr>
          <w:rFonts w:ascii="Arial" w:hAnsi="Arial" w:cs="Arial"/>
          <w:b/>
          <w:sz w:val="20"/>
          <w:szCs w:val="20"/>
        </w:rPr>
        <w:t>Consolidación De La Información Financiera:</w:t>
      </w:r>
      <w:r w:rsidRPr="00091B6D">
        <w:rPr>
          <w:rFonts w:ascii="Arial" w:hAnsi="Arial" w:cs="Arial"/>
          <w:sz w:val="20"/>
          <w:szCs w:val="20"/>
        </w:rPr>
        <w:t xml:space="preserve"> Los estados financieros de los entes públicos deberán presentar de manera consolidada la situación financiera, los resultados de operación, el flujo de efectivo o los cambios en la situación financiera y las variaciones a la Hacienda Pública, como si se tratara de un solo ente público.</w:t>
      </w:r>
    </w:p>
    <w:p w:rsidR="00000EBA" w:rsidRPr="00091B6D" w:rsidRDefault="00000EBA" w:rsidP="00000EBA">
      <w:pPr>
        <w:pStyle w:val="Prrafodelista"/>
        <w:spacing w:after="160" w:line="240" w:lineRule="auto"/>
        <w:jc w:val="both"/>
        <w:rPr>
          <w:rFonts w:ascii="Arial" w:hAnsi="Arial" w:cs="Arial"/>
          <w:sz w:val="20"/>
          <w:szCs w:val="20"/>
        </w:rPr>
      </w:pPr>
    </w:p>
    <w:p w:rsidR="00000EBA" w:rsidRPr="00091B6D" w:rsidRDefault="00000EBA" w:rsidP="00000EBA">
      <w:pPr>
        <w:pStyle w:val="Prrafodelista"/>
        <w:numPr>
          <w:ilvl w:val="0"/>
          <w:numId w:val="2"/>
        </w:numPr>
        <w:spacing w:after="160" w:line="240" w:lineRule="auto"/>
        <w:jc w:val="both"/>
        <w:rPr>
          <w:rFonts w:ascii="Arial" w:hAnsi="Arial" w:cs="Arial"/>
          <w:sz w:val="20"/>
          <w:szCs w:val="20"/>
        </w:rPr>
      </w:pPr>
      <w:r w:rsidRPr="00091B6D">
        <w:rPr>
          <w:rFonts w:ascii="Arial" w:hAnsi="Arial" w:cs="Arial"/>
          <w:b/>
          <w:sz w:val="20"/>
          <w:szCs w:val="20"/>
        </w:rPr>
        <w:t>Devengo Contable:</w:t>
      </w:r>
      <w:r w:rsidRPr="00091B6D">
        <w:rPr>
          <w:rFonts w:ascii="Arial" w:hAnsi="Arial" w:cs="Arial"/>
          <w:sz w:val="20"/>
          <w:szCs w:val="20"/>
        </w:rPr>
        <w:t xml:space="preserve"> Los registros contables de los entes públicos se llevarán con base acumulativa. El ingreso devengado, es el momento contable que se realiza cuando existe jurídicamente el derecho de cobro de impuestos, derechos, productos, aprovechamientos y otros ingresos por parte de los entes públicos. El gasto devengado, es el momento contable que refleja el reconocimiento de una obligación de pago a favor de terceros por la recepción de conformidad de bienes, servicios y obra pública contratados; así como de las obligaciones que derivan de tratados, leyes, decretos, resoluciones y sentencias definitivas.</w:t>
      </w:r>
    </w:p>
    <w:p w:rsidR="00000EBA" w:rsidRPr="00091B6D" w:rsidRDefault="00000EBA" w:rsidP="00000EBA">
      <w:pPr>
        <w:pStyle w:val="Prrafodelista"/>
        <w:spacing w:after="160" w:line="240" w:lineRule="auto"/>
        <w:jc w:val="both"/>
        <w:rPr>
          <w:rFonts w:ascii="Arial" w:hAnsi="Arial" w:cs="Arial"/>
          <w:sz w:val="20"/>
          <w:szCs w:val="20"/>
        </w:rPr>
      </w:pPr>
    </w:p>
    <w:p w:rsidR="00000EBA" w:rsidRPr="00091B6D" w:rsidRDefault="00000EBA" w:rsidP="00000EBA">
      <w:pPr>
        <w:pStyle w:val="Prrafodelista"/>
        <w:numPr>
          <w:ilvl w:val="0"/>
          <w:numId w:val="2"/>
        </w:numPr>
        <w:spacing w:after="160" w:line="240" w:lineRule="auto"/>
        <w:jc w:val="both"/>
        <w:rPr>
          <w:rFonts w:ascii="Arial" w:hAnsi="Arial" w:cs="Arial"/>
          <w:sz w:val="20"/>
          <w:szCs w:val="20"/>
        </w:rPr>
      </w:pPr>
      <w:r w:rsidRPr="00091B6D">
        <w:rPr>
          <w:rFonts w:ascii="Arial" w:hAnsi="Arial" w:cs="Arial"/>
          <w:b/>
          <w:sz w:val="20"/>
          <w:szCs w:val="20"/>
        </w:rPr>
        <w:t>Valuación:</w:t>
      </w:r>
      <w:r w:rsidRPr="00091B6D">
        <w:rPr>
          <w:rFonts w:ascii="Arial" w:hAnsi="Arial" w:cs="Arial"/>
          <w:sz w:val="20"/>
          <w:szCs w:val="20"/>
        </w:rPr>
        <w:t xml:space="preserve"> Todos los eventos que afecten económicamente al ente público deben ser cuantificados en términos monetarios y se registrarán al costo histórico o al valor económico más objetivo registrándose en moneda nacional. </w:t>
      </w:r>
    </w:p>
    <w:p w:rsidR="00000EBA" w:rsidRPr="00091B6D" w:rsidRDefault="00000EBA" w:rsidP="00000EBA">
      <w:pPr>
        <w:pStyle w:val="Prrafodelista"/>
        <w:spacing w:after="160" w:line="240" w:lineRule="auto"/>
        <w:jc w:val="both"/>
        <w:rPr>
          <w:rFonts w:ascii="Arial" w:hAnsi="Arial" w:cs="Arial"/>
          <w:sz w:val="20"/>
          <w:szCs w:val="20"/>
        </w:rPr>
      </w:pPr>
    </w:p>
    <w:p w:rsidR="00000EBA" w:rsidRPr="00091B6D" w:rsidRDefault="00000EBA" w:rsidP="00000EBA">
      <w:pPr>
        <w:pStyle w:val="Prrafodelista"/>
        <w:numPr>
          <w:ilvl w:val="0"/>
          <w:numId w:val="2"/>
        </w:numPr>
        <w:spacing w:after="160" w:line="240" w:lineRule="auto"/>
        <w:jc w:val="both"/>
        <w:rPr>
          <w:rFonts w:ascii="Arial" w:hAnsi="Arial" w:cs="Arial"/>
          <w:sz w:val="20"/>
          <w:szCs w:val="20"/>
        </w:rPr>
      </w:pPr>
      <w:r w:rsidRPr="00091B6D">
        <w:rPr>
          <w:rFonts w:ascii="Arial" w:hAnsi="Arial" w:cs="Arial"/>
          <w:b/>
          <w:sz w:val="20"/>
          <w:szCs w:val="20"/>
        </w:rPr>
        <w:t>Dualidad Económica:</w:t>
      </w:r>
      <w:r w:rsidRPr="00091B6D">
        <w:rPr>
          <w:rFonts w:ascii="Arial" w:hAnsi="Arial" w:cs="Arial"/>
          <w:sz w:val="20"/>
          <w:szCs w:val="20"/>
        </w:rPr>
        <w:t xml:space="preserve">  El ente público debe reconocer en la contabilidad, la representación de las transacciones y algún otro evento que afecte su situación financiera, su composición por los recursos asignados para el logro de sus fines y por sus fuentes, conforme a los derechos y obligaciones.</w:t>
      </w:r>
    </w:p>
    <w:p w:rsidR="00000EBA" w:rsidRPr="00091B6D" w:rsidRDefault="00000EBA" w:rsidP="00000EBA">
      <w:pPr>
        <w:pStyle w:val="Prrafodelista"/>
        <w:spacing w:line="240" w:lineRule="auto"/>
        <w:jc w:val="both"/>
        <w:rPr>
          <w:rFonts w:ascii="Arial" w:hAnsi="Arial" w:cs="Arial"/>
          <w:sz w:val="20"/>
          <w:szCs w:val="20"/>
        </w:rPr>
      </w:pPr>
    </w:p>
    <w:p w:rsidR="00000EBA" w:rsidRPr="00091B6D" w:rsidRDefault="00000EBA" w:rsidP="00000EBA">
      <w:pPr>
        <w:pStyle w:val="Prrafodelista"/>
        <w:numPr>
          <w:ilvl w:val="0"/>
          <w:numId w:val="2"/>
        </w:numPr>
        <w:spacing w:after="160" w:line="240" w:lineRule="auto"/>
        <w:jc w:val="both"/>
        <w:rPr>
          <w:rFonts w:ascii="Arial" w:hAnsi="Arial" w:cs="Arial"/>
          <w:sz w:val="20"/>
          <w:szCs w:val="20"/>
        </w:rPr>
      </w:pPr>
      <w:r w:rsidRPr="00091B6D">
        <w:rPr>
          <w:rFonts w:ascii="Arial" w:hAnsi="Arial" w:cs="Arial"/>
          <w:b/>
          <w:sz w:val="20"/>
          <w:szCs w:val="20"/>
        </w:rPr>
        <w:t>Consistencia:</w:t>
      </w:r>
      <w:r w:rsidRPr="00091B6D">
        <w:rPr>
          <w:rFonts w:ascii="Arial" w:hAnsi="Arial" w:cs="Arial"/>
          <w:sz w:val="20"/>
          <w:szCs w:val="20"/>
        </w:rPr>
        <w:t xml:space="preserve">  Ante la existencia de operaciones similares en un ente público, debe corresponder un mismo tratamiento contable, el cual debe permanecer a través del tiempo, en tanto no cambie la esencia económica de las operaciones.</w:t>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b/>
          <w:sz w:val="20"/>
          <w:szCs w:val="20"/>
        </w:rPr>
      </w:pPr>
      <w:r w:rsidRPr="00091B6D">
        <w:rPr>
          <w:rFonts w:ascii="Arial" w:hAnsi="Arial" w:cs="Arial"/>
          <w:b/>
          <w:sz w:val="20"/>
          <w:szCs w:val="20"/>
        </w:rPr>
        <w:t>d)</w:t>
      </w:r>
      <w:r w:rsidRPr="00091B6D">
        <w:rPr>
          <w:rFonts w:ascii="Arial" w:hAnsi="Arial" w:cs="Arial"/>
          <w:sz w:val="20"/>
          <w:szCs w:val="20"/>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Marco Conceptual de Contabilidad Gubernamental (MCCG) y sus modificaciones. </w:t>
      </w:r>
      <w:r w:rsidRPr="00091B6D">
        <w:rPr>
          <w:rFonts w:ascii="Arial" w:hAnsi="Arial" w:cs="Arial"/>
          <w:b/>
          <w:sz w:val="20"/>
          <w:szCs w:val="20"/>
        </w:rPr>
        <w:t xml:space="preserve">“Esta nota no le aplica al ente público” </w:t>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r w:rsidRPr="00091B6D">
        <w:rPr>
          <w:rFonts w:ascii="Arial" w:hAnsi="Arial" w:cs="Arial"/>
          <w:b/>
          <w:sz w:val="20"/>
          <w:szCs w:val="20"/>
        </w:rPr>
        <w:t>e)</w:t>
      </w:r>
      <w:r w:rsidRPr="00091B6D">
        <w:rPr>
          <w:rFonts w:ascii="Arial" w:hAnsi="Arial" w:cs="Arial"/>
          <w:sz w:val="20"/>
          <w:szCs w:val="20"/>
        </w:rPr>
        <w:t xml:space="preserve"> Para las entidades que por primera vez estén implementando la base de devengado de acuerdo a la Ley de Contabilidad, deberán:</w:t>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b/>
          <w:sz w:val="20"/>
          <w:szCs w:val="20"/>
        </w:rPr>
      </w:pPr>
      <w:r w:rsidRPr="00091B6D">
        <w:rPr>
          <w:rFonts w:ascii="Arial" w:hAnsi="Arial" w:cs="Arial"/>
          <w:sz w:val="20"/>
          <w:szCs w:val="20"/>
        </w:rPr>
        <w:t xml:space="preserve">*Revelar las nuevas políticas de reconocimiento: </w:t>
      </w:r>
      <w:r w:rsidRPr="00091B6D">
        <w:rPr>
          <w:rFonts w:ascii="Arial" w:hAnsi="Arial" w:cs="Arial"/>
          <w:b/>
          <w:sz w:val="20"/>
          <w:szCs w:val="20"/>
        </w:rPr>
        <w:t xml:space="preserve">“Esta nota no le aplica al ente público” </w:t>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r w:rsidRPr="00091B6D">
        <w:rPr>
          <w:rFonts w:ascii="Arial" w:hAnsi="Arial" w:cs="Arial"/>
          <w:sz w:val="20"/>
          <w:szCs w:val="20"/>
        </w:rPr>
        <w:t xml:space="preserve">*Plan de implementación: </w:t>
      </w:r>
      <w:r w:rsidRPr="00091B6D">
        <w:rPr>
          <w:rFonts w:ascii="Arial" w:hAnsi="Arial" w:cs="Arial"/>
          <w:b/>
          <w:sz w:val="20"/>
          <w:szCs w:val="20"/>
        </w:rPr>
        <w:t xml:space="preserve">“Esta nota no le aplica al ente público” </w:t>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r w:rsidRPr="00091B6D">
        <w:rPr>
          <w:rFonts w:ascii="Arial" w:hAnsi="Arial" w:cs="Arial"/>
          <w:sz w:val="20"/>
          <w:szCs w:val="20"/>
        </w:rPr>
        <w:t xml:space="preserve">*Revelar los cambios en las políticas, la clasificación y medición de las mismas, así como su impacto en la información financiera: </w:t>
      </w:r>
      <w:r w:rsidRPr="00091B6D">
        <w:rPr>
          <w:rFonts w:ascii="Arial" w:hAnsi="Arial" w:cs="Arial"/>
          <w:b/>
          <w:sz w:val="20"/>
          <w:szCs w:val="20"/>
        </w:rPr>
        <w:t xml:space="preserve">“Esta nota no le aplica al ente público” </w:t>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r w:rsidRPr="00091B6D">
        <w:rPr>
          <w:rFonts w:ascii="Arial" w:hAnsi="Arial" w:cs="Arial"/>
          <w:sz w:val="20"/>
          <w:szCs w:val="20"/>
        </w:rPr>
        <w:t>*Presentar los últimos estados financieros con la normatividad anteriormente utilizada con las nuevas políticas para fines de comparación en la transición a la base de devengado: Se encuentran publicados los estados financieros en nuestra página de internet.</w:t>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pStyle w:val="Ttulo2"/>
        <w:spacing w:line="240" w:lineRule="auto"/>
        <w:rPr>
          <w:rFonts w:ascii="Arial" w:hAnsi="Arial" w:cs="Arial"/>
          <w:b/>
          <w:sz w:val="20"/>
          <w:szCs w:val="20"/>
        </w:rPr>
      </w:pPr>
      <w:bookmarkStart w:id="5" w:name="_Toc220077189"/>
      <w:r w:rsidRPr="00091B6D">
        <w:rPr>
          <w:rFonts w:ascii="Arial" w:hAnsi="Arial" w:cs="Arial"/>
          <w:b/>
          <w:color w:val="auto"/>
          <w:sz w:val="20"/>
          <w:szCs w:val="20"/>
        </w:rPr>
        <w:t>5. Políticas de Contabilidad Significativas:</w:t>
      </w:r>
      <w:bookmarkEnd w:id="5"/>
    </w:p>
    <w:p w:rsidR="00000EBA" w:rsidRPr="00091B6D" w:rsidRDefault="00000EBA" w:rsidP="00000EBA">
      <w:pPr>
        <w:tabs>
          <w:tab w:val="left" w:leader="underscore" w:pos="9639"/>
        </w:tabs>
        <w:spacing w:after="0" w:line="240" w:lineRule="auto"/>
        <w:jc w:val="both"/>
        <w:rPr>
          <w:rFonts w:ascii="Arial" w:hAnsi="Arial" w:cs="Arial"/>
          <w:sz w:val="20"/>
          <w:szCs w:val="20"/>
        </w:rPr>
      </w:pPr>
      <w:r w:rsidRPr="00091B6D">
        <w:rPr>
          <w:rFonts w:ascii="Arial" w:hAnsi="Arial" w:cs="Arial"/>
          <w:sz w:val="20"/>
          <w:szCs w:val="20"/>
        </w:rPr>
        <w:t xml:space="preserve">Son los principios, bases, reglas y procedimientos específicos adoptados por el ente público en la elaboración y presentación de sus estados financieros. </w:t>
      </w:r>
    </w:p>
    <w:p w:rsidR="00000EBA" w:rsidRPr="00091B6D" w:rsidRDefault="00000EBA" w:rsidP="00000EBA">
      <w:pPr>
        <w:tabs>
          <w:tab w:val="left" w:leader="underscore" w:pos="9639"/>
        </w:tabs>
        <w:spacing w:after="0" w:line="240" w:lineRule="auto"/>
        <w:jc w:val="both"/>
        <w:rPr>
          <w:rFonts w:ascii="Arial" w:hAnsi="Arial" w:cs="Arial"/>
          <w:sz w:val="20"/>
          <w:szCs w:val="20"/>
        </w:rPr>
      </w:pPr>
      <w:r w:rsidRPr="00091B6D">
        <w:rPr>
          <w:rFonts w:ascii="Arial" w:hAnsi="Arial" w:cs="Arial"/>
          <w:sz w:val="20"/>
          <w:szCs w:val="20"/>
        </w:rPr>
        <w:t>El ente público seleccionará y aplicará sus políticas contables de manera congruente para transacciones, otros eventos y condiciones que sean similares.</w:t>
      </w:r>
    </w:p>
    <w:p w:rsidR="00000EBA" w:rsidRPr="00091B6D" w:rsidRDefault="00000EBA" w:rsidP="00000EBA">
      <w:pPr>
        <w:tabs>
          <w:tab w:val="left" w:leader="underscore" w:pos="9639"/>
        </w:tabs>
        <w:spacing w:after="0" w:line="240" w:lineRule="auto"/>
        <w:jc w:val="both"/>
        <w:rPr>
          <w:rFonts w:ascii="Arial" w:hAnsi="Arial" w:cs="Arial"/>
          <w:sz w:val="20"/>
          <w:szCs w:val="20"/>
        </w:rPr>
      </w:pPr>
      <w:r w:rsidRPr="00091B6D">
        <w:rPr>
          <w:rFonts w:ascii="Arial" w:hAnsi="Arial" w:cs="Arial"/>
          <w:sz w:val="20"/>
          <w:szCs w:val="20"/>
        </w:rPr>
        <w:t>Se informará sobre:</w:t>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b/>
          <w:sz w:val="20"/>
          <w:szCs w:val="20"/>
        </w:rPr>
      </w:pPr>
      <w:r w:rsidRPr="00091B6D">
        <w:rPr>
          <w:rFonts w:ascii="Arial" w:hAnsi="Arial" w:cs="Arial"/>
          <w:b/>
          <w:sz w:val="20"/>
          <w:szCs w:val="20"/>
        </w:rPr>
        <w:lastRenderedPageBreak/>
        <w:t>a)</w:t>
      </w:r>
      <w:r w:rsidRPr="00091B6D">
        <w:rPr>
          <w:rFonts w:ascii="Arial" w:hAnsi="Arial" w:cs="Arial"/>
          <w:sz w:val="20"/>
          <w:szCs w:val="20"/>
        </w:rPr>
        <w:t xml:space="preserve"> Actualización: se informará del método utilizado para la actualización del valor de los activos, pasivos y Hacienda Pública/Patrimonio y las razones de dicha elección. Así como informar de la desconexión o reconexión inflacionaria: </w:t>
      </w:r>
      <w:r w:rsidRPr="00091B6D">
        <w:rPr>
          <w:rFonts w:ascii="Arial" w:hAnsi="Arial" w:cs="Arial"/>
          <w:b/>
          <w:sz w:val="20"/>
          <w:szCs w:val="20"/>
        </w:rPr>
        <w:t xml:space="preserve">“Esta nota no le aplica al ente público” </w:t>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r w:rsidRPr="00091B6D">
        <w:rPr>
          <w:rFonts w:ascii="Arial" w:hAnsi="Arial" w:cs="Arial"/>
          <w:b/>
          <w:sz w:val="20"/>
          <w:szCs w:val="20"/>
        </w:rPr>
        <w:t>b)</w:t>
      </w:r>
      <w:r w:rsidRPr="00091B6D">
        <w:rPr>
          <w:rFonts w:ascii="Arial" w:hAnsi="Arial" w:cs="Arial"/>
          <w:sz w:val="20"/>
          <w:szCs w:val="20"/>
        </w:rPr>
        <w:t xml:space="preserve"> Informar sobre la realización de operaciones en el extranjero y de sus efectos en la información financiera gubernamental, considerando entre otros el importe de las variaciones cambiarias reconocidas en el resultado (ahorro o desahorro):</w:t>
      </w:r>
      <w:r w:rsidRPr="00091B6D">
        <w:rPr>
          <w:rFonts w:ascii="Arial" w:hAnsi="Arial" w:cs="Arial"/>
          <w:b/>
          <w:sz w:val="20"/>
          <w:szCs w:val="20"/>
        </w:rPr>
        <w:t xml:space="preserve"> “Esta nota no le aplica al ente público” </w:t>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r w:rsidRPr="00091B6D">
        <w:rPr>
          <w:rFonts w:ascii="Arial" w:hAnsi="Arial" w:cs="Arial"/>
          <w:b/>
          <w:sz w:val="20"/>
          <w:szCs w:val="20"/>
        </w:rPr>
        <w:t>c)</w:t>
      </w:r>
      <w:r w:rsidRPr="00091B6D">
        <w:rPr>
          <w:rFonts w:ascii="Arial" w:hAnsi="Arial" w:cs="Arial"/>
          <w:sz w:val="20"/>
          <w:szCs w:val="20"/>
        </w:rPr>
        <w:t xml:space="preserve"> Método de valuación de la inversión en acciones de Compañías subsidiarias no consolidadas y asociadas:</w:t>
      </w:r>
      <w:r w:rsidRPr="00091B6D">
        <w:rPr>
          <w:rFonts w:ascii="Arial" w:hAnsi="Arial" w:cs="Arial"/>
          <w:b/>
          <w:sz w:val="20"/>
          <w:szCs w:val="20"/>
        </w:rPr>
        <w:t xml:space="preserve"> “Esta nota no le aplica al ente público” </w:t>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r w:rsidRPr="00091B6D">
        <w:rPr>
          <w:rFonts w:ascii="Arial" w:hAnsi="Arial" w:cs="Arial"/>
          <w:b/>
          <w:sz w:val="20"/>
          <w:szCs w:val="20"/>
        </w:rPr>
        <w:t>d)</w:t>
      </w:r>
      <w:r w:rsidRPr="00091B6D">
        <w:rPr>
          <w:rFonts w:ascii="Arial" w:hAnsi="Arial" w:cs="Arial"/>
          <w:sz w:val="20"/>
          <w:szCs w:val="20"/>
        </w:rPr>
        <w:t xml:space="preserve"> Sistema y método de valuación de inventarios y costo de lo vendido:</w:t>
      </w:r>
      <w:r w:rsidRPr="00091B6D">
        <w:rPr>
          <w:rFonts w:ascii="Arial" w:hAnsi="Arial" w:cs="Arial"/>
          <w:b/>
          <w:sz w:val="20"/>
          <w:szCs w:val="20"/>
        </w:rPr>
        <w:t xml:space="preserve"> “Esta nota no le aplica al ente público” </w:t>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r w:rsidRPr="00091B6D">
        <w:rPr>
          <w:rFonts w:ascii="Arial" w:hAnsi="Arial" w:cs="Arial"/>
          <w:b/>
          <w:sz w:val="20"/>
          <w:szCs w:val="20"/>
        </w:rPr>
        <w:t>e)</w:t>
      </w:r>
      <w:r w:rsidRPr="00091B6D">
        <w:rPr>
          <w:rFonts w:ascii="Arial" w:hAnsi="Arial" w:cs="Arial"/>
          <w:sz w:val="20"/>
          <w:szCs w:val="20"/>
        </w:rPr>
        <w:t xml:space="preserve"> Beneficios a empleados: revelar el cálculo de la reserva actuarial, valor presente de los ingresos esperados comparado con el valor presente de la estimación de gastos tanto de los beneficiarios actuales como futuros:</w:t>
      </w:r>
      <w:r w:rsidRPr="00091B6D">
        <w:rPr>
          <w:rFonts w:ascii="Arial" w:hAnsi="Arial" w:cs="Arial"/>
          <w:b/>
          <w:sz w:val="20"/>
          <w:szCs w:val="20"/>
        </w:rPr>
        <w:t xml:space="preserve"> “Esta nota no le aplica al ente público” </w:t>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r w:rsidRPr="00091B6D">
        <w:rPr>
          <w:rFonts w:ascii="Arial" w:hAnsi="Arial" w:cs="Arial"/>
          <w:b/>
          <w:sz w:val="20"/>
          <w:szCs w:val="20"/>
        </w:rPr>
        <w:t>f)</w:t>
      </w:r>
      <w:r w:rsidRPr="00091B6D">
        <w:rPr>
          <w:rFonts w:ascii="Arial" w:hAnsi="Arial" w:cs="Arial"/>
          <w:sz w:val="20"/>
          <w:szCs w:val="20"/>
        </w:rPr>
        <w:t xml:space="preserve"> Provisiones: objetivo de su creación, monto y plazo:</w:t>
      </w:r>
      <w:r w:rsidRPr="00091B6D">
        <w:rPr>
          <w:rFonts w:ascii="Arial" w:hAnsi="Arial" w:cs="Arial"/>
          <w:b/>
          <w:sz w:val="20"/>
          <w:szCs w:val="20"/>
        </w:rPr>
        <w:t xml:space="preserve"> “Esta nota no le aplica al ente público” </w:t>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r w:rsidRPr="00091B6D">
        <w:rPr>
          <w:rFonts w:ascii="Arial" w:hAnsi="Arial" w:cs="Arial"/>
          <w:b/>
          <w:sz w:val="20"/>
          <w:szCs w:val="20"/>
        </w:rPr>
        <w:t>g)</w:t>
      </w:r>
      <w:r w:rsidRPr="00091B6D">
        <w:rPr>
          <w:rFonts w:ascii="Arial" w:hAnsi="Arial" w:cs="Arial"/>
          <w:sz w:val="20"/>
          <w:szCs w:val="20"/>
        </w:rPr>
        <w:t xml:space="preserve"> Reservas: objetivo de su creación, monto y plazo:</w:t>
      </w:r>
      <w:r w:rsidRPr="00091B6D">
        <w:rPr>
          <w:rFonts w:ascii="Arial" w:hAnsi="Arial" w:cs="Arial"/>
          <w:b/>
          <w:sz w:val="20"/>
          <w:szCs w:val="20"/>
        </w:rPr>
        <w:t xml:space="preserve"> “Esta nota no le aplica al ente público” </w:t>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r w:rsidRPr="00091B6D">
        <w:rPr>
          <w:rFonts w:ascii="Arial" w:hAnsi="Arial" w:cs="Arial"/>
          <w:b/>
          <w:sz w:val="20"/>
          <w:szCs w:val="20"/>
        </w:rPr>
        <w:t>h)</w:t>
      </w:r>
      <w:r w:rsidRPr="00091B6D">
        <w:rPr>
          <w:rFonts w:ascii="Arial" w:hAnsi="Arial" w:cs="Arial"/>
          <w:sz w:val="20"/>
          <w:szCs w:val="20"/>
        </w:rPr>
        <w:t xml:space="preserve"> Cambios en políticas contables y corrección de errores junto con la revelación de los efectos que se tendrá en la información financiera del ente público, ya sea retrospectivos o prospectivos:</w:t>
      </w:r>
      <w:r w:rsidRPr="00091B6D">
        <w:rPr>
          <w:rFonts w:ascii="Arial" w:hAnsi="Arial" w:cs="Arial"/>
          <w:b/>
          <w:sz w:val="20"/>
          <w:szCs w:val="20"/>
        </w:rPr>
        <w:t xml:space="preserve"> “Esta nota no le aplica al ente público” </w:t>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r w:rsidRPr="00091B6D">
        <w:rPr>
          <w:rFonts w:ascii="Arial" w:hAnsi="Arial" w:cs="Arial"/>
          <w:b/>
          <w:sz w:val="20"/>
          <w:szCs w:val="20"/>
        </w:rPr>
        <w:t>i)</w:t>
      </w:r>
      <w:r w:rsidRPr="00091B6D">
        <w:rPr>
          <w:rFonts w:ascii="Arial" w:hAnsi="Arial" w:cs="Arial"/>
          <w:sz w:val="20"/>
          <w:szCs w:val="20"/>
        </w:rPr>
        <w:t xml:space="preserve"> Reclasificaciones: Se deben revelar todos aquellos movimientos entre cuentas por efectos de cambios en los tipos de operaciones:</w:t>
      </w:r>
      <w:r w:rsidRPr="00091B6D">
        <w:rPr>
          <w:rFonts w:ascii="Arial" w:hAnsi="Arial" w:cs="Arial"/>
          <w:b/>
          <w:sz w:val="20"/>
          <w:szCs w:val="20"/>
        </w:rPr>
        <w:t xml:space="preserve"> “Esta nota no le aplica al ente público” </w:t>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r w:rsidRPr="00091B6D">
        <w:rPr>
          <w:rFonts w:ascii="Arial" w:hAnsi="Arial" w:cs="Arial"/>
          <w:b/>
          <w:sz w:val="20"/>
          <w:szCs w:val="20"/>
        </w:rPr>
        <w:t>j)</w:t>
      </w:r>
      <w:r w:rsidRPr="00091B6D">
        <w:rPr>
          <w:rFonts w:ascii="Arial" w:hAnsi="Arial" w:cs="Arial"/>
          <w:sz w:val="20"/>
          <w:szCs w:val="20"/>
        </w:rPr>
        <w:t xml:space="preserve"> Depuración y cancelación de saldos: Constantemente se vienen analizando la información y en caso de encontrar saldos a depurar se realizan las acciones adecuadas y fundamentadas para depurar o cancelar saldos.</w:t>
      </w:r>
    </w:p>
    <w:p w:rsidR="00000EBA" w:rsidRPr="00091B6D" w:rsidRDefault="00000EBA" w:rsidP="00000EBA">
      <w:pPr>
        <w:pStyle w:val="Ttulo2"/>
        <w:spacing w:line="240" w:lineRule="auto"/>
        <w:rPr>
          <w:rFonts w:ascii="Arial" w:hAnsi="Arial" w:cs="Arial"/>
          <w:b/>
          <w:color w:val="auto"/>
          <w:sz w:val="20"/>
          <w:szCs w:val="20"/>
        </w:rPr>
      </w:pPr>
    </w:p>
    <w:p w:rsidR="00000EBA" w:rsidRPr="00091B6D" w:rsidRDefault="00000EBA" w:rsidP="00000EBA">
      <w:pPr>
        <w:pStyle w:val="Ttulo2"/>
        <w:spacing w:line="240" w:lineRule="auto"/>
        <w:rPr>
          <w:rFonts w:ascii="Arial" w:hAnsi="Arial" w:cs="Arial"/>
          <w:b/>
          <w:color w:val="auto"/>
          <w:sz w:val="20"/>
          <w:szCs w:val="20"/>
        </w:rPr>
      </w:pPr>
      <w:bookmarkStart w:id="6" w:name="_Toc220077190"/>
      <w:r w:rsidRPr="00091B6D">
        <w:rPr>
          <w:rFonts w:ascii="Arial" w:hAnsi="Arial" w:cs="Arial"/>
          <w:b/>
          <w:color w:val="auto"/>
          <w:sz w:val="20"/>
          <w:szCs w:val="20"/>
        </w:rPr>
        <w:t>6. Posición en Moneda Extranjera y Protección por Riesgo Cambiario:</w:t>
      </w:r>
      <w:bookmarkEnd w:id="6"/>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r w:rsidRPr="00091B6D">
        <w:rPr>
          <w:rFonts w:ascii="Arial" w:hAnsi="Arial" w:cs="Arial"/>
          <w:sz w:val="20"/>
          <w:szCs w:val="20"/>
        </w:rPr>
        <w:t>Se informará sobre:</w:t>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r w:rsidRPr="00091B6D">
        <w:rPr>
          <w:rFonts w:ascii="Arial" w:hAnsi="Arial" w:cs="Arial"/>
          <w:b/>
          <w:sz w:val="20"/>
          <w:szCs w:val="20"/>
        </w:rPr>
        <w:t>a)</w:t>
      </w:r>
      <w:r w:rsidRPr="00091B6D">
        <w:rPr>
          <w:rFonts w:ascii="Arial" w:hAnsi="Arial" w:cs="Arial"/>
          <w:sz w:val="20"/>
          <w:szCs w:val="20"/>
        </w:rPr>
        <w:t xml:space="preserve"> Activos en moneda extranjera: </w:t>
      </w:r>
      <w:r w:rsidRPr="00091B6D">
        <w:rPr>
          <w:rFonts w:ascii="Arial" w:hAnsi="Arial" w:cs="Arial"/>
          <w:b/>
          <w:sz w:val="20"/>
          <w:szCs w:val="20"/>
        </w:rPr>
        <w:t xml:space="preserve">“Esta nota no le aplica al ente público” </w:t>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r w:rsidRPr="00091B6D">
        <w:rPr>
          <w:rFonts w:ascii="Arial" w:hAnsi="Arial" w:cs="Arial"/>
          <w:b/>
          <w:sz w:val="20"/>
          <w:szCs w:val="20"/>
        </w:rPr>
        <w:t>b)</w:t>
      </w:r>
      <w:r w:rsidRPr="00091B6D">
        <w:rPr>
          <w:rFonts w:ascii="Arial" w:hAnsi="Arial" w:cs="Arial"/>
          <w:sz w:val="20"/>
          <w:szCs w:val="20"/>
        </w:rPr>
        <w:t xml:space="preserve"> Pasivos en moneda extranjera:</w:t>
      </w:r>
      <w:r w:rsidRPr="00091B6D">
        <w:rPr>
          <w:rFonts w:ascii="Arial" w:hAnsi="Arial" w:cs="Arial"/>
          <w:b/>
          <w:sz w:val="20"/>
          <w:szCs w:val="20"/>
        </w:rPr>
        <w:t xml:space="preserve"> “Esta nota no le aplica al ente público” </w:t>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r w:rsidRPr="00091B6D">
        <w:rPr>
          <w:rFonts w:ascii="Arial" w:hAnsi="Arial" w:cs="Arial"/>
          <w:b/>
          <w:sz w:val="20"/>
          <w:szCs w:val="20"/>
        </w:rPr>
        <w:t xml:space="preserve">c) </w:t>
      </w:r>
      <w:r w:rsidRPr="00091B6D">
        <w:rPr>
          <w:rFonts w:ascii="Arial" w:hAnsi="Arial" w:cs="Arial"/>
          <w:sz w:val="20"/>
          <w:szCs w:val="20"/>
        </w:rPr>
        <w:t>Posición en moneda extranjera:</w:t>
      </w:r>
      <w:r w:rsidRPr="00091B6D">
        <w:rPr>
          <w:rFonts w:ascii="Arial" w:hAnsi="Arial" w:cs="Arial"/>
          <w:b/>
          <w:sz w:val="20"/>
          <w:szCs w:val="20"/>
        </w:rPr>
        <w:t xml:space="preserve"> “Esta nota no le aplica al ente público” </w:t>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r w:rsidRPr="00091B6D">
        <w:rPr>
          <w:rFonts w:ascii="Arial" w:hAnsi="Arial" w:cs="Arial"/>
          <w:b/>
          <w:sz w:val="20"/>
          <w:szCs w:val="20"/>
        </w:rPr>
        <w:t>d)</w:t>
      </w:r>
      <w:r w:rsidRPr="00091B6D">
        <w:rPr>
          <w:rFonts w:ascii="Arial" w:hAnsi="Arial" w:cs="Arial"/>
          <w:sz w:val="20"/>
          <w:szCs w:val="20"/>
        </w:rPr>
        <w:t xml:space="preserve"> Tipo de cambio:</w:t>
      </w:r>
      <w:r w:rsidRPr="00091B6D">
        <w:rPr>
          <w:rFonts w:ascii="Arial" w:hAnsi="Arial" w:cs="Arial"/>
          <w:b/>
          <w:sz w:val="20"/>
          <w:szCs w:val="20"/>
        </w:rPr>
        <w:t xml:space="preserve"> “Esta nota no le aplica al ente público” </w:t>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r w:rsidRPr="00091B6D">
        <w:rPr>
          <w:rFonts w:ascii="Arial" w:hAnsi="Arial" w:cs="Arial"/>
          <w:b/>
          <w:sz w:val="20"/>
          <w:szCs w:val="20"/>
        </w:rPr>
        <w:t xml:space="preserve">e) </w:t>
      </w:r>
      <w:r w:rsidRPr="00091B6D">
        <w:rPr>
          <w:rFonts w:ascii="Arial" w:hAnsi="Arial" w:cs="Arial"/>
          <w:sz w:val="20"/>
          <w:szCs w:val="20"/>
        </w:rPr>
        <w:t>Equivalente en moneda nacional:</w:t>
      </w:r>
      <w:r w:rsidRPr="00091B6D">
        <w:rPr>
          <w:rFonts w:ascii="Arial" w:hAnsi="Arial" w:cs="Arial"/>
          <w:b/>
          <w:sz w:val="20"/>
          <w:szCs w:val="20"/>
        </w:rPr>
        <w:t xml:space="preserve"> “Esta nota no le aplica al ente público” </w:t>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pStyle w:val="Ttulo2"/>
        <w:spacing w:line="240" w:lineRule="auto"/>
        <w:rPr>
          <w:rFonts w:ascii="Arial" w:hAnsi="Arial" w:cs="Arial"/>
          <w:b/>
          <w:color w:val="auto"/>
          <w:sz w:val="20"/>
          <w:szCs w:val="20"/>
        </w:rPr>
      </w:pPr>
      <w:bookmarkStart w:id="7" w:name="_Toc220077191"/>
      <w:r w:rsidRPr="00091B6D">
        <w:rPr>
          <w:rFonts w:ascii="Arial" w:hAnsi="Arial" w:cs="Arial"/>
          <w:b/>
          <w:color w:val="auto"/>
          <w:sz w:val="20"/>
          <w:szCs w:val="20"/>
        </w:rPr>
        <w:lastRenderedPageBreak/>
        <w:t>7. Reporte Analítico del Activo:</w:t>
      </w:r>
      <w:bookmarkEnd w:id="7"/>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r w:rsidRPr="00091B6D">
        <w:rPr>
          <w:rFonts w:ascii="Arial" w:hAnsi="Arial" w:cs="Arial"/>
          <w:sz w:val="20"/>
          <w:szCs w:val="20"/>
        </w:rPr>
        <w:t>Debe mostrar la siguiente información:</w:t>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r w:rsidRPr="00091B6D">
        <w:rPr>
          <w:rFonts w:ascii="Arial" w:hAnsi="Arial" w:cs="Arial"/>
          <w:b/>
          <w:sz w:val="20"/>
          <w:szCs w:val="20"/>
        </w:rPr>
        <w:t>a)</w:t>
      </w:r>
      <w:r w:rsidRPr="00091B6D">
        <w:rPr>
          <w:rFonts w:ascii="Arial" w:hAnsi="Arial" w:cs="Arial"/>
          <w:sz w:val="20"/>
          <w:szCs w:val="20"/>
        </w:rPr>
        <w:t xml:space="preserve"> Vida útil, porcentajes de depreciación y amortización utilizados en los diferentes tipos de activos, o el importe de las pérdidas por deterioro reconocidas:</w:t>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pStyle w:val="Texto"/>
        <w:spacing w:line="240" w:lineRule="auto"/>
        <w:rPr>
          <w:rFonts w:eastAsia="Calibri"/>
          <w:sz w:val="20"/>
          <w:lang w:val="es-MX" w:eastAsia="en-US"/>
        </w:rPr>
      </w:pPr>
      <w:r w:rsidRPr="00091B6D">
        <w:rPr>
          <w:rFonts w:eastAsia="Calibri"/>
          <w:b/>
          <w:sz w:val="20"/>
          <w:lang w:val="es-MX" w:eastAsia="en-US"/>
        </w:rPr>
        <w:t>Artículo 34 LISR.</w:t>
      </w:r>
      <w:r w:rsidRPr="00091B6D">
        <w:rPr>
          <w:rFonts w:eastAsia="Calibri"/>
          <w:sz w:val="20"/>
          <w:lang w:val="es-MX" w:eastAsia="en-US"/>
        </w:rPr>
        <w:t xml:space="preserve"> Los por cientos máximos autorizados, tratándose de activos fijos por tipo de bien son los siguientes:</w:t>
      </w:r>
    </w:p>
    <w:p w:rsidR="00000EBA" w:rsidRPr="00091B6D" w:rsidRDefault="00000EBA" w:rsidP="00000EBA">
      <w:pPr>
        <w:pStyle w:val="Texto"/>
        <w:spacing w:line="240" w:lineRule="auto"/>
        <w:ind w:left="1008" w:hanging="720"/>
        <w:rPr>
          <w:rFonts w:eastAsia="Calibri"/>
          <w:sz w:val="20"/>
          <w:lang w:val="es-MX" w:eastAsia="en-US"/>
        </w:rPr>
      </w:pPr>
      <w:r w:rsidRPr="00091B6D">
        <w:rPr>
          <w:rFonts w:eastAsia="Calibri"/>
          <w:b/>
          <w:sz w:val="20"/>
          <w:lang w:val="es-MX" w:eastAsia="en-US"/>
        </w:rPr>
        <w:t>III.</w:t>
      </w:r>
      <w:r w:rsidRPr="00091B6D">
        <w:rPr>
          <w:rFonts w:eastAsia="Calibri"/>
          <w:sz w:val="20"/>
          <w:lang w:val="es-MX" w:eastAsia="en-US"/>
        </w:rPr>
        <w:tab/>
        <w:t>10% para mobiliario y equipo de oficina.</w:t>
      </w:r>
    </w:p>
    <w:p w:rsidR="00000EBA" w:rsidRPr="00091B6D" w:rsidRDefault="00000EBA" w:rsidP="00000EBA">
      <w:pPr>
        <w:pStyle w:val="Texto"/>
        <w:spacing w:line="240" w:lineRule="auto"/>
        <w:ind w:left="1008" w:hanging="720"/>
        <w:rPr>
          <w:rFonts w:eastAsia="Calibri"/>
          <w:sz w:val="20"/>
          <w:lang w:val="es-MX" w:eastAsia="en-US"/>
        </w:rPr>
      </w:pPr>
      <w:r w:rsidRPr="00091B6D">
        <w:rPr>
          <w:rFonts w:eastAsia="Calibri"/>
          <w:b/>
          <w:sz w:val="20"/>
          <w:lang w:val="es-MX" w:eastAsia="en-US"/>
        </w:rPr>
        <w:t>VI.</w:t>
      </w:r>
      <w:r w:rsidRPr="00091B6D">
        <w:rPr>
          <w:rFonts w:eastAsia="Calibri"/>
          <w:sz w:val="20"/>
          <w:lang w:val="es-MX" w:eastAsia="en-US"/>
        </w:rPr>
        <w:tab/>
        <w:t>25% para automóviles, autobuses, camiones de carga, tractocamiones, montacargas y remolques.</w:t>
      </w:r>
    </w:p>
    <w:p w:rsidR="00000EBA" w:rsidRPr="00091B6D" w:rsidRDefault="00000EBA" w:rsidP="00000EBA">
      <w:pPr>
        <w:pStyle w:val="Texto"/>
        <w:spacing w:line="240" w:lineRule="auto"/>
        <w:ind w:left="1008" w:hanging="720"/>
        <w:rPr>
          <w:rFonts w:eastAsia="Calibri"/>
          <w:sz w:val="20"/>
          <w:lang w:val="es-MX" w:eastAsia="en-US"/>
        </w:rPr>
      </w:pPr>
      <w:r w:rsidRPr="00091B6D">
        <w:rPr>
          <w:rFonts w:eastAsia="Calibri"/>
          <w:b/>
          <w:sz w:val="20"/>
          <w:lang w:val="es-MX" w:eastAsia="en-US"/>
        </w:rPr>
        <w:t>VII.</w:t>
      </w:r>
      <w:r w:rsidRPr="00091B6D">
        <w:rPr>
          <w:rFonts w:eastAsia="Calibri"/>
          <w:sz w:val="20"/>
          <w:lang w:val="es-MX" w:eastAsia="en-US"/>
        </w:rPr>
        <w:tab/>
        <w:t>30% para computadoras personales de escritorio y portátiles; servidores; impresoras, lectores ópticos, graficadores, lectores de código de barras, digitalizadores, unidades de almacenamiento externo y concentradores de redes de cómputo.</w:t>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r w:rsidRPr="00091B6D">
        <w:rPr>
          <w:rFonts w:ascii="Arial" w:hAnsi="Arial" w:cs="Arial"/>
          <w:b/>
          <w:sz w:val="20"/>
          <w:szCs w:val="20"/>
        </w:rPr>
        <w:t>b)</w:t>
      </w:r>
      <w:r w:rsidRPr="00091B6D">
        <w:rPr>
          <w:rFonts w:ascii="Arial" w:hAnsi="Arial" w:cs="Arial"/>
          <w:sz w:val="20"/>
          <w:szCs w:val="20"/>
        </w:rPr>
        <w:t xml:space="preserve"> Cambios en el porcentaje de depreciación y amortización y en el valor de los activos ocasionado por deterioro: </w:t>
      </w:r>
      <w:r w:rsidRPr="00091B6D">
        <w:rPr>
          <w:rFonts w:ascii="Arial" w:hAnsi="Arial" w:cs="Arial"/>
          <w:b/>
          <w:sz w:val="20"/>
          <w:szCs w:val="20"/>
        </w:rPr>
        <w:t xml:space="preserve">“Esta nota no le aplica al ente público” </w:t>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r w:rsidRPr="00091B6D">
        <w:rPr>
          <w:rFonts w:ascii="Arial" w:hAnsi="Arial" w:cs="Arial"/>
          <w:b/>
          <w:sz w:val="20"/>
          <w:szCs w:val="20"/>
        </w:rPr>
        <w:t>c)</w:t>
      </w:r>
      <w:r w:rsidRPr="00091B6D">
        <w:rPr>
          <w:rFonts w:ascii="Arial" w:hAnsi="Arial" w:cs="Arial"/>
          <w:sz w:val="20"/>
          <w:szCs w:val="20"/>
        </w:rPr>
        <w:t xml:space="preserve"> Importe de los gastos capitalizados en el ejercicio, tanto financieros como de investigación y desarrollo: </w:t>
      </w:r>
      <w:r w:rsidRPr="00091B6D">
        <w:rPr>
          <w:rFonts w:ascii="Arial" w:hAnsi="Arial" w:cs="Arial"/>
          <w:b/>
          <w:sz w:val="20"/>
          <w:szCs w:val="20"/>
        </w:rPr>
        <w:t xml:space="preserve">“Esta nota no le aplica al ente público” </w:t>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r w:rsidRPr="00091B6D">
        <w:rPr>
          <w:rFonts w:ascii="Arial" w:hAnsi="Arial" w:cs="Arial"/>
          <w:b/>
          <w:sz w:val="20"/>
          <w:szCs w:val="20"/>
        </w:rPr>
        <w:t>d)</w:t>
      </w:r>
      <w:r w:rsidRPr="00091B6D">
        <w:rPr>
          <w:rFonts w:ascii="Arial" w:hAnsi="Arial" w:cs="Arial"/>
          <w:sz w:val="20"/>
          <w:szCs w:val="20"/>
        </w:rPr>
        <w:t xml:space="preserve"> Riesgos por tipo de cambio o tipo de interés de las inversiones financieras: </w:t>
      </w:r>
      <w:r w:rsidRPr="00091B6D">
        <w:rPr>
          <w:rFonts w:ascii="Arial" w:hAnsi="Arial" w:cs="Arial"/>
          <w:b/>
          <w:sz w:val="20"/>
          <w:szCs w:val="20"/>
        </w:rPr>
        <w:t xml:space="preserve">“Esta nota no le aplica al ente público” </w:t>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r w:rsidRPr="00091B6D">
        <w:rPr>
          <w:rFonts w:ascii="Arial" w:hAnsi="Arial" w:cs="Arial"/>
          <w:b/>
          <w:sz w:val="20"/>
          <w:szCs w:val="20"/>
        </w:rPr>
        <w:t xml:space="preserve">e) </w:t>
      </w:r>
      <w:r w:rsidRPr="00091B6D">
        <w:rPr>
          <w:rFonts w:ascii="Arial" w:hAnsi="Arial" w:cs="Arial"/>
          <w:sz w:val="20"/>
          <w:szCs w:val="20"/>
        </w:rPr>
        <w:t>Valor activado en el ejercicio de los bienes construidos por la entidad: El bien construido por la entidad ha sido activado por el importe de $113,544,080.90 (Ciento trece millones quinientos cuarenta y cuatro mil ochenta pesos 90/100 M.N.).</w:t>
      </w:r>
    </w:p>
    <w:p w:rsidR="00000EBA" w:rsidRPr="00091B6D" w:rsidRDefault="00000EBA" w:rsidP="00000EBA">
      <w:pPr>
        <w:tabs>
          <w:tab w:val="left" w:leader="underscore" w:pos="9639"/>
        </w:tabs>
        <w:spacing w:after="0" w:line="240" w:lineRule="auto"/>
        <w:jc w:val="both"/>
        <w:rPr>
          <w:rFonts w:ascii="Arial" w:hAnsi="Arial" w:cs="Arial"/>
          <w:b/>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r w:rsidRPr="00091B6D">
        <w:rPr>
          <w:rFonts w:ascii="Arial" w:hAnsi="Arial" w:cs="Arial"/>
          <w:b/>
          <w:sz w:val="20"/>
          <w:szCs w:val="20"/>
        </w:rPr>
        <w:t>f)</w:t>
      </w:r>
      <w:r w:rsidRPr="00091B6D">
        <w:rPr>
          <w:rFonts w:ascii="Arial" w:hAnsi="Arial" w:cs="Arial"/>
          <w:sz w:val="20"/>
          <w:szCs w:val="20"/>
        </w:rPr>
        <w:t xml:space="preserve"> Otras circunstancias de carácter significativo que afecten el activo, tales como bienes en garantía, señalados en embargos, litigios, títulos de inversiones entregados en garantías, baja significativa del valor de inversiones financieras, etc.:</w:t>
      </w:r>
      <w:r w:rsidRPr="00091B6D">
        <w:rPr>
          <w:rFonts w:ascii="Arial" w:hAnsi="Arial" w:cs="Arial"/>
          <w:b/>
          <w:sz w:val="20"/>
          <w:szCs w:val="20"/>
        </w:rPr>
        <w:t xml:space="preserve"> “Esta nota no le aplica al ente público” </w:t>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r w:rsidRPr="00091B6D">
        <w:rPr>
          <w:rFonts w:ascii="Arial" w:hAnsi="Arial" w:cs="Arial"/>
          <w:b/>
          <w:sz w:val="20"/>
          <w:szCs w:val="20"/>
        </w:rPr>
        <w:t>g)</w:t>
      </w:r>
      <w:r w:rsidRPr="00091B6D">
        <w:rPr>
          <w:rFonts w:ascii="Arial" w:hAnsi="Arial" w:cs="Arial"/>
          <w:sz w:val="20"/>
          <w:szCs w:val="20"/>
        </w:rPr>
        <w:t xml:space="preserve"> Desmantelamiento de Activos, procedimientos, implicaciones, efectos contables: </w:t>
      </w:r>
      <w:r w:rsidRPr="00091B6D">
        <w:rPr>
          <w:rFonts w:ascii="Arial" w:hAnsi="Arial" w:cs="Arial"/>
          <w:b/>
          <w:sz w:val="20"/>
          <w:szCs w:val="20"/>
        </w:rPr>
        <w:t xml:space="preserve">“Esta nota no le aplica al ente público” </w:t>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r w:rsidRPr="00091B6D">
        <w:rPr>
          <w:rFonts w:ascii="Arial" w:hAnsi="Arial" w:cs="Arial"/>
          <w:b/>
          <w:sz w:val="20"/>
          <w:szCs w:val="20"/>
        </w:rPr>
        <w:t>h)</w:t>
      </w:r>
      <w:r w:rsidRPr="00091B6D">
        <w:rPr>
          <w:rFonts w:ascii="Arial" w:hAnsi="Arial" w:cs="Arial"/>
          <w:sz w:val="20"/>
          <w:szCs w:val="20"/>
        </w:rPr>
        <w:t xml:space="preserve"> Administración de activos; planeación con el objetivo de que el ente los utilice de manera más efectiva:</w:t>
      </w:r>
      <w:r w:rsidRPr="00091B6D">
        <w:rPr>
          <w:rFonts w:ascii="Arial" w:hAnsi="Arial" w:cs="Arial"/>
          <w:b/>
          <w:sz w:val="20"/>
          <w:szCs w:val="20"/>
        </w:rPr>
        <w:t xml:space="preserve"> “Esta nota no le aplica al ente público” </w:t>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r w:rsidRPr="00091B6D">
        <w:rPr>
          <w:rFonts w:ascii="Arial" w:hAnsi="Arial" w:cs="Arial"/>
          <w:sz w:val="20"/>
          <w:szCs w:val="20"/>
        </w:rPr>
        <w:t>Adicionalmente, se deben incluir las explicaciones de las principales variaciones en el activo, en cuadros comparativos como sigue:</w:t>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r w:rsidRPr="00091B6D">
        <w:rPr>
          <w:rFonts w:ascii="Arial" w:hAnsi="Arial" w:cs="Arial"/>
          <w:b/>
          <w:sz w:val="20"/>
          <w:szCs w:val="20"/>
        </w:rPr>
        <w:t>a)</w:t>
      </w:r>
      <w:r w:rsidRPr="00091B6D">
        <w:rPr>
          <w:rFonts w:ascii="Arial" w:hAnsi="Arial" w:cs="Arial"/>
          <w:sz w:val="20"/>
          <w:szCs w:val="20"/>
        </w:rPr>
        <w:t xml:space="preserve"> Inversiones en valores: </w:t>
      </w:r>
      <w:r w:rsidRPr="00091B6D">
        <w:rPr>
          <w:rFonts w:ascii="Arial" w:hAnsi="Arial" w:cs="Arial"/>
          <w:b/>
          <w:sz w:val="20"/>
          <w:szCs w:val="20"/>
        </w:rPr>
        <w:t xml:space="preserve">“Esta nota no le aplica al ente público” </w:t>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r w:rsidRPr="00091B6D">
        <w:rPr>
          <w:rFonts w:ascii="Arial" w:hAnsi="Arial" w:cs="Arial"/>
          <w:b/>
          <w:sz w:val="20"/>
          <w:szCs w:val="20"/>
        </w:rPr>
        <w:t>b)</w:t>
      </w:r>
      <w:r w:rsidRPr="00091B6D">
        <w:rPr>
          <w:rFonts w:ascii="Arial" w:hAnsi="Arial" w:cs="Arial"/>
          <w:sz w:val="20"/>
          <w:szCs w:val="20"/>
        </w:rPr>
        <w:t xml:space="preserve"> Patrimonio de Organismos Descentralizados de Control Presupuestario Indirecto:</w:t>
      </w:r>
      <w:r w:rsidRPr="00091B6D">
        <w:rPr>
          <w:rFonts w:ascii="Arial" w:hAnsi="Arial" w:cs="Arial"/>
          <w:b/>
          <w:sz w:val="20"/>
          <w:szCs w:val="20"/>
        </w:rPr>
        <w:t xml:space="preserve"> “Esta nota no le aplica al ente público” </w:t>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r w:rsidRPr="00091B6D">
        <w:rPr>
          <w:rFonts w:ascii="Arial" w:hAnsi="Arial" w:cs="Arial"/>
          <w:b/>
          <w:sz w:val="20"/>
          <w:szCs w:val="20"/>
        </w:rPr>
        <w:t>c)</w:t>
      </w:r>
      <w:r w:rsidRPr="00091B6D">
        <w:rPr>
          <w:rFonts w:ascii="Arial" w:hAnsi="Arial" w:cs="Arial"/>
          <w:sz w:val="20"/>
          <w:szCs w:val="20"/>
        </w:rPr>
        <w:t xml:space="preserve"> Inversiones en empresas de participación mayoritaria:</w:t>
      </w:r>
      <w:r w:rsidRPr="00091B6D">
        <w:rPr>
          <w:rFonts w:ascii="Arial" w:hAnsi="Arial" w:cs="Arial"/>
          <w:b/>
          <w:sz w:val="20"/>
          <w:szCs w:val="20"/>
        </w:rPr>
        <w:t xml:space="preserve"> “Esta nota no le aplica al ente público” </w:t>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r w:rsidRPr="00091B6D">
        <w:rPr>
          <w:rFonts w:ascii="Arial" w:hAnsi="Arial" w:cs="Arial"/>
          <w:b/>
          <w:sz w:val="20"/>
          <w:szCs w:val="20"/>
        </w:rPr>
        <w:t>d)</w:t>
      </w:r>
      <w:r w:rsidRPr="00091B6D">
        <w:rPr>
          <w:rFonts w:ascii="Arial" w:hAnsi="Arial" w:cs="Arial"/>
          <w:sz w:val="20"/>
          <w:szCs w:val="20"/>
        </w:rPr>
        <w:t xml:space="preserve"> Inversiones en empresas de participación minoritaria:</w:t>
      </w:r>
      <w:r w:rsidRPr="00091B6D">
        <w:rPr>
          <w:rFonts w:ascii="Arial" w:hAnsi="Arial" w:cs="Arial"/>
          <w:b/>
          <w:sz w:val="20"/>
          <w:szCs w:val="20"/>
        </w:rPr>
        <w:t xml:space="preserve"> “Esta nota no le aplica al ente público” </w:t>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r w:rsidRPr="00091B6D">
        <w:rPr>
          <w:rFonts w:ascii="Arial" w:hAnsi="Arial" w:cs="Arial"/>
          <w:b/>
          <w:sz w:val="20"/>
          <w:szCs w:val="20"/>
        </w:rPr>
        <w:lastRenderedPageBreak/>
        <w:t>e)</w:t>
      </w:r>
      <w:r w:rsidRPr="00091B6D">
        <w:rPr>
          <w:rFonts w:ascii="Arial" w:hAnsi="Arial" w:cs="Arial"/>
          <w:sz w:val="20"/>
          <w:szCs w:val="20"/>
        </w:rPr>
        <w:t xml:space="preserve"> Patrimonio de Organismos Descentralizados de control Presupuestario Directo, según corresponda:</w:t>
      </w:r>
      <w:r w:rsidRPr="00091B6D">
        <w:rPr>
          <w:rFonts w:ascii="Arial" w:hAnsi="Arial" w:cs="Arial"/>
          <w:b/>
          <w:sz w:val="20"/>
          <w:szCs w:val="20"/>
        </w:rPr>
        <w:t xml:space="preserve"> “Esta nota no le aplica al ente público” </w:t>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pStyle w:val="Ttulo2"/>
        <w:spacing w:line="240" w:lineRule="auto"/>
        <w:rPr>
          <w:rFonts w:ascii="Arial" w:hAnsi="Arial" w:cs="Arial"/>
          <w:b/>
          <w:color w:val="auto"/>
          <w:sz w:val="20"/>
          <w:szCs w:val="20"/>
        </w:rPr>
      </w:pPr>
      <w:bookmarkStart w:id="8" w:name="_Toc220077192"/>
      <w:r w:rsidRPr="00091B6D">
        <w:rPr>
          <w:rFonts w:ascii="Arial" w:hAnsi="Arial" w:cs="Arial"/>
          <w:b/>
          <w:color w:val="auto"/>
          <w:sz w:val="20"/>
          <w:szCs w:val="20"/>
        </w:rPr>
        <w:t>8. Fideicomisos, Mandatos y Análogos:</w:t>
      </w:r>
      <w:bookmarkEnd w:id="8"/>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r w:rsidRPr="00091B6D">
        <w:rPr>
          <w:rFonts w:ascii="Arial" w:hAnsi="Arial" w:cs="Arial"/>
          <w:sz w:val="20"/>
          <w:szCs w:val="20"/>
        </w:rPr>
        <w:t>Se deberá informar:</w:t>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r w:rsidRPr="00091B6D">
        <w:rPr>
          <w:rFonts w:ascii="Arial" w:hAnsi="Arial" w:cs="Arial"/>
          <w:b/>
          <w:sz w:val="20"/>
          <w:szCs w:val="20"/>
        </w:rPr>
        <w:t>a)</w:t>
      </w:r>
      <w:r w:rsidRPr="00091B6D">
        <w:rPr>
          <w:rFonts w:ascii="Arial" w:hAnsi="Arial" w:cs="Arial"/>
          <w:sz w:val="20"/>
          <w:szCs w:val="20"/>
        </w:rPr>
        <w:t xml:space="preserve"> Por ramo administrativo que los reporta:</w:t>
      </w:r>
      <w:r w:rsidRPr="00091B6D">
        <w:rPr>
          <w:rFonts w:ascii="Arial" w:hAnsi="Arial" w:cs="Arial"/>
          <w:b/>
          <w:sz w:val="20"/>
          <w:szCs w:val="20"/>
        </w:rPr>
        <w:t xml:space="preserve"> “Esta nota no le aplica al ente público” </w:t>
      </w:r>
    </w:p>
    <w:p w:rsidR="00000EBA" w:rsidRPr="00091B6D" w:rsidRDefault="00000EBA" w:rsidP="00000EBA">
      <w:pPr>
        <w:tabs>
          <w:tab w:val="left" w:leader="underscore" w:pos="9639"/>
        </w:tabs>
        <w:spacing w:after="0" w:line="240" w:lineRule="auto"/>
        <w:jc w:val="both"/>
        <w:rPr>
          <w:rFonts w:ascii="Arial" w:hAnsi="Arial" w:cs="Arial"/>
          <w:sz w:val="20"/>
          <w:szCs w:val="20"/>
        </w:rPr>
      </w:pPr>
      <w:r w:rsidRPr="00091B6D">
        <w:rPr>
          <w:rFonts w:ascii="Arial" w:hAnsi="Arial" w:cs="Arial"/>
          <w:b/>
          <w:sz w:val="20"/>
          <w:szCs w:val="20"/>
        </w:rPr>
        <w:t>b)</w:t>
      </w:r>
      <w:r w:rsidRPr="00091B6D">
        <w:rPr>
          <w:rFonts w:ascii="Arial" w:hAnsi="Arial" w:cs="Arial"/>
          <w:sz w:val="20"/>
          <w:szCs w:val="20"/>
        </w:rPr>
        <w:t xml:space="preserve"> Enlistar los de mayor monto de disponibilidad, relacionando aquéllos que conforman el 80% de las disponibilidades:</w:t>
      </w:r>
      <w:r w:rsidRPr="00091B6D">
        <w:rPr>
          <w:rFonts w:ascii="Arial" w:hAnsi="Arial" w:cs="Arial"/>
          <w:b/>
          <w:sz w:val="20"/>
          <w:szCs w:val="20"/>
        </w:rPr>
        <w:t xml:space="preserve"> “Esta nota no le aplica al ente público” </w:t>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spacing w:after="0" w:line="240" w:lineRule="auto"/>
        <w:rPr>
          <w:rFonts w:ascii="Arial" w:hAnsi="Arial" w:cs="Arial"/>
          <w:sz w:val="20"/>
          <w:szCs w:val="20"/>
        </w:rPr>
      </w:pPr>
      <w:r w:rsidRPr="00091B6D">
        <w:rPr>
          <w:rFonts w:ascii="Arial" w:hAnsi="Arial" w:cs="Arial"/>
          <w:sz w:val="20"/>
          <w:szCs w:val="20"/>
        </w:rPr>
        <w:br w:type="page"/>
      </w:r>
    </w:p>
    <w:p w:rsidR="00000EBA" w:rsidRPr="00091B6D" w:rsidRDefault="00000EBA" w:rsidP="00000EBA">
      <w:pPr>
        <w:pStyle w:val="Ttulo2"/>
        <w:spacing w:line="240" w:lineRule="auto"/>
        <w:rPr>
          <w:rFonts w:ascii="Arial" w:hAnsi="Arial" w:cs="Arial"/>
          <w:b/>
          <w:color w:val="auto"/>
          <w:sz w:val="20"/>
          <w:szCs w:val="20"/>
        </w:rPr>
      </w:pPr>
      <w:bookmarkStart w:id="9" w:name="_Toc220077193"/>
      <w:r w:rsidRPr="00091B6D">
        <w:rPr>
          <w:rFonts w:ascii="Arial" w:hAnsi="Arial" w:cs="Arial"/>
          <w:b/>
          <w:color w:val="auto"/>
          <w:sz w:val="20"/>
          <w:szCs w:val="20"/>
        </w:rPr>
        <w:lastRenderedPageBreak/>
        <w:t>9. Reporte de la Recaudación:</w:t>
      </w:r>
      <w:bookmarkEnd w:id="9"/>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r w:rsidRPr="00091B6D">
        <w:rPr>
          <w:rFonts w:ascii="Arial" w:hAnsi="Arial" w:cs="Arial"/>
          <w:b/>
          <w:sz w:val="20"/>
          <w:szCs w:val="20"/>
        </w:rPr>
        <w:t>a)</w:t>
      </w:r>
      <w:r w:rsidRPr="00091B6D">
        <w:rPr>
          <w:rFonts w:ascii="Arial" w:hAnsi="Arial" w:cs="Arial"/>
          <w:sz w:val="20"/>
          <w:szCs w:val="20"/>
        </w:rPr>
        <w:t xml:space="preserve"> Análisis del comportamiento de la recaudación correspondiente al ente público o cualquier tipo de ingreso, de forma separada los ingresos locales de los federales:</w:t>
      </w:r>
    </w:p>
    <w:p w:rsidR="00000EBA" w:rsidRPr="00091B6D" w:rsidRDefault="00000EBA" w:rsidP="00000EBA">
      <w:pPr>
        <w:spacing w:after="0" w:line="240" w:lineRule="auto"/>
        <w:jc w:val="center"/>
        <w:rPr>
          <w:rFonts w:ascii="Arial" w:hAnsi="Arial" w:cs="Arial"/>
          <w:sz w:val="20"/>
          <w:szCs w:val="20"/>
        </w:rPr>
      </w:pPr>
      <w:r w:rsidRPr="00091B6D">
        <w:drawing>
          <wp:inline distT="0" distB="0" distL="0" distR="0" wp14:anchorId="3E7246AE" wp14:editId="410E4A7E">
            <wp:extent cx="7530178" cy="5742617"/>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33981" cy="5745517"/>
                    </a:xfrm>
                    <a:prstGeom prst="rect">
                      <a:avLst/>
                    </a:prstGeom>
                    <a:noFill/>
                    <a:ln>
                      <a:noFill/>
                    </a:ln>
                  </pic:spPr>
                </pic:pic>
              </a:graphicData>
            </a:graphic>
          </wp:inline>
        </w:drawing>
      </w:r>
      <w:r w:rsidRPr="00091B6D">
        <w:rPr>
          <w:rFonts w:ascii="Arial" w:hAnsi="Arial" w:cs="Arial"/>
          <w:sz w:val="20"/>
          <w:szCs w:val="20"/>
        </w:rPr>
        <w:br w:type="page"/>
      </w:r>
    </w:p>
    <w:p w:rsidR="00000EBA" w:rsidRPr="00091B6D" w:rsidRDefault="00000EBA" w:rsidP="00000EBA">
      <w:pPr>
        <w:tabs>
          <w:tab w:val="left" w:leader="underscore" w:pos="9639"/>
        </w:tabs>
        <w:spacing w:after="0" w:line="240" w:lineRule="auto"/>
        <w:jc w:val="both"/>
        <w:rPr>
          <w:rFonts w:ascii="Arial" w:hAnsi="Arial" w:cs="Arial"/>
          <w:b/>
          <w:sz w:val="20"/>
          <w:szCs w:val="20"/>
        </w:rPr>
      </w:pPr>
      <w:r w:rsidRPr="00091B6D">
        <w:rPr>
          <w:rFonts w:ascii="Arial" w:hAnsi="Arial" w:cs="Arial"/>
          <w:b/>
          <w:sz w:val="20"/>
          <w:szCs w:val="20"/>
        </w:rPr>
        <w:lastRenderedPageBreak/>
        <w:t>b)</w:t>
      </w:r>
      <w:r w:rsidRPr="00091B6D">
        <w:rPr>
          <w:rFonts w:ascii="Arial" w:hAnsi="Arial" w:cs="Arial"/>
          <w:sz w:val="20"/>
          <w:szCs w:val="20"/>
        </w:rPr>
        <w:t xml:space="preserve"> Proyección de la recaudación e ingresos en el mediano plazo: </w:t>
      </w:r>
      <w:r w:rsidRPr="00091B6D">
        <w:rPr>
          <w:rFonts w:ascii="Arial" w:hAnsi="Arial" w:cs="Arial"/>
          <w:b/>
          <w:sz w:val="20"/>
          <w:szCs w:val="20"/>
        </w:rPr>
        <w:t xml:space="preserve">“Esta nota no le aplica al ente público” </w:t>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pStyle w:val="Ttulo2"/>
        <w:spacing w:line="240" w:lineRule="auto"/>
        <w:rPr>
          <w:rFonts w:ascii="Arial" w:hAnsi="Arial" w:cs="Arial"/>
          <w:b/>
          <w:color w:val="auto"/>
          <w:sz w:val="20"/>
          <w:szCs w:val="20"/>
        </w:rPr>
      </w:pPr>
      <w:bookmarkStart w:id="10" w:name="_Toc220077194"/>
      <w:r w:rsidRPr="00091B6D">
        <w:rPr>
          <w:rFonts w:ascii="Arial" w:hAnsi="Arial" w:cs="Arial"/>
          <w:b/>
          <w:color w:val="auto"/>
          <w:sz w:val="20"/>
          <w:szCs w:val="20"/>
        </w:rPr>
        <w:t>10. Información sobre la Deuda y el Reporte Analítico de la Deuda:</w:t>
      </w:r>
      <w:bookmarkEnd w:id="10"/>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r w:rsidRPr="00091B6D">
        <w:rPr>
          <w:rFonts w:ascii="Arial" w:hAnsi="Arial" w:cs="Arial"/>
          <w:b/>
          <w:sz w:val="20"/>
          <w:szCs w:val="20"/>
        </w:rPr>
        <w:t>a)</w:t>
      </w:r>
      <w:r w:rsidRPr="00091B6D">
        <w:rPr>
          <w:rFonts w:ascii="Arial" w:hAnsi="Arial" w:cs="Arial"/>
          <w:sz w:val="20"/>
          <w:szCs w:val="20"/>
        </w:rPr>
        <w:t xml:space="preserve"> Utilizar al menos los siguientes indicadores: deuda respecto al PIB y deuda respecto a la recaudación tomando, como mínimo, un período igual o menor a 5 años. </w:t>
      </w:r>
      <w:r w:rsidRPr="00091B6D">
        <w:rPr>
          <w:rFonts w:ascii="Arial" w:hAnsi="Arial" w:cs="Arial"/>
          <w:b/>
          <w:sz w:val="20"/>
          <w:szCs w:val="20"/>
        </w:rPr>
        <w:t xml:space="preserve">“Esta nota no le aplica al ente público” </w:t>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r w:rsidRPr="00091B6D">
        <w:rPr>
          <w:rFonts w:ascii="Arial" w:hAnsi="Arial" w:cs="Arial"/>
          <w:b/>
          <w:sz w:val="20"/>
          <w:szCs w:val="20"/>
        </w:rPr>
        <w:t>b)</w:t>
      </w:r>
      <w:r w:rsidRPr="00091B6D">
        <w:rPr>
          <w:rFonts w:ascii="Arial" w:hAnsi="Arial" w:cs="Arial"/>
          <w:sz w:val="20"/>
          <w:szCs w:val="20"/>
        </w:rPr>
        <w:t xml:space="preserve"> Información de manera agrupada por tipo de valor gubernamental o instrumento financiero en la que se consideren intereses, comisiones, tasa, perfil de vencimiento y otros gastos de la deuda. * Se anexará la información en las notas de desglose. </w:t>
      </w:r>
      <w:r w:rsidRPr="00091B6D">
        <w:rPr>
          <w:rFonts w:ascii="Arial" w:hAnsi="Arial" w:cs="Arial"/>
          <w:b/>
          <w:sz w:val="20"/>
          <w:szCs w:val="20"/>
        </w:rPr>
        <w:t xml:space="preserve">“Esta nota no le aplica al ente público” </w:t>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pStyle w:val="Ttulo2"/>
        <w:spacing w:line="240" w:lineRule="auto"/>
        <w:rPr>
          <w:rFonts w:ascii="Arial" w:hAnsi="Arial" w:cs="Arial"/>
          <w:b/>
          <w:color w:val="auto"/>
          <w:sz w:val="20"/>
          <w:szCs w:val="20"/>
        </w:rPr>
      </w:pPr>
      <w:bookmarkStart w:id="11" w:name="_Toc220077195"/>
      <w:r w:rsidRPr="00091B6D">
        <w:rPr>
          <w:rFonts w:ascii="Arial" w:hAnsi="Arial" w:cs="Arial"/>
          <w:b/>
          <w:color w:val="auto"/>
          <w:sz w:val="20"/>
          <w:szCs w:val="20"/>
        </w:rPr>
        <w:t>11. Calificaciones otorgadas:</w:t>
      </w:r>
      <w:bookmarkEnd w:id="11"/>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r w:rsidRPr="00091B6D">
        <w:rPr>
          <w:rFonts w:ascii="Arial" w:hAnsi="Arial" w:cs="Arial"/>
          <w:sz w:val="20"/>
          <w:szCs w:val="20"/>
        </w:rPr>
        <w:t xml:space="preserve">Informar, tanto del ente público como cualquier transacción realizada, que haya sido sujeta a una calificación crediticia: </w:t>
      </w:r>
      <w:r w:rsidRPr="00091B6D">
        <w:rPr>
          <w:rFonts w:ascii="Arial" w:hAnsi="Arial" w:cs="Arial"/>
          <w:b/>
          <w:sz w:val="20"/>
          <w:szCs w:val="20"/>
        </w:rPr>
        <w:t xml:space="preserve">“Esta nota no le aplica al ente público” </w:t>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pStyle w:val="Ttulo2"/>
        <w:spacing w:line="240" w:lineRule="auto"/>
        <w:rPr>
          <w:rFonts w:ascii="Arial" w:hAnsi="Arial" w:cs="Arial"/>
          <w:b/>
          <w:color w:val="auto"/>
          <w:sz w:val="20"/>
          <w:szCs w:val="20"/>
        </w:rPr>
      </w:pPr>
      <w:bookmarkStart w:id="12" w:name="_Toc220077196"/>
      <w:r w:rsidRPr="00091B6D">
        <w:rPr>
          <w:rFonts w:ascii="Arial" w:hAnsi="Arial" w:cs="Arial"/>
          <w:b/>
          <w:color w:val="auto"/>
          <w:sz w:val="20"/>
          <w:szCs w:val="20"/>
        </w:rPr>
        <w:t>12. Proceso de Mejora:</w:t>
      </w:r>
      <w:bookmarkEnd w:id="12"/>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r w:rsidRPr="00091B6D">
        <w:rPr>
          <w:rFonts w:ascii="Arial" w:hAnsi="Arial" w:cs="Arial"/>
          <w:sz w:val="20"/>
          <w:szCs w:val="20"/>
        </w:rPr>
        <w:t>Se informará de:</w:t>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r w:rsidRPr="00091B6D">
        <w:rPr>
          <w:rFonts w:ascii="Arial" w:hAnsi="Arial" w:cs="Arial"/>
          <w:b/>
          <w:sz w:val="20"/>
          <w:szCs w:val="20"/>
        </w:rPr>
        <w:t>a)</w:t>
      </w:r>
      <w:r w:rsidRPr="00091B6D">
        <w:rPr>
          <w:rFonts w:ascii="Arial" w:hAnsi="Arial" w:cs="Arial"/>
          <w:sz w:val="20"/>
          <w:szCs w:val="20"/>
        </w:rPr>
        <w:t xml:space="preserve"> Principales Políticas de control interno:</w:t>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r w:rsidRPr="00091B6D">
        <w:rPr>
          <w:rFonts w:ascii="Arial" w:hAnsi="Arial" w:cs="Arial"/>
          <w:sz w:val="20"/>
          <w:szCs w:val="20"/>
        </w:rPr>
        <w:t xml:space="preserve">El proceso de evaluación de control de confianza se lleva a cabo de acuerdo con los lineamientos, criterios, políticas y protocolos que establece el Centro Nacional de Certificación y Acreditación y el propio Centro, así como en base en los demás instrumentos normativos aplicables. Este proceso comprende las siguientes examinaciones: </w:t>
      </w:r>
    </w:p>
    <w:p w:rsidR="00000EBA" w:rsidRPr="00091B6D" w:rsidRDefault="00000EBA" w:rsidP="00000EBA">
      <w:pPr>
        <w:spacing w:after="0" w:line="240" w:lineRule="auto"/>
        <w:jc w:val="both"/>
        <w:rPr>
          <w:rFonts w:ascii="Arial" w:hAnsi="Arial" w:cs="Arial"/>
          <w:sz w:val="20"/>
          <w:szCs w:val="20"/>
        </w:rPr>
      </w:pPr>
    </w:p>
    <w:p w:rsidR="00000EBA" w:rsidRPr="00091B6D" w:rsidRDefault="00000EBA" w:rsidP="00000EBA">
      <w:pPr>
        <w:pStyle w:val="Prrafodelista"/>
        <w:numPr>
          <w:ilvl w:val="0"/>
          <w:numId w:val="3"/>
        </w:numPr>
        <w:spacing w:after="0" w:line="240" w:lineRule="auto"/>
        <w:jc w:val="both"/>
        <w:rPr>
          <w:rFonts w:ascii="Arial" w:hAnsi="Arial" w:cs="Arial"/>
          <w:sz w:val="20"/>
          <w:szCs w:val="20"/>
        </w:rPr>
        <w:sectPr w:rsidR="00000EBA" w:rsidRPr="00091B6D" w:rsidSect="0008152A">
          <w:pgSz w:w="15840" w:h="12240" w:orient="landscape" w:code="1"/>
          <w:pgMar w:top="1418" w:right="1418" w:bottom="851" w:left="1134" w:header="709" w:footer="567" w:gutter="0"/>
          <w:cols w:space="708"/>
          <w:docGrid w:linePitch="360"/>
        </w:sectPr>
      </w:pPr>
    </w:p>
    <w:p w:rsidR="00000EBA" w:rsidRPr="00091B6D" w:rsidRDefault="00000EBA" w:rsidP="00000EBA">
      <w:pPr>
        <w:pStyle w:val="Prrafodelista"/>
        <w:numPr>
          <w:ilvl w:val="0"/>
          <w:numId w:val="3"/>
        </w:numPr>
        <w:spacing w:after="0" w:line="240" w:lineRule="auto"/>
        <w:jc w:val="both"/>
        <w:rPr>
          <w:rFonts w:ascii="Arial" w:hAnsi="Arial" w:cs="Arial"/>
          <w:sz w:val="20"/>
          <w:szCs w:val="20"/>
        </w:rPr>
      </w:pPr>
      <w:r w:rsidRPr="00091B6D">
        <w:rPr>
          <w:rFonts w:ascii="Arial" w:hAnsi="Arial" w:cs="Arial"/>
          <w:sz w:val="20"/>
          <w:szCs w:val="20"/>
        </w:rPr>
        <w:t xml:space="preserve">De investigación socioeconómica; </w:t>
      </w:r>
    </w:p>
    <w:p w:rsidR="00000EBA" w:rsidRPr="00091B6D" w:rsidRDefault="00000EBA" w:rsidP="00000EBA">
      <w:pPr>
        <w:pStyle w:val="Prrafodelista"/>
        <w:numPr>
          <w:ilvl w:val="0"/>
          <w:numId w:val="3"/>
        </w:numPr>
        <w:spacing w:after="0" w:line="240" w:lineRule="auto"/>
        <w:jc w:val="both"/>
        <w:rPr>
          <w:rFonts w:ascii="Arial" w:hAnsi="Arial" w:cs="Arial"/>
          <w:sz w:val="20"/>
          <w:szCs w:val="20"/>
        </w:rPr>
      </w:pPr>
      <w:r w:rsidRPr="00091B6D">
        <w:rPr>
          <w:rFonts w:ascii="Arial" w:hAnsi="Arial" w:cs="Arial"/>
          <w:sz w:val="20"/>
          <w:szCs w:val="20"/>
        </w:rPr>
        <w:t xml:space="preserve">Médica; </w:t>
      </w:r>
    </w:p>
    <w:p w:rsidR="00000EBA" w:rsidRPr="00091B6D" w:rsidRDefault="00000EBA" w:rsidP="00000EBA">
      <w:pPr>
        <w:pStyle w:val="Prrafodelista"/>
        <w:numPr>
          <w:ilvl w:val="0"/>
          <w:numId w:val="3"/>
        </w:numPr>
        <w:spacing w:after="0" w:line="240" w:lineRule="auto"/>
        <w:jc w:val="both"/>
        <w:rPr>
          <w:rFonts w:ascii="Arial" w:hAnsi="Arial" w:cs="Arial"/>
          <w:sz w:val="20"/>
          <w:szCs w:val="20"/>
        </w:rPr>
      </w:pPr>
      <w:r w:rsidRPr="00091B6D">
        <w:rPr>
          <w:rFonts w:ascii="Arial" w:hAnsi="Arial" w:cs="Arial"/>
          <w:sz w:val="20"/>
          <w:szCs w:val="20"/>
        </w:rPr>
        <w:t xml:space="preserve">Poligráfica; </w:t>
      </w:r>
    </w:p>
    <w:p w:rsidR="00000EBA" w:rsidRPr="00091B6D" w:rsidRDefault="00000EBA" w:rsidP="00000EBA">
      <w:pPr>
        <w:pStyle w:val="Prrafodelista"/>
        <w:numPr>
          <w:ilvl w:val="0"/>
          <w:numId w:val="3"/>
        </w:numPr>
        <w:spacing w:after="0" w:line="240" w:lineRule="auto"/>
        <w:jc w:val="both"/>
        <w:rPr>
          <w:rFonts w:ascii="Arial" w:hAnsi="Arial" w:cs="Arial"/>
          <w:sz w:val="20"/>
          <w:szCs w:val="20"/>
        </w:rPr>
      </w:pPr>
      <w:r w:rsidRPr="00091B6D">
        <w:rPr>
          <w:rFonts w:ascii="Arial" w:hAnsi="Arial" w:cs="Arial"/>
          <w:sz w:val="20"/>
          <w:szCs w:val="20"/>
        </w:rPr>
        <w:t xml:space="preserve">Psicológica; y </w:t>
      </w:r>
    </w:p>
    <w:p w:rsidR="00000EBA" w:rsidRPr="00091B6D" w:rsidRDefault="00000EBA" w:rsidP="00000EBA">
      <w:pPr>
        <w:pStyle w:val="Prrafodelista"/>
        <w:numPr>
          <w:ilvl w:val="0"/>
          <w:numId w:val="3"/>
        </w:numPr>
        <w:spacing w:after="0" w:line="240" w:lineRule="auto"/>
        <w:jc w:val="both"/>
        <w:rPr>
          <w:rFonts w:ascii="Arial" w:hAnsi="Arial" w:cs="Arial"/>
          <w:sz w:val="20"/>
          <w:szCs w:val="20"/>
        </w:rPr>
        <w:sectPr w:rsidR="00000EBA" w:rsidRPr="00091B6D" w:rsidSect="005F128B">
          <w:type w:val="continuous"/>
          <w:pgSz w:w="15840" w:h="12240" w:orient="landscape" w:code="1"/>
          <w:pgMar w:top="1418" w:right="1418" w:bottom="851" w:left="1134" w:header="709" w:footer="567" w:gutter="0"/>
          <w:cols w:num="3" w:space="708"/>
          <w:docGrid w:linePitch="360"/>
        </w:sectPr>
      </w:pPr>
      <w:r w:rsidRPr="00091B6D">
        <w:rPr>
          <w:rFonts w:ascii="Arial" w:hAnsi="Arial" w:cs="Arial"/>
          <w:sz w:val="20"/>
          <w:szCs w:val="20"/>
        </w:rPr>
        <w:t>Toxicológica</w:t>
      </w:r>
    </w:p>
    <w:p w:rsidR="00000EBA" w:rsidRPr="00091B6D" w:rsidRDefault="00000EBA" w:rsidP="00000EBA">
      <w:pPr>
        <w:spacing w:after="0" w:line="240" w:lineRule="auto"/>
        <w:jc w:val="both"/>
        <w:rPr>
          <w:rFonts w:ascii="Arial" w:hAnsi="Arial" w:cs="Arial"/>
          <w:sz w:val="20"/>
          <w:szCs w:val="20"/>
        </w:rPr>
      </w:pPr>
      <w:r w:rsidRPr="00091B6D">
        <w:rPr>
          <w:rFonts w:ascii="Arial" w:hAnsi="Arial" w:cs="Arial"/>
          <w:sz w:val="20"/>
          <w:szCs w:val="20"/>
        </w:rPr>
        <w:lastRenderedPageBreak/>
        <w:t>Para impulsar el desarrollo de una cultura de control interno en la Administración Pública Estatal, con el fin de prevenir y evitar actos de corrupción y contribuir al cumplimiento de las metas y objetivos de la misma, que promueva la prevención y administración de posibles eventos que obstaculicen o impidan el logro de los objetivos institucionales, con la normativa aplicable para este ejercicio 2025.</w:t>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r w:rsidRPr="00091B6D">
        <w:rPr>
          <w:rFonts w:ascii="Arial" w:hAnsi="Arial" w:cs="Arial"/>
          <w:b/>
          <w:sz w:val="20"/>
          <w:szCs w:val="20"/>
        </w:rPr>
        <w:t>b)</w:t>
      </w:r>
      <w:r w:rsidRPr="00091B6D">
        <w:rPr>
          <w:rFonts w:ascii="Arial" w:hAnsi="Arial" w:cs="Arial"/>
          <w:sz w:val="20"/>
          <w:szCs w:val="20"/>
        </w:rPr>
        <w:t xml:space="preserve"> Medidas de desempeño financiero, metas y alcance:</w:t>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r w:rsidRPr="00091B6D">
        <w:rPr>
          <w:rFonts w:ascii="Arial" w:hAnsi="Arial" w:cs="Arial"/>
          <w:sz w:val="20"/>
          <w:szCs w:val="20"/>
        </w:rPr>
        <w:t>Mediante matrices de evaluaciones de riesgos en cada una de las áreas del CECCEG</w:t>
      </w:r>
    </w:p>
    <w:p w:rsidR="00000EBA" w:rsidRPr="00091B6D" w:rsidRDefault="00000EBA" w:rsidP="00000EBA">
      <w:pPr>
        <w:spacing w:after="0" w:line="240" w:lineRule="auto"/>
        <w:jc w:val="both"/>
        <w:rPr>
          <w:rFonts w:ascii="Arial" w:hAnsi="Arial" w:cs="Arial"/>
          <w:sz w:val="20"/>
          <w:szCs w:val="20"/>
        </w:rPr>
      </w:pPr>
      <w:r w:rsidRPr="00091B6D">
        <w:rPr>
          <w:rFonts w:ascii="Arial" w:hAnsi="Arial" w:cs="Arial"/>
          <w:sz w:val="20"/>
          <w:szCs w:val="20"/>
        </w:rPr>
        <w:t xml:space="preserve">PRESUPUESTO EJERCIDO / PRESUPUESTO MODIFICADO = % DEL PPTO. POR EJERCER, LA META ES EJERCER EL 100% DEL PRESUPUESTADO MODIFICADO OPTIMIZANDO LOS RECURSOS. </w:t>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pStyle w:val="Ttulo2"/>
        <w:spacing w:line="240" w:lineRule="auto"/>
        <w:rPr>
          <w:rFonts w:ascii="Arial" w:hAnsi="Arial" w:cs="Arial"/>
          <w:b/>
          <w:color w:val="auto"/>
          <w:sz w:val="20"/>
          <w:szCs w:val="20"/>
        </w:rPr>
      </w:pPr>
      <w:bookmarkStart w:id="13" w:name="_Toc220077197"/>
      <w:r w:rsidRPr="00091B6D">
        <w:rPr>
          <w:rFonts w:ascii="Arial" w:hAnsi="Arial" w:cs="Arial"/>
          <w:b/>
          <w:color w:val="auto"/>
          <w:sz w:val="20"/>
          <w:szCs w:val="20"/>
        </w:rPr>
        <w:t xml:space="preserve">13. Información por Segmentos: </w:t>
      </w:r>
      <w:r w:rsidRPr="00091B6D">
        <w:rPr>
          <w:rFonts w:ascii="Arial" w:eastAsia="Calibri" w:hAnsi="Arial" w:cs="Arial"/>
          <w:b/>
          <w:color w:val="auto"/>
          <w:sz w:val="20"/>
          <w:szCs w:val="20"/>
        </w:rPr>
        <w:t>“Esta nota no le aplica al ente público”</w:t>
      </w:r>
      <w:bookmarkEnd w:id="13"/>
      <w:r w:rsidRPr="00091B6D">
        <w:rPr>
          <w:rFonts w:ascii="Arial" w:eastAsia="Calibri" w:hAnsi="Arial" w:cs="Arial"/>
          <w:b/>
          <w:color w:val="auto"/>
          <w:sz w:val="20"/>
          <w:szCs w:val="20"/>
        </w:rPr>
        <w:t xml:space="preserve"> </w:t>
      </w:r>
      <w:r w:rsidRPr="00091B6D">
        <w:rPr>
          <w:rFonts w:ascii="Arial" w:hAnsi="Arial" w:cs="Arial"/>
          <w:sz w:val="20"/>
          <w:szCs w:val="20"/>
        </w:rPr>
        <w:t xml:space="preserve"> </w:t>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pStyle w:val="Ttulo2"/>
        <w:spacing w:line="240" w:lineRule="auto"/>
        <w:rPr>
          <w:rFonts w:ascii="Arial" w:hAnsi="Arial" w:cs="Arial"/>
          <w:sz w:val="20"/>
          <w:szCs w:val="20"/>
        </w:rPr>
      </w:pPr>
      <w:bookmarkStart w:id="14" w:name="_Toc220077198"/>
      <w:r w:rsidRPr="00091B6D">
        <w:rPr>
          <w:rFonts w:ascii="Arial" w:hAnsi="Arial" w:cs="Arial"/>
          <w:b/>
          <w:color w:val="auto"/>
          <w:sz w:val="20"/>
          <w:szCs w:val="20"/>
        </w:rPr>
        <w:t xml:space="preserve">14. Eventos Posteriores al Cierre: </w:t>
      </w:r>
      <w:r w:rsidRPr="00091B6D">
        <w:rPr>
          <w:rFonts w:ascii="Arial" w:eastAsia="Calibri" w:hAnsi="Arial" w:cs="Arial"/>
          <w:b/>
          <w:color w:val="auto"/>
          <w:sz w:val="20"/>
          <w:szCs w:val="20"/>
        </w:rPr>
        <w:t>“Esta nota no le aplica al ente público”</w:t>
      </w:r>
      <w:bookmarkEnd w:id="14"/>
      <w:r w:rsidRPr="00091B6D">
        <w:rPr>
          <w:rFonts w:ascii="Arial" w:eastAsia="Calibri" w:hAnsi="Arial" w:cs="Arial"/>
          <w:b/>
          <w:color w:val="auto"/>
          <w:sz w:val="20"/>
          <w:szCs w:val="20"/>
        </w:rPr>
        <w:t xml:space="preserve"> </w:t>
      </w:r>
      <w:r w:rsidRPr="00091B6D">
        <w:rPr>
          <w:rFonts w:ascii="Arial" w:hAnsi="Arial" w:cs="Arial"/>
          <w:sz w:val="20"/>
          <w:szCs w:val="20"/>
        </w:rPr>
        <w:t xml:space="preserve"> </w:t>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pStyle w:val="Ttulo2"/>
        <w:spacing w:line="240" w:lineRule="auto"/>
        <w:rPr>
          <w:rFonts w:ascii="Arial" w:hAnsi="Arial" w:cs="Arial"/>
          <w:b/>
          <w:color w:val="auto"/>
          <w:sz w:val="20"/>
          <w:szCs w:val="20"/>
        </w:rPr>
      </w:pPr>
      <w:bookmarkStart w:id="15" w:name="_Toc220077199"/>
      <w:r w:rsidRPr="00091B6D">
        <w:rPr>
          <w:rFonts w:ascii="Arial" w:hAnsi="Arial" w:cs="Arial"/>
          <w:b/>
          <w:color w:val="auto"/>
          <w:sz w:val="20"/>
          <w:szCs w:val="20"/>
        </w:rPr>
        <w:t xml:space="preserve">15. Partes Relacionadas: </w:t>
      </w:r>
      <w:r w:rsidRPr="00091B6D">
        <w:rPr>
          <w:rFonts w:ascii="Arial" w:eastAsia="Calibri" w:hAnsi="Arial" w:cs="Arial"/>
          <w:b/>
          <w:color w:val="auto"/>
          <w:sz w:val="20"/>
          <w:szCs w:val="20"/>
        </w:rPr>
        <w:t>“Esta nota no le aplica al ente público”</w:t>
      </w:r>
      <w:bookmarkEnd w:id="15"/>
      <w:r w:rsidRPr="00091B6D">
        <w:rPr>
          <w:rFonts w:ascii="Arial" w:eastAsia="Calibri" w:hAnsi="Arial" w:cs="Arial"/>
          <w:b/>
          <w:color w:val="auto"/>
          <w:sz w:val="20"/>
          <w:szCs w:val="20"/>
        </w:rPr>
        <w:t xml:space="preserve"> </w:t>
      </w:r>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Pr="00091B6D" w:rsidRDefault="00000EBA" w:rsidP="00000EBA">
      <w:pPr>
        <w:pStyle w:val="Ttulo2"/>
        <w:spacing w:line="240" w:lineRule="auto"/>
        <w:rPr>
          <w:rFonts w:ascii="Arial" w:hAnsi="Arial" w:cs="Arial"/>
          <w:b/>
          <w:color w:val="auto"/>
          <w:sz w:val="20"/>
          <w:szCs w:val="20"/>
        </w:rPr>
      </w:pPr>
      <w:bookmarkStart w:id="16" w:name="_Toc220077200"/>
      <w:r w:rsidRPr="00091B6D">
        <w:rPr>
          <w:rFonts w:ascii="Arial" w:hAnsi="Arial" w:cs="Arial"/>
          <w:b/>
          <w:color w:val="auto"/>
          <w:sz w:val="20"/>
          <w:szCs w:val="20"/>
        </w:rPr>
        <w:t>16. Responsabilidad Sobre la Presentación Razonable de la Información Contable:</w:t>
      </w:r>
      <w:bookmarkEnd w:id="16"/>
    </w:p>
    <w:p w:rsidR="00000EBA" w:rsidRPr="00091B6D" w:rsidRDefault="00000EBA" w:rsidP="00000EBA">
      <w:pPr>
        <w:tabs>
          <w:tab w:val="left" w:leader="underscore" w:pos="9639"/>
        </w:tabs>
        <w:spacing w:after="0" w:line="240" w:lineRule="auto"/>
        <w:jc w:val="both"/>
        <w:rPr>
          <w:rFonts w:ascii="Arial" w:hAnsi="Arial" w:cs="Arial"/>
          <w:sz w:val="20"/>
          <w:szCs w:val="20"/>
        </w:rPr>
      </w:pPr>
    </w:p>
    <w:p w:rsidR="00000EBA" w:rsidRDefault="00000EBA" w:rsidP="00000EBA">
      <w:pPr>
        <w:tabs>
          <w:tab w:val="left" w:leader="underscore" w:pos="9639"/>
        </w:tabs>
        <w:spacing w:after="0" w:line="240" w:lineRule="auto"/>
        <w:jc w:val="both"/>
        <w:rPr>
          <w:rFonts w:ascii="Arial" w:hAnsi="Arial" w:cs="Arial"/>
          <w:sz w:val="20"/>
          <w:szCs w:val="20"/>
        </w:rPr>
      </w:pPr>
      <w:r w:rsidRPr="00091B6D">
        <w:rPr>
          <w:rFonts w:ascii="Arial" w:hAnsi="Arial" w:cs="Arial"/>
          <w:sz w:val="20"/>
          <w:szCs w:val="20"/>
        </w:rPr>
        <w:t xml:space="preserve">“Bajo protesta de decir verdad declaramos que los Estados Financieros y sus notas, son razonablemente correctos y son responsabilidad del emisor”. </w:t>
      </w:r>
    </w:p>
    <w:p w:rsidR="00000EBA" w:rsidRPr="00091B6D" w:rsidRDefault="00000EBA" w:rsidP="00000EBA">
      <w:pPr>
        <w:rPr>
          <w:rFonts w:ascii="Arial" w:hAnsi="Arial" w:cs="Arial"/>
          <w:sz w:val="20"/>
          <w:szCs w:val="20"/>
        </w:rPr>
      </w:pPr>
    </w:p>
    <w:p w:rsidR="00000EBA" w:rsidRPr="00091B6D" w:rsidRDefault="00000EBA" w:rsidP="00000EBA">
      <w:pPr>
        <w:rPr>
          <w:rFonts w:ascii="Arial" w:hAnsi="Arial" w:cs="Arial"/>
          <w:sz w:val="20"/>
          <w:szCs w:val="20"/>
        </w:rPr>
      </w:pPr>
    </w:p>
    <w:p w:rsidR="00000EBA" w:rsidRPr="00091B6D" w:rsidRDefault="00000EBA" w:rsidP="00000EBA">
      <w:pPr>
        <w:rPr>
          <w:rFonts w:ascii="Arial" w:hAnsi="Arial" w:cs="Arial"/>
          <w:sz w:val="20"/>
          <w:szCs w:val="20"/>
        </w:rPr>
      </w:pPr>
    </w:p>
    <w:p w:rsidR="00000EBA" w:rsidRPr="00091B6D" w:rsidRDefault="00000EBA" w:rsidP="00000EBA">
      <w:pPr>
        <w:rPr>
          <w:rFonts w:ascii="Arial" w:hAnsi="Arial" w:cs="Arial"/>
          <w:sz w:val="20"/>
          <w:szCs w:val="20"/>
        </w:rPr>
      </w:pPr>
    </w:p>
    <w:p w:rsidR="00000EBA" w:rsidRPr="00091B6D" w:rsidRDefault="00000EBA" w:rsidP="00000EBA">
      <w:pPr>
        <w:rPr>
          <w:rFonts w:ascii="Arial" w:hAnsi="Arial" w:cs="Arial"/>
          <w:sz w:val="20"/>
          <w:szCs w:val="20"/>
        </w:rPr>
      </w:pPr>
    </w:p>
    <w:p w:rsidR="00000EBA" w:rsidRPr="00091B6D" w:rsidRDefault="00000EBA" w:rsidP="00000EBA">
      <w:pPr>
        <w:rPr>
          <w:rFonts w:ascii="Arial" w:hAnsi="Arial" w:cs="Arial"/>
          <w:sz w:val="20"/>
          <w:szCs w:val="20"/>
        </w:rPr>
      </w:pPr>
    </w:p>
    <w:p w:rsidR="00000EBA" w:rsidRPr="00091B6D" w:rsidRDefault="00000EBA" w:rsidP="00000EBA">
      <w:pPr>
        <w:rPr>
          <w:rFonts w:ascii="Arial" w:hAnsi="Arial" w:cs="Arial"/>
          <w:sz w:val="20"/>
          <w:szCs w:val="20"/>
        </w:rPr>
      </w:pPr>
    </w:p>
    <w:p w:rsidR="00000EBA" w:rsidRPr="00091B6D" w:rsidRDefault="00000EBA" w:rsidP="00000EBA">
      <w:pPr>
        <w:jc w:val="right"/>
        <w:rPr>
          <w:rFonts w:ascii="Arial" w:hAnsi="Arial" w:cs="Arial"/>
          <w:sz w:val="20"/>
          <w:szCs w:val="20"/>
        </w:rPr>
      </w:pPr>
    </w:p>
    <w:p w:rsidR="00A272EF" w:rsidRDefault="00A272EF"/>
    <w:sectPr w:rsidR="00A272EF" w:rsidSect="004C0484">
      <w:headerReference w:type="default" r:id="rId13"/>
      <w:footerReference w:type="default" r:id="rId14"/>
      <w:pgSz w:w="15840" w:h="12240" w:orient="landscape" w:code="1"/>
      <w:pgMar w:top="1418" w:right="1418"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EBA" w:rsidRDefault="00000EBA" w:rsidP="00000EBA">
      <w:pPr>
        <w:spacing w:after="0" w:line="240" w:lineRule="auto"/>
      </w:pPr>
      <w:r>
        <w:separator/>
      </w:r>
    </w:p>
  </w:endnote>
  <w:endnote w:type="continuationSeparator" w:id="0">
    <w:p w:rsidR="00000EBA" w:rsidRDefault="00000EBA" w:rsidP="00000E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405A" w:rsidRDefault="00000EBA" w:rsidP="00000EBA">
    <w:pPr>
      <w:pStyle w:val="Piedepgina"/>
    </w:pPr>
  </w:p>
  <w:p w:rsidR="0012405A" w:rsidRDefault="00000EB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EBA" w:rsidRDefault="00000EBA" w:rsidP="00000EBA">
      <w:pPr>
        <w:spacing w:after="0" w:line="240" w:lineRule="auto"/>
      </w:pPr>
      <w:r>
        <w:separator/>
      </w:r>
    </w:p>
  </w:footnote>
  <w:footnote w:type="continuationSeparator" w:id="0">
    <w:p w:rsidR="00000EBA" w:rsidRDefault="00000EBA" w:rsidP="00000E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610E" w:rsidRPr="00000EBA" w:rsidRDefault="00000EBA" w:rsidP="00000EB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5B4637"/>
    <w:multiLevelType w:val="hybridMultilevel"/>
    <w:tmpl w:val="DA7205E0"/>
    <w:lvl w:ilvl="0" w:tplc="080A0001">
      <w:start w:val="1"/>
      <w:numFmt w:val="bullet"/>
      <w:lvlText w:val=""/>
      <w:lvlJc w:val="left"/>
      <w:pPr>
        <w:ind w:left="720" w:hanging="360"/>
      </w:pPr>
      <w:rPr>
        <w:rFonts w:ascii="Symbol" w:hAnsi="Symbol"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416B5F80"/>
    <w:multiLevelType w:val="hybridMultilevel"/>
    <w:tmpl w:val="662E7E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12C2697"/>
    <w:multiLevelType w:val="hybridMultilevel"/>
    <w:tmpl w:val="31AE4B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EBA"/>
    <w:rsid w:val="00000EBA"/>
    <w:rsid w:val="00A272E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65E62"/>
  <w15:chartTrackingRefBased/>
  <w15:docId w15:val="{AF7B9937-46A6-434E-9CEA-1083875BB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EBA"/>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000EB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000EB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000EBA"/>
    <w:rPr>
      <w:rFonts w:asciiTheme="majorHAnsi" w:eastAsiaTheme="majorEastAsia" w:hAnsiTheme="majorHAnsi" w:cstheme="majorBidi"/>
      <w:color w:val="2F5496" w:themeColor="accent1" w:themeShade="BF"/>
      <w:sz w:val="26"/>
      <w:szCs w:val="26"/>
    </w:rPr>
  </w:style>
  <w:style w:type="paragraph" w:styleId="Prrafodelista">
    <w:name w:val="List Paragraph"/>
    <w:basedOn w:val="Normal"/>
    <w:uiPriority w:val="34"/>
    <w:qFormat/>
    <w:rsid w:val="00000EBA"/>
    <w:pPr>
      <w:ind w:left="720"/>
      <w:contextualSpacing/>
    </w:pPr>
  </w:style>
  <w:style w:type="character" w:styleId="Hipervnculo">
    <w:name w:val="Hyperlink"/>
    <w:uiPriority w:val="99"/>
    <w:unhideWhenUsed/>
    <w:rsid w:val="00000EBA"/>
    <w:rPr>
      <w:color w:val="0000FF"/>
      <w:u w:val="single"/>
    </w:rPr>
  </w:style>
  <w:style w:type="paragraph" w:styleId="Encabezado">
    <w:name w:val="header"/>
    <w:basedOn w:val="Normal"/>
    <w:link w:val="EncabezadoCar"/>
    <w:uiPriority w:val="99"/>
    <w:unhideWhenUsed/>
    <w:rsid w:val="00000EBA"/>
    <w:pPr>
      <w:tabs>
        <w:tab w:val="center" w:pos="4419"/>
        <w:tab w:val="right" w:pos="8838"/>
      </w:tabs>
    </w:pPr>
  </w:style>
  <w:style w:type="character" w:customStyle="1" w:styleId="EncabezadoCar">
    <w:name w:val="Encabezado Car"/>
    <w:basedOn w:val="Fuentedeprrafopredeter"/>
    <w:link w:val="Encabezado"/>
    <w:uiPriority w:val="99"/>
    <w:rsid w:val="00000EBA"/>
    <w:rPr>
      <w:rFonts w:ascii="Calibri" w:eastAsia="Calibri" w:hAnsi="Calibri" w:cs="Times New Roman"/>
    </w:rPr>
  </w:style>
  <w:style w:type="paragraph" w:styleId="Piedepgina">
    <w:name w:val="footer"/>
    <w:basedOn w:val="Normal"/>
    <w:link w:val="PiedepginaCar"/>
    <w:uiPriority w:val="99"/>
    <w:unhideWhenUsed/>
    <w:rsid w:val="00000EBA"/>
    <w:pPr>
      <w:tabs>
        <w:tab w:val="center" w:pos="4419"/>
        <w:tab w:val="right" w:pos="8838"/>
      </w:tabs>
    </w:pPr>
  </w:style>
  <w:style w:type="character" w:customStyle="1" w:styleId="PiedepginaCar">
    <w:name w:val="Pie de página Car"/>
    <w:basedOn w:val="Fuentedeprrafopredeter"/>
    <w:link w:val="Piedepgina"/>
    <w:uiPriority w:val="99"/>
    <w:rsid w:val="00000EBA"/>
    <w:rPr>
      <w:rFonts w:ascii="Calibri" w:eastAsia="Calibri" w:hAnsi="Calibri" w:cs="Times New Roman"/>
    </w:rPr>
  </w:style>
  <w:style w:type="character" w:customStyle="1" w:styleId="Ttulo1Car">
    <w:name w:val="Título 1 Car"/>
    <w:basedOn w:val="Fuentedeprrafopredeter"/>
    <w:link w:val="Ttulo1"/>
    <w:uiPriority w:val="9"/>
    <w:rsid w:val="00000EBA"/>
    <w:rPr>
      <w:rFonts w:asciiTheme="majorHAnsi" w:eastAsiaTheme="majorEastAsia" w:hAnsiTheme="majorHAnsi" w:cstheme="majorBidi"/>
      <w:color w:val="2F5496" w:themeColor="accent1" w:themeShade="BF"/>
      <w:sz w:val="32"/>
      <w:szCs w:val="32"/>
    </w:rPr>
  </w:style>
  <w:style w:type="paragraph" w:styleId="TtuloTDC">
    <w:name w:val="TOC Heading"/>
    <w:basedOn w:val="Ttulo1"/>
    <w:next w:val="Normal"/>
    <w:uiPriority w:val="39"/>
    <w:unhideWhenUsed/>
    <w:qFormat/>
    <w:rsid w:val="00000EBA"/>
    <w:pPr>
      <w:spacing w:line="259" w:lineRule="auto"/>
      <w:outlineLvl w:val="9"/>
    </w:pPr>
    <w:rPr>
      <w:lang w:eastAsia="es-MX"/>
    </w:rPr>
  </w:style>
  <w:style w:type="paragraph" w:styleId="TDC2">
    <w:name w:val="toc 2"/>
    <w:basedOn w:val="Normal"/>
    <w:next w:val="Normal"/>
    <w:autoRedefine/>
    <w:uiPriority w:val="39"/>
    <w:unhideWhenUsed/>
    <w:rsid w:val="00000EBA"/>
    <w:pPr>
      <w:spacing w:after="100"/>
      <w:ind w:left="220"/>
    </w:pPr>
  </w:style>
  <w:style w:type="paragraph" w:customStyle="1" w:styleId="Texto">
    <w:name w:val="Texto"/>
    <w:basedOn w:val="Normal"/>
    <w:link w:val="TextoCar"/>
    <w:qFormat/>
    <w:rsid w:val="00000EBA"/>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000EBA"/>
    <w:rPr>
      <w:rFonts w:ascii="Arial" w:eastAsia="Times New Roman" w:hAnsi="Arial" w:cs="Arial"/>
      <w:sz w:val="18"/>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Users/acorona/lquiroz/AppData/Local/Microsoft/Windows/Temporary%20Internet%20Files/Content.Outlook/HBGSO9P3/MODELO%20CTA%202013.pptx" TargetMode="External"/><Relationship Id="rId12" Type="http://schemas.openxmlformats.org/officeDocument/2006/relationships/image" Target="media/image5.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3135</Words>
  <Characters>17245</Characters>
  <Application>Microsoft Office Word</Application>
  <DocSecurity>0</DocSecurity>
  <Lines>143</Lines>
  <Paragraphs>40</Paragraphs>
  <ScaleCrop>false</ScaleCrop>
  <Company/>
  <LinksUpToDate>false</LinksUpToDate>
  <CharactersWithSpaces>20340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Cecceg</dc:creator>
  <cp:keywords/>
  <dc:description/>
  <cp:lastModifiedBy>Cecceg</cp:lastModifiedBy>
  <cp:revision>1</cp:revision>
  <dcterms:created xsi:type="dcterms:W3CDTF">2026-01-23T22:10:00Z</dcterms:created>
  <dcterms:modified xsi:type="dcterms:W3CDTF">2026-01-23T22:13:00Z</dcterms:modified>
</cp:coreProperties>
</file>