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F427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5F40259A"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03DED1E0" w:rsidR="007D1E76" w:rsidRPr="00092A5D" w:rsidRDefault="007D1E76" w:rsidP="00784CFB">
      <w:pPr>
        <w:pStyle w:val="Prrafodelista"/>
        <w:numPr>
          <w:ilvl w:val="0"/>
          <w:numId w:val="1"/>
        </w:numPr>
        <w:tabs>
          <w:tab w:val="left" w:leader="underscore" w:pos="9639"/>
        </w:tabs>
        <w:spacing w:after="0" w:line="240" w:lineRule="auto"/>
        <w:jc w:val="both"/>
        <w:rPr>
          <w:rFonts w:cs="Calibri"/>
        </w:rPr>
      </w:pPr>
      <w:r w:rsidRPr="00092A5D">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E12AC62" w:rsidR="00F46719" w:rsidRDefault="00F46719" w:rsidP="009A0292">
          <w:pPr>
            <w:pStyle w:val="Sinespaciado"/>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p>
        <w:p w14:paraId="47CC41D1" w14:textId="2D6C16D3" w:rsidR="00F46719" w:rsidRDefault="000F4271" w:rsidP="009A0292">
          <w:pPr>
            <w:pStyle w:val="Sinespaciado"/>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hyperlink>
        </w:p>
        <w:p w14:paraId="0205BF1A" w14:textId="26B473CC" w:rsidR="00F46719" w:rsidRDefault="000F4271" w:rsidP="009A0292">
          <w:pPr>
            <w:pStyle w:val="Sinespaciado"/>
            <w:rPr>
              <w:noProof/>
            </w:rPr>
          </w:pPr>
          <w:hyperlink w:anchor="_Toc508279623" w:history="1">
            <w:r w:rsidR="00F46719" w:rsidRPr="00C669D1">
              <w:rPr>
                <w:rStyle w:val="Hipervnculo"/>
                <w:rFonts w:cstheme="minorHAnsi"/>
                <w:noProof/>
              </w:rPr>
              <w:t>3. Autorización e Historia</w:t>
            </w:r>
            <w:r w:rsidR="00F46719">
              <w:rPr>
                <w:noProof/>
                <w:webHidden/>
              </w:rPr>
              <w:tab/>
            </w:r>
          </w:hyperlink>
        </w:p>
        <w:p w14:paraId="3181098F" w14:textId="3064CB74" w:rsidR="00F46719" w:rsidRDefault="000F4271" w:rsidP="009A0292">
          <w:pPr>
            <w:pStyle w:val="Sinespaciado"/>
            <w:rPr>
              <w:noProof/>
            </w:rPr>
          </w:pPr>
          <w:hyperlink w:anchor="_Toc508279624" w:history="1">
            <w:r w:rsidR="00F46719" w:rsidRPr="00C669D1">
              <w:rPr>
                <w:rStyle w:val="Hipervnculo"/>
                <w:rFonts w:cstheme="minorHAnsi"/>
                <w:noProof/>
              </w:rPr>
              <w:t>4. Organización y Objeto Social</w:t>
            </w:r>
            <w:r w:rsidR="00F46719">
              <w:rPr>
                <w:noProof/>
                <w:webHidden/>
              </w:rPr>
              <w:tab/>
            </w:r>
          </w:hyperlink>
        </w:p>
        <w:p w14:paraId="3E5886DF" w14:textId="4D2D0241" w:rsidR="00F46719" w:rsidRDefault="000F4271" w:rsidP="009A0292">
          <w:pPr>
            <w:pStyle w:val="Sinespaciado"/>
            <w:rPr>
              <w:noProof/>
            </w:rPr>
          </w:pPr>
          <w:hyperlink w:anchor="_Toc508279625" w:history="1">
            <w:r w:rsidR="00F46719" w:rsidRPr="00C669D1">
              <w:rPr>
                <w:rStyle w:val="Hipervnculo"/>
                <w:rFonts w:cstheme="minorHAnsi"/>
                <w:noProof/>
              </w:rPr>
              <w:t>5. Bases de Preparación de los Estados Financiero</w:t>
            </w:r>
            <w:r w:rsidR="00EB6566">
              <w:rPr>
                <w:rStyle w:val="Hipervnculo"/>
                <w:rFonts w:cstheme="minorHAnsi"/>
                <w:noProof/>
              </w:rPr>
              <w:t>s</w:t>
            </w:r>
            <w:r w:rsidR="00F46719">
              <w:rPr>
                <w:noProof/>
                <w:webHidden/>
              </w:rPr>
              <w:tab/>
            </w:r>
          </w:hyperlink>
        </w:p>
        <w:p w14:paraId="653AF446" w14:textId="52BC5E1D" w:rsidR="00F46719" w:rsidRDefault="000F4271" w:rsidP="009A0292">
          <w:pPr>
            <w:pStyle w:val="Sinespaciado"/>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hyperlink>
        </w:p>
        <w:p w14:paraId="21BA046A" w14:textId="1F736AF5" w:rsidR="00F46719" w:rsidRDefault="000F4271" w:rsidP="009A0292">
          <w:pPr>
            <w:pStyle w:val="Sinespaciado"/>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hyperlink>
        </w:p>
        <w:p w14:paraId="784807F5" w14:textId="29DB0C7A" w:rsidR="00F46719" w:rsidRDefault="000F4271" w:rsidP="009A0292">
          <w:pPr>
            <w:pStyle w:val="Sinespaciado"/>
            <w:rPr>
              <w:noProof/>
            </w:rPr>
          </w:pPr>
          <w:hyperlink w:anchor="_Toc508279628" w:history="1">
            <w:r w:rsidR="00F46719" w:rsidRPr="00C669D1">
              <w:rPr>
                <w:rStyle w:val="Hipervnculo"/>
                <w:rFonts w:cstheme="minorHAnsi"/>
                <w:noProof/>
              </w:rPr>
              <w:t>8. Reporte Analítico del Activo</w:t>
            </w:r>
            <w:r w:rsidR="00F46719">
              <w:rPr>
                <w:noProof/>
                <w:webHidden/>
              </w:rPr>
              <w:tab/>
            </w:r>
          </w:hyperlink>
        </w:p>
        <w:p w14:paraId="7E663DB5" w14:textId="1986A7C4" w:rsidR="00F46719" w:rsidRDefault="000F4271" w:rsidP="009A0292">
          <w:pPr>
            <w:pStyle w:val="Sinespaciado"/>
            <w:rPr>
              <w:noProof/>
            </w:rPr>
          </w:pPr>
          <w:hyperlink w:anchor="_Toc508279629" w:history="1">
            <w:r w:rsidR="00F46719" w:rsidRPr="00C669D1">
              <w:rPr>
                <w:rStyle w:val="Hipervnculo"/>
                <w:rFonts w:cstheme="minorHAnsi"/>
                <w:noProof/>
              </w:rPr>
              <w:t>9. Fideicomisos, Mandatos y Análogos</w:t>
            </w:r>
          </w:hyperlink>
        </w:p>
        <w:p w14:paraId="335A44C3" w14:textId="5DDEB895" w:rsidR="00F46719" w:rsidRDefault="000F4271" w:rsidP="009A0292">
          <w:pPr>
            <w:pStyle w:val="Sinespaciado"/>
            <w:rPr>
              <w:noProof/>
            </w:rPr>
          </w:pPr>
          <w:hyperlink w:anchor="_Toc508279630" w:history="1">
            <w:r w:rsidR="00F46719" w:rsidRPr="00C669D1">
              <w:rPr>
                <w:rStyle w:val="Hipervnculo"/>
                <w:rFonts w:cstheme="minorHAnsi"/>
                <w:noProof/>
              </w:rPr>
              <w:t>10. Reporte de la Recaudación</w:t>
            </w:r>
            <w:r w:rsidR="00F46719">
              <w:rPr>
                <w:noProof/>
                <w:webHidden/>
              </w:rPr>
              <w:tab/>
            </w:r>
          </w:hyperlink>
        </w:p>
        <w:p w14:paraId="290CB7FF" w14:textId="445C16AD" w:rsidR="00F46719" w:rsidRDefault="000F4271" w:rsidP="009A0292">
          <w:pPr>
            <w:pStyle w:val="Sinespaciado"/>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p>
        <w:p w14:paraId="67FB6C3B" w14:textId="1BDECFEE" w:rsidR="00F46719" w:rsidRDefault="000F4271" w:rsidP="009A0292">
          <w:pPr>
            <w:pStyle w:val="Sinespaciado"/>
            <w:rPr>
              <w:noProof/>
            </w:rPr>
          </w:pPr>
          <w:hyperlink w:anchor="_Toc508279632" w:history="1">
            <w:r w:rsidR="00F46719" w:rsidRPr="00C669D1">
              <w:rPr>
                <w:rStyle w:val="Hipervnculo"/>
                <w:rFonts w:cstheme="minorHAnsi"/>
                <w:noProof/>
              </w:rPr>
              <w:t>12. Calificaciones otorgadas</w:t>
            </w:r>
            <w:r w:rsidR="00F46719">
              <w:rPr>
                <w:noProof/>
                <w:webHidden/>
              </w:rPr>
              <w:tab/>
            </w:r>
          </w:hyperlink>
        </w:p>
        <w:p w14:paraId="3373EEEC" w14:textId="4DDB9236" w:rsidR="00F46719" w:rsidRDefault="000F4271" w:rsidP="009A0292">
          <w:pPr>
            <w:pStyle w:val="Sinespaciado"/>
            <w:rPr>
              <w:noProof/>
            </w:rPr>
          </w:pPr>
          <w:hyperlink w:anchor="_Toc508279633" w:history="1">
            <w:r w:rsidR="00F46719" w:rsidRPr="00C669D1">
              <w:rPr>
                <w:rStyle w:val="Hipervnculo"/>
                <w:rFonts w:cstheme="minorHAnsi"/>
                <w:noProof/>
              </w:rPr>
              <w:t>13. Proceso de Mejora</w:t>
            </w:r>
            <w:r w:rsidR="00F46719">
              <w:rPr>
                <w:noProof/>
                <w:webHidden/>
              </w:rPr>
              <w:tab/>
            </w:r>
          </w:hyperlink>
        </w:p>
        <w:p w14:paraId="01A1A543" w14:textId="4E88A862" w:rsidR="00F46719" w:rsidRDefault="000F4271" w:rsidP="009A0292">
          <w:pPr>
            <w:pStyle w:val="Sinespaciado"/>
            <w:rPr>
              <w:noProof/>
            </w:rPr>
          </w:pPr>
          <w:hyperlink w:anchor="_Toc508279634" w:history="1">
            <w:r w:rsidR="00F46719" w:rsidRPr="00C669D1">
              <w:rPr>
                <w:rStyle w:val="Hipervnculo"/>
                <w:rFonts w:cstheme="minorHAnsi"/>
                <w:noProof/>
              </w:rPr>
              <w:t>14. Información por Segmentos</w:t>
            </w:r>
            <w:r w:rsidR="00F46719">
              <w:rPr>
                <w:noProof/>
                <w:webHidden/>
              </w:rPr>
              <w:tab/>
            </w:r>
          </w:hyperlink>
        </w:p>
        <w:p w14:paraId="314DA06E" w14:textId="6BB092B6" w:rsidR="00F46719" w:rsidRDefault="000F4271" w:rsidP="009A0292">
          <w:pPr>
            <w:pStyle w:val="Sinespaciado"/>
            <w:rPr>
              <w:noProof/>
            </w:rPr>
          </w:pPr>
          <w:hyperlink w:anchor="_Toc508279635" w:history="1">
            <w:r w:rsidR="00F46719" w:rsidRPr="00C669D1">
              <w:rPr>
                <w:rStyle w:val="Hipervnculo"/>
                <w:rFonts w:cstheme="minorHAnsi"/>
                <w:noProof/>
              </w:rPr>
              <w:t>15. Eventos Posteriores al Cierre</w:t>
            </w:r>
            <w:r w:rsidR="00F46719">
              <w:rPr>
                <w:noProof/>
                <w:webHidden/>
              </w:rPr>
              <w:tab/>
            </w:r>
          </w:hyperlink>
        </w:p>
        <w:p w14:paraId="0A10726F" w14:textId="6FF94B86" w:rsidR="00F46719" w:rsidRDefault="000F4271" w:rsidP="009A0292">
          <w:pPr>
            <w:pStyle w:val="Sinespaciado"/>
            <w:rPr>
              <w:noProof/>
            </w:rPr>
          </w:pPr>
          <w:hyperlink w:anchor="_Toc508279636" w:history="1">
            <w:r w:rsidR="00F46719" w:rsidRPr="00C669D1">
              <w:rPr>
                <w:rStyle w:val="Hipervnculo"/>
                <w:rFonts w:cstheme="minorHAnsi"/>
                <w:noProof/>
              </w:rPr>
              <w:t>16. Partes Relacionadas</w:t>
            </w:r>
            <w:r w:rsidR="00F46719">
              <w:rPr>
                <w:noProof/>
                <w:webHidden/>
              </w:rPr>
              <w:tab/>
            </w:r>
          </w:hyperlink>
        </w:p>
        <w:p w14:paraId="3402BC77" w14:textId="49D333D0" w:rsidR="00F46719" w:rsidRDefault="000F4271" w:rsidP="009A0292">
          <w:pPr>
            <w:pStyle w:val="Sinespaciado"/>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5CC48026" w14:textId="77777777" w:rsidR="00D010A5" w:rsidRPr="005924F6" w:rsidRDefault="00D010A5" w:rsidP="00D010A5">
      <w:pPr>
        <w:pStyle w:val="Texto"/>
        <w:spacing w:after="0" w:line="240" w:lineRule="exact"/>
        <w:rPr>
          <w:b/>
          <w:sz w:val="20"/>
        </w:rPr>
      </w:pPr>
      <w:r w:rsidRPr="005924F6">
        <w:rPr>
          <w:b/>
          <w:sz w:val="20"/>
          <w:lang w:val="es-MX"/>
        </w:rPr>
        <w:t>1.</w:t>
      </w:r>
      <w:r w:rsidRPr="005924F6">
        <w:rPr>
          <w:b/>
          <w:sz w:val="20"/>
          <w:lang w:val="es-MX"/>
        </w:rPr>
        <w:tab/>
        <w:t>Introducción</w:t>
      </w:r>
    </w:p>
    <w:p w14:paraId="79751216" w14:textId="00827043" w:rsidR="00D010A5" w:rsidRDefault="00D010A5" w:rsidP="00D010A5">
      <w:pPr>
        <w:pStyle w:val="Texto"/>
        <w:spacing w:after="0" w:line="240" w:lineRule="exact"/>
        <w:rPr>
          <w:sz w:val="20"/>
        </w:rPr>
      </w:pPr>
    </w:p>
    <w:p w14:paraId="12CDE150" w14:textId="77D98BBB" w:rsidR="00D010A5" w:rsidRPr="005611DE" w:rsidRDefault="00D010A5" w:rsidP="00D010A5">
      <w:pPr>
        <w:spacing w:line="288" w:lineRule="auto"/>
        <w:jc w:val="both"/>
        <w:rPr>
          <w:rFonts w:ascii="Arial" w:hAnsi="Arial" w:cs="Arial"/>
          <w:bCs/>
          <w:sz w:val="20"/>
          <w:szCs w:val="20"/>
          <w:lang w:eastAsia="es-MX"/>
        </w:rPr>
      </w:pPr>
      <w:r w:rsidRPr="00F00325">
        <w:rPr>
          <w:rFonts w:ascii="Arial" w:hAnsi="Arial" w:cs="Arial"/>
          <w:bCs/>
          <w:sz w:val="20"/>
          <w:szCs w:val="20"/>
          <w:lang w:eastAsia="es-MX"/>
        </w:rPr>
        <w:t xml:space="preserve">La </w:t>
      </w:r>
      <w:r w:rsidR="005063DE">
        <w:rPr>
          <w:rFonts w:ascii="Arial" w:hAnsi="Arial" w:cs="Arial"/>
          <w:bCs/>
          <w:sz w:val="20"/>
          <w:szCs w:val="20"/>
          <w:lang w:eastAsia="es-MX"/>
        </w:rPr>
        <w:t xml:space="preserve">extinta </w:t>
      </w:r>
      <w:r w:rsidRPr="00F00325">
        <w:rPr>
          <w:rFonts w:ascii="Arial" w:hAnsi="Arial" w:cs="Arial"/>
          <w:bCs/>
          <w:sz w:val="20"/>
          <w:szCs w:val="20"/>
          <w:lang w:eastAsia="es-MX"/>
        </w:rPr>
        <w:t xml:space="preserve">Comisión de Vivienda del Estado de Guanajuato (COVEG) </w:t>
      </w:r>
      <w:r w:rsidR="005063DE">
        <w:rPr>
          <w:rFonts w:ascii="Arial" w:hAnsi="Arial" w:cs="Arial"/>
          <w:bCs/>
          <w:sz w:val="20"/>
          <w:szCs w:val="20"/>
          <w:lang w:eastAsia="es-MX"/>
        </w:rPr>
        <w:t>era</w:t>
      </w:r>
      <w:r w:rsidRPr="00F00325">
        <w:rPr>
          <w:rFonts w:ascii="Arial" w:hAnsi="Arial" w:cs="Arial"/>
          <w:bCs/>
          <w:sz w:val="20"/>
          <w:szCs w:val="20"/>
          <w:lang w:eastAsia="es-MX"/>
        </w:rPr>
        <w:t xml:space="preserve"> un organismo público descentralizado del Poder Ejecutivo, con personalidad jurídica y patrimonio propios (Art. 24 del Código </w:t>
      </w:r>
      <w:proofErr w:type="gramStart"/>
      <w:r w:rsidRPr="00F00325">
        <w:rPr>
          <w:rFonts w:ascii="Arial" w:hAnsi="Arial" w:cs="Arial"/>
          <w:bCs/>
          <w:sz w:val="20"/>
          <w:szCs w:val="20"/>
          <w:lang w:eastAsia="es-MX"/>
        </w:rPr>
        <w:t>Territorial  Estado</w:t>
      </w:r>
      <w:proofErr w:type="gramEnd"/>
      <w:r w:rsidRPr="00F00325">
        <w:rPr>
          <w:rFonts w:ascii="Arial" w:hAnsi="Arial" w:cs="Arial"/>
          <w:bCs/>
          <w:sz w:val="20"/>
          <w:szCs w:val="20"/>
          <w:lang w:eastAsia="es-MX"/>
        </w:rPr>
        <w:t xml:space="preserve"> de Guanajuato).</w:t>
      </w:r>
    </w:p>
    <w:p w14:paraId="409CE60D" w14:textId="1626311B" w:rsidR="00D010A5" w:rsidRPr="00F00325" w:rsidRDefault="005063DE" w:rsidP="00D010A5">
      <w:pPr>
        <w:spacing w:line="288" w:lineRule="auto"/>
        <w:jc w:val="both"/>
        <w:rPr>
          <w:rFonts w:ascii="Arial" w:hAnsi="Arial" w:cs="Arial"/>
          <w:sz w:val="10"/>
          <w:szCs w:val="10"/>
        </w:rPr>
      </w:pPr>
      <w:r>
        <w:rPr>
          <w:rFonts w:ascii="Arial" w:hAnsi="Arial" w:cs="Arial"/>
          <w:sz w:val="20"/>
          <w:szCs w:val="20"/>
        </w:rPr>
        <w:lastRenderedPageBreak/>
        <w:t>La COVEG era</w:t>
      </w:r>
      <w:r w:rsidR="00D010A5" w:rsidRPr="00F00325">
        <w:rPr>
          <w:rFonts w:ascii="Arial" w:hAnsi="Arial" w:cs="Arial"/>
          <w:sz w:val="20"/>
          <w:szCs w:val="20"/>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5E326A72" w14:textId="77777777" w:rsidR="00D010A5" w:rsidRPr="00F00325" w:rsidRDefault="00D010A5" w:rsidP="00D010A5">
      <w:pPr>
        <w:numPr>
          <w:ilvl w:val="0"/>
          <w:numId w:val="2"/>
        </w:numPr>
        <w:spacing w:after="0" w:line="288" w:lineRule="auto"/>
        <w:jc w:val="both"/>
        <w:rPr>
          <w:rFonts w:ascii="Arial" w:hAnsi="Arial" w:cs="Arial"/>
          <w:sz w:val="20"/>
          <w:szCs w:val="20"/>
        </w:rPr>
      </w:pPr>
      <w:r w:rsidRPr="00F00325">
        <w:rPr>
          <w:rFonts w:ascii="Arial" w:hAnsi="Arial" w:cs="Arial"/>
          <w:b/>
          <w:i/>
          <w:sz w:val="20"/>
          <w:szCs w:val="20"/>
        </w:rPr>
        <w:t>Misión:</w:t>
      </w:r>
      <w:r w:rsidRPr="00F00325">
        <w:rPr>
          <w:rFonts w:ascii="Arial" w:hAnsi="Arial" w:cs="Arial"/>
          <w:sz w:val="20"/>
          <w:szCs w:val="20"/>
        </w:rPr>
        <w:t xml:space="preserve"> Promover acciones de vivienda de calidad y sustentabilidad a las familias guanajuatenses, preferentemente a las de más bajos ingresos, contribuyendo con ello a su desarrollo humano y un mejor hábitat.</w:t>
      </w:r>
      <w:r w:rsidRPr="00F00325">
        <w:rPr>
          <w:rFonts w:ascii="Arial" w:hAnsi="Arial" w:cs="Arial"/>
          <w:sz w:val="20"/>
          <w:szCs w:val="20"/>
        </w:rPr>
        <w:tab/>
      </w:r>
    </w:p>
    <w:p w14:paraId="4F2A7C91" w14:textId="77777777" w:rsidR="00D010A5" w:rsidRPr="00F00325" w:rsidRDefault="00D010A5" w:rsidP="00D010A5">
      <w:pPr>
        <w:spacing w:line="288" w:lineRule="auto"/>
        <w:ind w:left="720"/>
        <w:jc w:val="both"/>
        <w:rPr>
          <w:rFonts w:ascii="Arial" w:hAnsi="Arial" w:cs="Arial"/>
          <w:sz w:val="10"/>
          <w:szCs w:val="10"/>
        </w:rPr>
      </w:pPr>
    </w:p>
    <w:p w14:paraId="2BF9A8C2" w14:textId="25062DD2" w:rsidR="00D010A5" w:rsidRPr="00F00325" w:rsidRDefault="00D010A5" w:rsidP="00D010A5">
      <w:pPr>
        <w:numPr>
          <w:ilvl w:val="0"/>
          <w:numId w:val="2"/>
        </w:numPr>
        <w:spacing w:after="0" w:line="288" w:lineRule="auto"/>
        <w:jc w:val="both"/>
        <w:rPr>
          <w:rFonts w:ascii="Arial" w:hAnsi="Arial" w:cs="Arial"/>
          <w:sz w:val="20"/>
          <w:szCs w:val="20"/>
        </w:rPr>
      </w:pPr>
      <w:r w:rsidRPr="00F00325">
        <w:rPr>
          <w:rFonts w:ascii="Arial" w:hAnsi="Arial" w:cs="Arial"/>
          <w:b/>
          <w:i/>
          <w:sz w:val="20"/>
          <w:szCs w:val="20"/>
        </w:rPr>
        <w:t>Visión:</w:t>
      </w:r>
      <w:r w:rsidRPr="00F00325">
        <w:rPr>
          <w:rFonts w:ascii="Arial" w:hAnsi="Arial" w:cs="Arial"/>
          <w:sz w:val="20"/>
          <w:szCs w:val="20"/>
        </w:rPr>
        <w:t xml:space="preserve"> Una Institución rectora </w:t>
      </w:r>
      <w:r w:rsidR="004148D9" w:rsidRPr="00F00325">
        <w:rPr>
          <w:rFonts w:ascii="Arial" w:hAnsi="Arial" w:cs="Arial"/>
          <w:sz w:val="20"/>
          <w:szCs w:val="20"/>
        </w:rPr>
        <w:t>que,</w:t>
      </w:r>
      <w:r w:rsidRPr="00F00325">
        <w:rPr>
          <w:rFonts w:ascii="Arial" w:hAnsi="Arial" w:cs="Arial"/>
          <w:sz w:val="20"/>
          <w:szCs w:val="20"/>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23CBEB67" w14:textId="77777777" w:rsidR="00D010A5" w:rsidRPr="00F00325" w:rsidRDefault="00D010A5" w:rsidP="00D010A5">
      <w:pPr>
        <w:spacing w:line="288" w:lineRule="auto"/>
        <w:jc w:val="both"/>
        <w:rPr>
          <w:rFonts w:ascii="Arial" w:hAnsi="Arial" w:cs="Arial"/>
          <w:sz w:val="10"/>
          <w:szCs w:val="10"/>
        </w:rPr>
      </w:pPr>
    </w:p>
    <w:p w14:paraId="6112887C" w14:textId="77777777" w:rsidR="00D010A5" w:rsidRPr="00F00325" w:rsidRDefault="00D010A5" w:rsidP="00D010A5">
      <w:pPr>
        <w:numPr>
          <w:ilvl w:val="0"/>
          <w:numId w:val="2"/>
        </w:numPr>
        <w:spacing w:after="0" w:line="288" w:lineRule="auto"/>
        <w:rPr>
          <w:rFonts w:ascii="Arial" w:hAnsi="Arial" w:cs="Arial"/>
          <w:sz w:val="20"/>
          <w:szCs w:val="20"/>
          <w:lang w:eastAsia="es-MX"/>
        </w:rPr>
      </w:pPr>
      <w:r w:rsidRPr="00F00325">
        <w:rPr>
          <w:rFonts w:ascii="Arial" w:hAnsi="Arial" w:cs="Arial"/>
          <w:b/>
          <w:i/>
          <w:sz w:val="20"/>
          <w:szCs w:val="20"/>
        </w:rPr>
        <w:t>Valores:</w:t>
      </w:r>
      <w:r w:rsidRPr="00F00325">
        <w:rPr>
          <w:rFonts w:ascii="Arial" w:hAnsi="Arial" w:cs="Arial"/>
          <w:sz w:val="20"/>
          <w:szCs w:val="20"/>
        </w:rPr>
        <w:t xml:space="preserve"> </w:t>
      </w:r>
      <w:r w:rsidRPr="00F00325">
        <w:rPr>
          <w:rFonts w:ascii="Arial" w:hAnsi="Arial" w:cs="Arial"/>
          <w:sz w:val="20"/>
          <w:szCs w:val="20"/>
          <w:lang w:eastAsia="es-MX"/>
        </w:rPr>
        <w:t>Perseverancia, Lealtad, Responsabilidad, Respeto, Honestidad, Solidaridad, Trabajo en Equipo, Subsidiaridad, Pro-actividad y Actitud de Servicio.</w:t>
      </w:r>
    </w:p>
    <w:p w14:paraId="1F0AF47C" w14:textId="77777777" w:rsidR="00D010A5" w:rsidRPr="00F00325" w:rsidRDefault="00D010A5" w:rsidP="00D010A5">
      <w:pPr>
        <w:spacing w:line="288" w:lineRule="auto"/>
        <w:jc w:val="both"/>
        <w:rPr>
          <w:rFonts w:ascii="Arial" w:hAnsi="Arial" w:cs="Arial"/>
          <w:sz w:val="10"/>
          <w:szCs w:val="10"/>
          <w:lang w:eastAsia="es-MX"/>
        </w:rPr>
      </w:pPr>
    </w:p>
    <w:p w14:paraId="4CB9FCEF" w14:textId="77777777" w:rsidR="003C4ADF" w:rsidRDefault="003C4ADF" w:rsidP="00D010A5">
      <w:pPr>
        <w:spacing w:line="288" w:lineRule="auto"/>
        <w:jc w:val="both"/>
        <w:rPr>
          <w:rFonts w:ascii="Arial" w:hAnsi="Arial" w:cs="Arial"/>
          <w:sz w:val="20"/>
          <w:szCs w:val="20"/>
          <w:lang w:eastAsia="es-MX"/>
        </w:rPr>
      </w:pPr>
      <w:r w:rsidRPr="003C4ADF">
        <w:rPr>
          <w:rFonts w:ascii="Arial" w:hAnsi="Arial" w:cs="Arial"/>
          <w:sz w:val="20"/>
          <w:szCs w:val="20"/>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2B38C87F" w14:textId="77777777" w:rsidR="003C4ADF" w:rsidRDefault="003C4ADF" w:rsidP="00116619">
      <w:pPr>
        <w:spacing w:line="288" w:lineRule="auto"/>
        <w:jc w:val="both"/>
        <w:rPr>
          <w:rFonts w:ascii="Arial" w:hAnsi="Arial" w:cs="Arial"/>
          <w:sz w:val="20"/>
          <w:szCs w:val="20"/>
          <w:lang w:eastAsia="es-MX"/>
        </w:rPr>
      </w:pPr>
      <w:r w:rsidRPr="003C4ADF">
        <w:rPr>
          <w:rFonts w:ascii="Arial" w:hAnsi="Arial" w:cs="Arial"/>
          <w:sz w:val="20"/>
          <w:szCs w:val="20"/>
          <w:lang w:eastAsia="es-MX"/>
        </w:rPr>
        <w:t>Los presente información financiera incluye los resultados más importantes de la administración de la extinta COVEG, al primer trimestre 2021,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modificaciones. Con la observación de que derivado de la entrega recepción realizada por la extinta COVEG a SMAOT el pasado 07 de agosto 2020, se ha venido realizando un análisis en conjunto con la Secretaría de Finanzas, Inversión y Administración (SFIyA) para llevar a cabo la gestión de pagos pendientes, liquidación, conciliación, depuración de cuentas contables y cierre financiero.</w:t>
      </w:r>
    </w:p>
    <w:p w14:paraId="5057D9FA" w14:textId="315B167B" w:rsidR="00D010A5" w:rsidRDefault="00D010A5" w:rsidP="00CF2775">
      <w:pPr>
        <w:spacing w:line="288" w:lineRule="auto"/>
        <w:jc w:val="both"/>
        <w:rPr>
          <w:b/>
          <w:sz w:val="20"/>
        </w:rPr>
      </w:pPr>
      <w:r w:rsidRPr="00C137AC">
        <w:rPr>
          <w:b/>
          <w:sz w:val="20"/>
        </w:rPr>
        <w:t>2.</w:t>
      </w:r>
      <w:r w:rsidRPr="00C137AC">
        <w:rPr>
          <w:b/>
          <w:sz w:val="20"/>
        </w:rPr>
        <w:tab/>
        <w:t>Panorama Económico y Financiero</w:t>
      </w:r>
    </w:p>
    <w:p w14:paraId="5552297B" w14:textId="77777777" w:rsidR="00D010A5" w:rsidRPr="006122CC" w:rsidRDefault="00D010A5" w:rsidP="00D010A5">
      <w:pPr>
        <w:pStyle w:val="Texto"/>
        <w:spacing w:after="0" w:line="240" w:lineRule="exact"/>
        <w:ind w:firstLine="0"/>
        <w:rPr>
          <w:b/>
          <w:sz w:val="10"/>
          <w:szCs w:val="10"/>
          <w:lang w:val="es-MX"/>
        </w:rPr>
      </w:pPr>
    </w:p>
    <w:p w14:paraId="4C0E2F78" w14:textId="47BE7E94" w:rsidR="00D010A5" w:rsidRPr="006122CC" w:rsidRDefault="00D010A5" w:rsidP="00D010A5">
      <w:pPr>
        <w:pStyle w:val="Texto"/>
        <w:spacing w:after="0" w:line="288" w:lineRule="auto"/>
        <w:ind w:firstLine="0"/>
        <w:rPr>
          <w:b/>
          <w:sz w:val="20"/>
          <w:lang w:val="es-MX"/>
        </w:rPr>
      </w:pPr>
      <w:r>
        <w:rPr>
          <w:sz w:val="20"/>
          <w:lang w:eastAsia="es-MX"/>
        </w:rPr>
        <w:t xml:space="preserve">La </w:t>
      </w:r>
      <w:r w:rsidR="00BD5210">
        <w:rPr>
          <w:sz w:val="20"/>
          <w:lang w:eastAsia="es-MX"/>
        </w:rPr>
        <w:t xml:space="preserve">extinta </w:t>
      </w:r>
      <w:r>
        <w:rPr>
          <w:sz w:val="20"/>
          <w:lang w:eastAsia="es-MX"/>
        </w:rPr>
        <w:t>COVEG administr</w:t>
      </w:r>
      <w:r w:rsidR="00BD5210">
        <w:rPr>
          <w:sz w:val="20"/>
          <w:lang w:eastAsia="es-MX"/>
        </w:rPr>
        <w:t>ab</w:t>
      </w:r>
      <w:r>
        <w:rPr>
          <w:sz w:val="20"/>
          <w:lang w:eastAsia="es-MX"/>
        </w:rPr>
        <w:t>a</w:t>
      </w:r>
      <w:r w:rsidRPr="009F39B8">
        <w:rPr>
          <w:sz w:val="20"/>
          <w:lang w:eastAsia="es-MX"/>
        </w:rPr>
        <w:t xml:space="preserve"> en forma autónoma su patrimonio, ejerciendo en forma íntegra y directa su presupuesto, con sujeción a lo dispuesto en la Ley del Presupuesto General de Egresos del Estado de Guanajuato para el Ej</w:t>
      </w:r>
      <w:r>
        <w:rPr>
          <w:sz w:val="20"/>
          <w:lang w:eastAsia="es-MX"/>
        </w:rPr>
        <w:t>ercicio Fiscal correspondiente.</w:t>
      </w:r>
    </w:p>
    <w:p w14:paraId="573FFBFD" w14:textId="77777777" w:rsidR="00D010A5" w:rsidRPr="00C137AC" w:rsidRDefault="00D010A5" w:rsidP="00D010A5">
      <w:pPr>
        <w:pStyle w:val="Texto"/>
        <w:spacing w:after="0" w:line="288" w:lineRule="auto"/>
        <w:rPr>
          <w:sz w:val="20"/>
        </w:rPr>
      </w:pPr>
    </w:p>
    <w:p w14:paraId="4CB2FA3E" w14:textId="77777777" w:rsidR="00D010A5" w:rsidRPr="00C137AC" w:rsidRDefault="00D010A5" w:rsidP="00D010A5">
      <w:pPr>
        <w:pStyle w:val="Texto"/>
        <w:spacing w:after="0" w:line="288" w:lineRule="auto"/>
        <w:rPr>
          <w:b/>
          <w:sz w:val="20"/>
          <w:lang w:val="es-MX"/>
        </w:rPr>
      </w:pPr>
      <w:r w:rsidRPr="00C137AC">
        <w:rPr>
          <w:b/>
          <w:sz w:val="20"/>
          <w:lang w:val="es-MX"/>
        </w:rPr>
        <w:t>3.</w:t>
      </w:r>
      <w:r w:rsidRPr="00C137AC">
        <w:rPr>
          <w:b/>
          <w:sz w:val="20"/>
          <w:lang w:val="es-MX"/>
        </w:rPr>
        <w:tab/>
        <w:t>Autorización e Historia</w:t>
      </w:r>
    </w:p>
    <w:p w14:paraId="0936F47E" w14:textId="77777777" w:rsidR="00D010A5" w:rsidRPr="006122CC" w:rsidRDefault="00D010A5" w:rsidP="00D010A5">
      <w:pPr>
        <w:pStyle w:val="Texto"/>
        <w:spacing w:after="0" w:line="288" w:lineRule="auto"/>
        <w:rPr>
          <w:sz w:val="10"/>
          <w:szCs w:val="10"/>
        </w:rPr>
      </w:pPr>
    </w:p>
    <w:p w14:paraId="1C4E42B1" w14:textId="77777777" w:rsidR="00D010A5" w:rsidRDefault="00D010A5" w:rsidP="00D010A5">
      <w:pPr>
        <w:pStyle w:val="Texto"/>
        <w:spacing w:after="0" w:line="288" w:lineRule="auto"/>
        <w:rPr>
          <w:sz w:val="20"/>
        </w:rPr>
      </w:pPr>
      <w:r w:rsidRPr="00C137AC">
        <w:rPr>
          <w:sz w:val="20"/>
        </w:rPr>
        <w:t>Se informará sobre:</w:t>
      </w:r>
    </w:p>
    <w:p w14:paraId="01614DA2" w14:textId="77777777" w:rsidR="00D010A5" w:rsidRDefault="00D010A5" w:rsidP="00D010A5">
      <w:pPr>
        <w:pStyle w:val="Texto"/>
        <w:spacing w:after="0" w:line="288" w:lineRule="auto"/>
        <w:rPr>
          <w:sz w:val="20"/>
        </w:rPr>
      </w:pPr>
    </w:p>
    <w:p w14:paraId="0CEBDE5A" w14:textId="77777777" w:rsidR="00D010A5" w:rsidRDefault="00D010A5" w:rsidP="00D010A5">
      <w:pPr>
        <w:pStyle w:val="INCISO"/>
        <w:spacing w:after="0" w:line="288" w:lineRule="auto"/>
        <w:rPr>
          <w:sz w:val="20"/>
          <w:szCs w:val="20"/>
        </w:rPr>
      </w:pPr>
      <w:r w:rsidRPr="00C137AC">
        <w:rPr>
          <w:sz w:val="20"/>
          <w:szCs w:val="20"/>
        </w:rPr>
        <w:t>a)</w:t>
      </w:r>
      <w:r w:rsidRPr="00C137AC">
        <w:rPr>
          <w:sz w:val="20"/>
          <w:szCs w:val="20"/>
        </w:rPr>
        <w:tab/>
        <w:t>Fecha de creación del ente.</w:t>
      </w:r>
    </w:p>
    <w:p w14:paraId="4FBDD366" w14:textId="77777777" w:rsidR="00D010A5" w:rsidRPr="0072340C" w:rsidRDefault="00D010A5" w:rsidP="00D010A5">
      <w:pPr>
        <w:pStyle w:val="INCISO"/>
        <w:spacing w:after="0" w:line="288" w:lineRule="auto"/>
        <w:rPr>
          <w:sz w:val="10"/>
          <w:szCs w:val="10"/>
        </w:rPr>
      </w:pPr>
    </w:p>
    <w:p w14:paraId="4063D7F1" w14:textId="77777777" w:rsidR="00D010A5" w:rsidRDefault="00D010A5" w:rsidP="00D010A5">
      <w:pPr>
        <w:spacing w:line="288" w:lineRule="auto"/>
        <w:jc w:val="both"/>
        <w:rPr>
          <w:rFonts w:ascii="Arial" w:hAnsi="Arial" w:cs="Arial"/>
          <w:sz w:val="20"/>
          <w:szCs w:val="20"/>
        </w:rPr>
      </w:pPr>
      <w:r w:rsidRPr="009F39B8">
        <w:rPr>
          <w:rFonts w:ascii="Arial" w:hAnsi="Arial" w:cs="Arial"/>
          <w:sz w:val="20"/>
          <w:szCs w:val="20"/>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Default="00D010A5" w:rsidP="00D010A5">
      <w:pPr>
        <w:spacing w:line="288" w:lineRule="auto"/>
        <w:jc w:val="both"/>
        <w:rPr>
          <w:rFonts w:ascii="Arial" w:hAnsi="Arial" w:cs="Arial"/>
          <w:sz w:val="20"/>
          <w:szCs w:val="20"/>
        </w:rPr>
      </w:pPr>
      <w:r w:rsidRPr="009F39B8">
        <w:rPr>
          <w:rFonts w:ascii="Arial" w:hAnsi="Arial" w:cs="Arial"/>
          <w:sz w:val="20"/>
          <w:szCs w:val="20"/>
        </w:rPr>
        <w:lastRenderedPageBreak/>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w:t>
      </w:r>
      <w:r>
        <w:rPr>
          <w:rFonts w:ascii="Arial" w:hAnsi="Arial" w:cs="Arial"/>
          <w:sz w:val="20"/>
          <w:szCs w:val="20"/>
        </w:rPr>
        <w:t>VEG en el período de extinción.</w:t>
      </w:r>
    </w:p>
    <w:p w14:paraId="1B9B2B98" w14:textId="77777777" w:rsidR="00D010A5" w:rsidRDefault="00D010A5" w:rsidP="00D010A5">
      <w:pPr>
        <w:spacing w:line="288" w:lineRule="auto"/>
        <w:jc w:val="both"/>
        <w:rPr>
          <w:rFonts w:ascii="Arial" w:hAnsi="Arial" w:cs="Arial"/>
          <w:sz w:val="20"/>
          <w:szCs w:val="20"/>
        </w:rPr>
      </w:pPr>
      <w:r w:rsidRPr="009F39B8">
        <w:rPr>
          <w:rFonts w:ascii="Arial" w:hAnsi="Arial" w:cs="Arial"/>
          <w:sz w:val="20"/>
          <w:szCs w:val="20"/>
        </w:rPr>
        <w:t>A partir de su creación y hasta el 31 de diciembre de 2010, la COVEG reconoció en cuentas por pagar los compromisos y obligaciones contraídos por el IVEG con terceros, en cuentas por cobrar los créditos otorgados que se encontraban pendientes de transf</w:t>
      </w:r>
      <w:r>
        <w:rPr>
          <w:rFonts w:ascii="Arial" w:hAnsi="Arial" w:cs="Arial"/>
          <w:sz w:val="20"/>
          <w:szCs w:val="20"/>
        </w:rPr>
        <w:t>erir al patrimonio de la COVEG.</w:t>
      </w:r>
    </w:p>
    <w:p w14:paraId="100781CF" w14:textId="77777777" w:rsidR="00D010A5" w:rsidRPr="009F39B8" w:rsidRDefault="00D010A5" w:rsidP="00D010A5">
      <w:pPr>
        <w:spacing w:line="288" w:lineRule="auto"/>
        <w:jc w:val="both"/>
        <w:rPr>
          <w:rFonts w:ascii="Arial" w:hAnsi="Arial" w:cs="Arial"/>
          <w:sz w:val="20"/>
          <w:szCs w:val="20"/>
        </w:rPr>
      </w:pPr>
      <w:r>
        <w:rPr>
          <w:rFonts w:ascii="Arial" w:hAnsi="Arial" w:cs="Arial"/>
          <w:sz w:val="20"/>
          <w:szCs w:val="20"/>
        </w:rPr>
        <w:t>A partir del 1 de O</w:t>
      </w:r>
      <w:r w:rsidRPr="009F39B8">
        <w:rPr>
          <w:rFonts w:ascii="Arial" w:hAnsi="Arial" w:cs="Arial"/>
          <w:sz w:val="20"/>
          <w:szCs w:val="20"/>
        </w:rPr>
        <w:t>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0B0B8FC2" w14:textId="77777777" w:rsidR="00D010A5" w:rsidRDefault="00D010A5" w:rsidP="00D010A5">
      <w:pPr>
        <w:pStyle w:val="INCISO"/>
        <w:spacing w:after="0" w:line="288" w:lineRule="auto"/>
        <w:ind w:left="0" w:firstLine="0"/>
        <w:rPr>
          <w:sz w:val="20"/>
          <w:szCs w:val="20"/>
        </w:rPr>
      </w:pPr>
    </w:p>
    <w:p w14:paraId="5596C9BC" w14:textId="77777777" w:rsidR="00D010A5" w:rsidRPr="00C137AC" w:rsidRDefault="00D010A5" w:rsidP="00D010A5">
      <w:pPr>
        <w:pStyle w:val="INCISO"/>
        <w:spacing w:after="0" w:line="288" w:lineRule="auto"/>
        <w:rPr>
          <w:sz w:val="20"/>
          <w:szCs w:val="20"/>
        </w:rPr>
      </w:pPr>
      <w:r w:rsidRPr="00C137AC">
        <w:rPr>
          <w:sz w:val="20"/>
          <w:szCs w:val="20"/>
        </w:rPr>
        <w:t>b)</w:t>
      </w:r>
      <w:r w:rsidRPr="00C137AC">
        <w:rPr>
          <w:sz w:val="20"/>
          <w:szCs w:val="20"/>
        </w:rPr>
        <w:tab/>
        <w:t>Principales cambios en su estructura</w:t>
      </w:r>
    </w:p>
    <w:p w14:paraId="14C61D59" w14:textId="77777777" w:rsidR="00D010A5" w:rsidRPr="0072340C" w:rsidRDefault="00D010A5" w:rsidP="00D010A5">
      <w:pPr>
        <w:pStyle w:val="INCISO"/>
        <w:spacing w:after="0" w:line="288" w:lineRule="auto"/>
        <w:rPr>
          <w:sz w:val="10"/>
          <w:szCs w:val="10"/>
        </w:rPr>
      </w:pPr>
    </w:p>
    <w:p w14:paraId="0F608FF7"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2720D6">
        <w:rPr>
          <w:rFonts w:ascii="Arial" w:hAnsi="Arial" w:cs="Arial"/>
          <w:sz w:val="20"/>
          <w:szCs w:val="20"/>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w:t>
      </w:r>
      <w:r>
        <w:rPr>
          <w:rFonts w:ascii="Arial" w:hAnsi="Arial" w:cs="Arial"/>
          <w:sz w:val="20"/>
          <w:szCs w:val="20"/>
        </w:rPr>
        <w:t>bril</w:t>
      </w:r>
      <w:r w:rsidRPr="002720D6">
        <w:rPr>
          <w:rFonts w:ascii="Arial" w:hAnsi="Arial" w:cs="Arial"/>
          <w:sz w:val="20"/>
          <w:szCs w:val="20"/>
        </w:rPr>
        <w:t xml:space="preserve"> del 2009 pero la estructura organizacional oficialmente fue autorizada por la Secretaria de Finanzas y Administración a partir del 01 de febrero de 2011.</w:t>
      </w:r>
    </w:p>
    <w:p w14:paraId="067FA5CA" w14:textId="77777777" w:rsidR="00D010A5" w:rsidRDefault="00D010A5" w:rsidP="00D010A5">
      <w:pPr>
        <w:pStyle w:val="Prrafodelista"/>
        <w:spacing w:line="288" w:lineRule="auto"/>
        <w:ind w:left="426"/>
        <w:jc w:val="both"/>
        <w:rPr>
          <w:rFonts w:ascii="Arial" w:hAnsi="Arial" w:cs="Arial"/>
          <w:sz w:val="20"/>
          <w:szCs w:val="20"/>
        </w:rPr>
      </w:pPr>
    </w:p>
    <w:p w14:paraId="6A07EC8E"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F00325">
        <w:rPr>
          <w:rFonts w:ascii="Arial" w:hAnsi="Arial" w:cs="Arial"/>
          <w:sz w:val="20"/>
          <w:szCs w:val="20"/>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F00325" w:rsidRDefault="00D010A5" w:rsidP="00D010A5">
      <w:pPr>
        <w:pStyle w:val="Prrafodelista"/>
        <w:rPr>
          <w:rFonts w:ascii="Arial" w:hAnsi="Arial" w:cs="Arial"/>
          <w:sz w:val="20"/>
          <w:szCs w:val="20"/>
        </w:rPr>
      </w:pPr>
    </w:p>
    <w:p w14:paraId="36BD7AAC"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F00325">
        <w:rPr>
          <w:rFonts w:ascii="Arial" w:hAnsi="Arial" w:cs="Arial"/>
          <w:sz w:val="20"/>
          <w:szCs w:val="20"/>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F00325" w:rsidRDefault="00D010A5" w:rsidP="00D010A5">
      <w:pPr>
        <w:pStyle w:val="Prrafodelista"/>
        <w:rPr>
          <w:rFonts w:ascii="Arial" w:hAnsi="Arial" w:cs="Arial"/>
          <w:sz w:val="20"/>
          <w:szCs w:val="20"/>
        </w:rPr>
      </w:pPr>
    </w:p>
    <w:p w14:paraId="18000898" w14:textId="77777777" w:rsidR="00D010A5" w:rsidRDefault="00D010A5" w:rsidP="00D010A5">
      <w:pPr>
        <w:pStyle w:val="Prrafodelista"/>
        <w:numPr>
          <w:ilvl w:val="0"/>
          <w:numId w:val="18"/>
        </w:numPr>
        <w:spacing w:after="0" w:line="288" w:lineRule="auto"/>
        <w:ind w:left="426" w:hanging="284"/>
        <w:jc w:val="both"/>
        <w:rPr>
          <w:rFonts w:ascii="Arial" w:hAnsi="Arial" w:cs="Arial"/>
          <w:sz w:val="20"/>
          <w:szCs w:val="20"/>
        </w:rPr>
      </w:pPr>
      <w:r w:rsidRPr="00F00325">
        <w:rPr>
          <w:rFonts w:ascii="Arial" w:hAnsi="Arial" w:cs="Arial"/>
          <w:sz w:val="20"/>
          <w:szCs w:val="20"/>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F00325" w:rsidRDefault="00D010A5" w:rsidP="00D010A5">
      <w:pPr>
        <w:pStyle w:val="Prrafodelista"/>
        <w:rPr>
          <w:rFonts w:ascii="Arial" w:hAnsi="Arial" w:cs="Arial"/>
          <w:sz w:val="10"/>
          <w:szCs w:val="10"/>
        </w:rPr>
      </w:pPr>
    </w:p>
    <w:p w14:paraId="12D2A44B" w14:textId="77777777" w:rsidR="00D010A5" w:rsidRDefault="00D010A5" w:rsidP="00D010A5">
      <w:pPr>
        <w:pStyle w:val="Prrafodelista"/>
        <w:spacing w:line="288" w:lineRule="auto"/>
        <w:ind w:left="426"/>
        <w:jc w:val="both"/>
        <w:rPr>
          <w:rFonts w:ascii="Arial" w:hAnsi="Arial" w:cs="Arial"/>
          <w:sz w:val="20"/>
          <w:szCs w:val="20"/>
        </w:rPr>
      </w:pPr>
      <w:r w:rsidRPr="00F00325">
        <w:rPr>
          <w:rFonts w:ascii="Arial" w:hAnsi="Arial" w:cs="Arial"/>
          <w:sz w:val="20"/>
          <w:szCs w:val="20"/>
        </w:rPr>
        <w:t xml:space="preserve">Se establece también en el artículo segundo transitorio que a partir de la </w:t>
      </w:r>
      <w:proofErr w:type="gramStart"/>
      <w:r w:rsidRPr="00F00325">
        <w:rPr>
          <w:rFonts w:ascii="Arial" w:hAnsi="Arial" w:cs="Arial"/>
          <w:sz w:val="20"/>
          <w:szCs w:val="20"/>
        </w:rPr>
        <w:t>entrada en vigencia</w:t>
      </w:r>
      <w:proofErr w:type="gramEnd"/>
      <w:r w:rsidRPr="00F00325">
        <w:rPr>
          <w:rFonts w:ascii="Arial" w:hAnsi="Arial" w:cs="Arial"/>
          <w:sz w:val="20"/>
          <w:szCs w:val="20"/>
        </w:rPr>
        <w:t xml:space="preserve"> del citado decreto y para dar cumplimiento a la creación de la Secretaria de Medio Ambiente y Ordenamiento Territorial, el Gobernador del Estado expedirá y adecuará los reglamentos y demás disposiciones necesarias para el cumplimiento del presente decreto, en un término que no exceda de ciento ochenta </w:t>
      </w:r>
      <w:r w:rsidRPr="00F00325">
        <w:rPr>
          <w:rFonts w:ascii="Arial" w:hAnsi="Arial" w:cs="Arial"/>
          <w:sz w:val="20"/>
          <w:szCs w:val="20"/>
        </w:rPr>
        <w:lastRenderedPageBreak/>
        <w:t>días. En tanto se expiden, continuaran vigentes los actuales en lo que no se oponga al presente decreto.</w:t>
      </w:r>
    </w:p>
    <w:p w14:paraId="35F591AF" w14:textId="77777777" w:rsidR="00D010A5" w:rsidRDefault="00D010A5" w:rsidP="00D010A5">
      <w:pPr>
        <w:pStyle w:val="Prrafodelista"/>
        <w:spacing w:line="288" w:lineRule="auto"/>
        <w:ind w:left="426"/>
        <w:jc w:val="both"/>
        <w:rPr>
          <w:rFonts w:ascii="Arial" w:hAnsi="Arial" w:cs="Arial"/>
          <w:sz w:val="20"/>
          <w:szCs w:val="20"/>
        </w:rPr>
      </w:pPr>
    </w:p>
    <w:p w14:paraId="1F32E637" w14:textId="577F49F0" w:rsidR="00D010A5" w:rsidRDefault="00D010A5" w:rsidP="005611DE">
      <w:pPr>
        <w:pStyle w:val="Prrafodelista"/>
        <w:spacing w:line="288" w:lineRule="auto"/>
        <w:ind w:left="426"/>
        <w:jc w:val="both"/>
        <w:rPr>
          <w:rFonts w:ascii="Arial" w:hAnsi="Arial" w:cs="Arial"/>
          <w:sz w:val="20"/>
          <w:szCs w:val="20"/>
        </w:rPr>
      </w:pPr>
      <w:r w:rsidRPr="00F00325">
        <w:rPr>
          <w:rFonts w:ascii="Arial" w:hAnsi="Arial" w:cs="Arial"/>
          <w:sz w:val="20"/>
          <w:szCs w:val="20"/>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Pr>
          <w:rFonts w:ascii="Arial" w:hAnsi="Arial" w:cs="Arial"/>
          <w:sz w:val="20"/>
          <w:szCs w:val="20"/>
        </w:rPr>
        <w:t xml:space="preserve"> secretarias correspondientes. </w:t>
      </w:r>
    </w:p>
    <w:p w14:paraId="77FF3FB0" w14:textId="791891F3" w:rsidR="00CF754C" w:rsidRPr="00CF754C" w:rsidRDefault="005611DE" w:rsidP="00D010A5">
      <w:pPr>
        <w:spacing w:line="288" w:lineRule="auto"/>
        <w:jc w:val="both"/>
        <w:rPr>
          <w:rFonts w:ascii="Arial" w:hAnsi="Arial" w:cs="Arial"/>
          <w:sz w:val="20"/>
          <w:szCs w:val="20"/>
        </w:rPr>
      </w:pPr>
      <w:r>
        <w:rPr>
          <w:rFonts w:ascii="Arial" w:hAnsi="Arial" w:cs="Arial"/>
          <w:sz w:val="20"/>
          <w:szCs w:val="20"/>
        </w:rPr>
        <w:t>El pasado 7 de Agosto del presente ejercicio, se realiz</w:t>
      </w:r>
      <w:r w:rsidR="00524E52">
        <w:rPr>
          <w:rFonts w:ascii="Arial" w:hAnsi="Arial" w:cs="Arial"/>
          <w:sz w:val="20"/>
          <w:szCs w:val="20"/>
        </w:rPr>
        <w:t xml:space="preserve">ó la </w:t>
      </w:r>
      <w:r w:rsidR="00BD5210">
        <w:rPr>
          <w:rFonts w:ascii="Arial" w:hAnsi="Arial" w:cs="Arial"/>
          <w:sz w:val="20"/>
          <w:szCs w:val="20"/>
        </w:rPr>
        <w:t xml:space="preserve">Acta Entrega-Recepción Extraordinaria </w:t>
      </w:r>
      <w:r w:rsidR="00524E52">
        <w:rPr>
          <w:rFonts w:ascii="Arial" w:hAnsi="Arial" w:cs="Arial"/>
          <w:sz w:val="20"/>
          <w:szCs w:val="20"/>
        </w:rPr>
        <w:t xml:space="preserve">de la Comisión de </w:t>
      </w:r>
      <w:r w:rsidR="00CF754C">
        <w:rPr>
          <w:rFonts w:ascii="Arial" w:hAnsi="Arial" w:cs="Arial"/>
          <w:sz w:val="20"/>
          <w:szCs w:val="20"/>
        </w:rPr>
        <w:t>Vivienda</w:t>
      </w:r>
      <w:r w:rsidR="00524E52">
        <w:rPr>
          <w:rFonts w:ascii="Arial" w:hAnsi="Arial" w:cs="Arial"/>
          <w:sz w:val="20"/>
          <w:szCs w:val="20"/>
        </w:rPr>
        <w:t xml:space="preserve"> del Estado de Guanajuato a la Secretar</w:t>
      </w:r>
      <w:r w:rsidR="00CF754C">
        <w:rPr>
          <w:rFonts w:ascii="Arial" w:hAnsi="Arial" w:cs="Arial"/>
          <w:sz w:val="20"/>
          <w:szCs w:val="20"/>
        </w:rPr>
        <w:t>ía de</w:t>
      </w:r>
      <w:r w:rsidR="00524E52">
        <w:rPr>
          <w:rFonts w:ascii="Arial" w:hAnsi="Arial" w:cs="Arial"/>
          <w:sz w:val="20"/>
          <w:szCs w:val="20"/>
        </w:rPr>
        <w:t xml:space="preserve"> Medio Ambiente y Ordenamiento Territorial </w:t>
      </w:r>
      <w:r w:rsidR="00CF754C">
        <w:rPr>
          <w:rFonts w:ascii="Arial" w:hAnsi="Arial" w:cs="Arial"/>
          <w:sz w:val="20"/>
          <w:szCs w:val="20"/>
        </w:rPr>
        <w:t xml:space="preserve">en </w:t>
      </w:r>
      <w:r w:rsidR="00BD5210">
        <w:rPr>
          <w:rFonts w:ascii="Arial" w:hAnsi="Arial" w:cs="Arial"/>
          <w:sz w:val="20"/>
          <w:szCs w:val="20"/>
        </w:rPr>
        <w:t>a</w:t>
      </w:r>
      <w:r w:rsidR="00DD1B95">
        <w:rPr>
          <w:rFonts w:ascii="Arial" w:hAnsi="Arial" w:cs="Arial"/>
          <w:sz w:val="20"/>
          <w:szCs w:val="20"/>
        </w:rPr>
        <w:t>pego a los</w:t>
      </w:r>
      <w:r w:rsidR="00BD5210">
        <w:rPr>
          <w:rFonts w:ascii="Arial" w:hAnsi="Arial" w:cs="Arial"/>
          <w:sz w:val="20"/>
          <w:szCs w:val="20"/>
        </w:rPr>
        <w:t xml:space="preserve"> D</w:t>
      </w:r>
      <w:r w:rsidR="00CF754C" w:rsidRPr="00CF754C">
        <w:rPr>
          <w:rFonts w:ascii="Arial" w:hAnsi="Arial" w:cs="Arial"/>
          <w:sz w:val="20"/>
          <w:szCs w:val="20"/>
        </w:rPr>
        <w:t>ecreto</w:t>
      </w:r>
      <w:r w:rsidR="00DD1B95">
        <w:rPr>
          <w:rFonts w:ascii="Arial" w:hAnsi="Arial" w:cs="Arial"/>
          <w:sz w:val="20"/>
          <w:szCs w:val="20"/>
        </w:rPr>
        <w:t>s</w:t>
      </w:r>
      <w:r w:rsidR="00CF754C" w:rsidRPr="00CF754C">
        <w:rPr>
          <w:rFonts w:ascii="Arial" w:hAnsi="Arial" w:cs="Arial"/>
          <w:sz w:val="20"/>
          <w:szCs w:val="20"/>
        </w:rPr>
        <w:t xml:space="preserve"> </w:t>
      </w:r>
      <w:r w:rsidR="00BD5210">
        <w:rPr>
          <w:rFonts w:ascii="Arial" w:hAnsi="Arial" w:cs="Arial"/>
          <w:sz w:val="20"/>
          <w:szCs w:val="20"/>
        </w:rPr>
        <w:t>G</w:t>
      </w:r>
      <w:r w:rsidR="00CF754C" w:rsidRPr="00CF754C">
        <w:rPr>
          <w:rFonts w:ascii="Arial" w:hAnsi="Arial" w:cs="Arial"/>
          <w:sz w:val="20"/>
          <w:szCs w:val="20"/>
        </w:rPr>
        <w:t>ubernativo</w:t>
      </w:r>
      <w:r w:rsidR="00DD1B95">
        <w:rPr>
          <w:rFonts w:ascii="Arial" w:hAnsi="Arial" w:cs="Arial"/>
          <w:sz w:val="20"/>
          <w:szCs w:val="20"/>
        </w:rPr>
        <w:t>s</w:t>
      </w:r>
      <w:r w:rsidR="00CF754C" w:rsidRPr="00CF754C">
        <w:rPr>
          <w:rFonts w:ascii="Arial" w:hAnsi="Arial" w:cs="Arial"/>
          <w:sz w:val="20"/>
          <w:szCs w:val="20"/>
        </w:rPr>
        <w:t xml:space="preserve"> 332</w:t>
      </w:r>
      <w:r w:rsidR="00DD1B95">
        <w:rPr>
          <w:rFonts w:ascii="Arial" w:hAnsi="Arial" w:cs="Arial"/>
          <w:sz w:val="20"/>
          <w:szCs w:val="20"/>
        </w:rPr>
        <w:t xml:space="preserve"> y 341, ambos publicados en el Periódico Oficial del Estado de Guanajuato número 190, décima tercera parte,</w:t>
      </w:r>
      <w:r w:rsidR="00CF754C" w:rsidRPr="00CF754C">
        <w:rPr>
          <w:rFonts w:ascii="Arial" w:hAnsi="Arial" w:cs="Arial"/>
          <w:sz w:val="20"/>
          <w:szCs w:val="20"/>
        </w:rPr>
        <w:t xml:space="preserve"> de</w:t>
      </w:r>
      <w:r w:rsidR="00CF754C">
        <w:rPr>
          <w:rFonts w:ascii="Arial" w:hAnsi="Arial" w:cs="Arial"/>
          <w:sz w:val="20"/>
          <w:szCs w:val="20"/>
        </w:rPr>
        <w:t xml:space="preserve"> fecha 21 de septiembre de 2018.</w:t>
      </w:r>
    </w:p>
    <w:p w14:paraId="7EB68E4A" w14:textId="77777777" w:rsidR="00D010A5" w:rsidRPr="00C137AC" w:rsidRDefault="00D010A5" w:rsidP="00D010A5">
      <w:pPr>
        <w:pStyle w:val="Texto"/>
        <w:tabs>
          <w:tab w:val="left" w:pos="709"/>
        </w:tabs>
        <w:spacing w:after="0" w:line="288" w:lineRule="auto"/>
        <w:ind w:firstLine="284"/>
        <w:rPr>
          <w:b/>
          <w:sz w:val="20"/>
          <w:lang w:val="es-MX"/>
        </w:rPr>
      </w:pPr>
      <w:r w:rsidRPr="00C137AC">
        <w:rPr>
          <w:b/>
          <w:sz w:val="20"/>
          <w:lang w:val="es-MX"/>
        </w:rPr>
        <w:t>4.</w:t>
      </w:r>
      <w:r w:rsidRPr="00C137AC">
        <w:rPr>
          <w:b/>
          <w:sz w:val="20"/>
          <w:lang w:val="es-MX"/>
        </w:rPr>
        <w:tab/>
        <w:t>Organización y Objeto Social</w:t>
      </w:r>
    </w:p>
    <w:p w14:paraId="3C7DA392" w14:textId="77777777" w:rsidR="00D010A5" w:rsidRPr="00C137AC" w:rsidRDefault="00D010A5" w:rsidP="00D010A5">
      <w:pPr>
        <w:pStyle w:val="Texto"/>
        <w:spacing w:after="0" w:line="288" w:lineRule="auto"/>
        <w:ind w:left="12" w:firstLine="708"/>
        <w:rPr>
          <w:sz w:val="20"/>
        </w:rPr>
      </w:pPr>
      <w:r w:rsidRPr="00C137AC">
        <w:rPr>
          <w:sz w:val="20"/>
        </w:rPr>
        <w:t>Se informará sobre:</w:t>
      </w:r>
    </w:p>
    <w:p w14:paraId="3AF8E717" w14:textId="77777777" w:rsidR="00D010A5" w:rsidRDefault="00D010A5" w:rsidP="00D010A5">
      <w:pPr>
        <w:pStyle w:val="INCISO"/>
        <w:spacing w:after="0" w:line="288" w:lineRule="auto"/>
        <w:ind w:firstLine="0"/>
        <w:rPr>
          <w:sz w:val="20"/>
          <w:szCs w:val="20"/>
        </w:rPr>
      </w:pPr>
    </w:p>
    <w:p w14:paraId="79C62908" w14:textId="77777777" w:rsidR="00D010A5" w:rsidRDefault="00D010A5" w:rsidP="00D010A5">
      <w:pPr>
        <w:pStyle w:val="INCISO"/>
        <w:numPr>
          <w:ilvl w:val="0"/>
          <w:numId w:val="3"/>
        </w:numPr>
        <w:spacing w:after="0" w:line="288" w:lineRule="auto"/>
        <w:rPr>
          <w:sz w:val="20"/>
          <w:szCs w:val="20"/>
        </w:rPr>
      </w:pPr>
      <w:r w:rsidRPr="00C137AC">
        <w:rPr>
          <w:sz w:val="20"/>
          <w:szCs w:val="20"/>
        </w:rPr>
        <w:t>Objeto social</w:t>
      </w:r>
    </w:p>
    <w:p w14:paraId="42210347" w14:textId="77777777" w:rsidR="00D010A5" w:rsidRPr="0072340C" w:rsidRDefault="00D010A5" w:rsidP="00D010A5">
      <w:pPr>
        <w:pStyle w:val="INCISO"/>
        <w:spacing w:after="0" w:line="288" w:lineRule="auto"/>
        <w:ind w:left="0" w:firstLine="0"/>
        <w:rPr>
          <w:sz w:val="10"/>
          <w:szCs w:val="10"/>
        </w:rPr>
      </w:pPr>
    </w:p>
    <w:p w14:paraId="07879FE0" w14:textId="4DD0F62C" w:rsidR="00D010A5" w:rsidRDefault="00D010A5" w:rsidP="00D010A5">
      <w:pPr>
        <w:spacing w:line="288" w:lineRule="auto"/>
        <w:jc w:val="both"/>
        <w:rPr>
          <w:rFonts w:ascii="Arial" w:hAnsi="Arial" w:cs="Arial"/>
          <w:sz w:val="20"/>
          <w:szCs w:val="20"/>
        </w:rPr>
      </w:pPr>
      <w:r w:rsidRPr="009F39B8">
        <w:rPr>
          <w:rFonts w:ascii="Arial" w:hAnsi="Arial" w:cs="Arial"/>
          <w:sz w:val="20"/>
          <w:szCs w:val="20"/>
        </w:rPr>
        <w:t>La Comisión de Viv</w:t>
      </w:r>
      <w:r w:rsidR="00931556">
        <w:rPr>
          <w:rFonts w:ascii="Arial" w:hAnsi="Arial" w:cs="Arial"/>
          <w:sz w:val="20"/>
          <w:szCs w:val="20"/>
        </w:rPr>
        <w:t>ienda del Estado de Guanajuato era la</w:t>
      </w:r>
      <w:r w:rsidRPr="009F39B8">
        <w:rPr>
          <w:rFonts w:ascii="Arial" w:hAnsi="Arial" w:cs="Arial"/>
          <w:sz w:val="20"/>
          <w:szCs w:val="20"/>
        </w:rPr>
        <w:t xml:space="preserve"> responsable de la ejecución, promoción y control de la</w:t>
      </w:r>
      <w:r w:rsidR="00931556">
        <w:rPr>
          <w:rFonts w:ascii="Arial" w:hAnsi="Arial" w:cs="Arial"/>
          <w:sz w:val="20"/>
          <w:szCs w:val="20"/>
        </w:rPr>
        <w:t>s</w:t>
      </w:r>
      <w:r w:rsidRPr="009F39B8">
        <w:rPr>
          <w:rFonts w:ascii="Arial" w:hAnsi="Arial" w:cs="Arial"/>
          <w:sz w:val="20"/>
          <w:szCs w:val="20"/>
        </w:rPr>
        <w:t xml:space="preserve"> acciones de vivienda y suelo para vivienda del Gobierno del Estado de Guanajuato.</w:t>
      </w:r>
    </w:p>
    <w:p w14:paraId="0423E5AC" w14:textId="77777777" w:rsidR="00D010A5" w:rsidRDefault="00D010A5" w:rsidP="00D010A5">
      <w:pPr>
        <w:pStyle w:val="INCISO"/>
        <w:numPr>
          <w:ilvl w:val="0"/>
          <w:numId w:val="3"/>
        </w:numPr>
        <w:spacing w:after="0" w:line="288" w:lineRule="auto"/>
        <w:rPr>
          <w:sz w:val="20"/>
          <w:szCs w:val="20"/>
        </w:rPr>
      </w:pPr>
      <w:r w:rsidRPr="00C137AC">
        <w:rPr>
          <w:sz w:val="20"/>
          <w:szCs w:val="20"/>
        </w:rPr>
        <w:t>Principal actividad</w:t>
      </w:r>
    </w:p>
    <w:p w14:paraId="702EB140" w14:textId="77777777" w:rsidR="00D010A5" w:rsidRPr="0072340C" w:rsidRDefault="00D010A5" w:rsidP="00D010A5">
      <w:pPr>
        <w:pStyle w:val="INCISO"/>
        <w:spacing w:after="0" w:line="288" w:lineRule="auto"/>
        <w:ind w:left="0" w:firstLine="0"/>
        <w:rPr>
          <w:sz w:val="10"/>
          <w:szCs w:val="10"/>
        </w:rPr>
      </w:pPr>
    </w:p>
    <w:p w14:paraId="4A52E62D" w14:textId="1D1C78E4" w:rsidR="00D010A5" w:rsidRPr="00F00325" w:rsidRDefault="00D010A5" w:rsidP="00D010A5">
      <w:pPr>
        <w:spacing w:line="288" w:lineRule="auto"/>
        <w:jc w:val="both"/>
        <w:rPr>
          <w:rFonts w:ascii="Arial" w:hAnsi="Arial" w:cs="Arial"/>
          <w:sz w:val="20"/>
          <w:szCs w:val="20"/>
        </w:rPr>
      </w:pPr>
      <w:r w:rsidRPr="009F39B8">
        <w:rPr>
          <w:rFonts w:ascii="Arial" w:hAnsi="Arial" w:cs="Arial"/>
          <w:sz w:val="20"/>
          <w:szCs w:val="20"/>
        </w:rPr>
        <w:t>Las principa</w:t>
      </w:r>
      <w:r>
        <w:rPr>
          <w:rFonts w:ascii="Arial" w:hAnsi="Arial" w:cs="Arial"/>
          <w:sz w:val="20"/>
          <w:szCs w:val="20"/>
        </w:rPr>
        <w:t xml:space="preserve">les atribuciones </w:t>
      </w:r>
      <w:r w:rsidR="00931556">
        <w:rPr>
          <w:rFonts w:ascii="Arial" w:hAnsi="Arial" w:cs="Arial"/>
          <w:sz w:val="20"/>
          <w:szCs w:val="20"/>
        </w:rPr>
        <w:t>que tenía la</w:t>
      </w:r>
      <w:r>
        <w:rPr>
          <w:rFonts w:ascii="Arial" w:hAnsi="Arial" w:cs="Arial"/>
          <w:sz w:val="20"/>
          <w:szCs w:val="20"/>
        </w:rPr>
        <w:t xml:space="preserve"> COVEG se encontraban descritas en el artículo 24 del Código</w:t>
      </w:r>
      <w:r w:rsidRPr="009F39B8">
        <w:rPr>
          <w:rFonts w:ascii="Arial" w:hAnsi="Arial" w:cs="Arial"/>
          <w:sz w:val="20"/>
          <w:szCs w:val="20"/>
        </w:rPr>
        <w:t xml:space="preserve"> Territorial para el Estado y los Municipios de Guanajuato </w:t>
      </w:r>
      <w:r>
        <w:rPr>
          <w:rFonts w:ascii="Arial" w:hAnsi="Arial" w:cs="Arial"/>
          <w:sz w:val="20"/>
          <w:szCs w:val="20"/>
        </w:rPr>
        <w:t>(artículo derogado P.O. 21-09-2018)</w:t>
      </w:r>
    </w:p>
    <w:p w14:paraId="695524FC" w14:textId="77777777" w:rsidR="00D010A5" w:rsidRDefault="00D010A5" w:rsidP="00D010A5">
      <w:pPr>
        <w:pStyle w:val="INCISO"/>
        <w:numPr>
          <w:ilvl w:val="0"/>
          <w:numId w:val="3"/>
        </w:numPr>
        <w:spacing w:after="0" w:line="288" w:lineRule="auto"/>
        <w:rPr>
          <w:sz w:val="20"/>
          <w:szCs w:val="20"/>
        </w:rPr>
      </w:pPr>
      <w:r w:rsidRPr="00C137AC">
        <w:rPr>
          <w:sz w:val="20"/>
          <w:szCs w:val="20"/>
        </w:rPr>
        <w:t>Ejercicio fiscal</w:t>
      </w:r>
    </w:p>
    <w:p w14:paraId="0278D32F" w14:textId="77777777" w:rsidR="00D010A5" w:rsidRPr="00844FAC" w:rsidRDefault="00D010A5" w:rsidP="00D010A5">
      <w:pPr>
        <w:pStyle w:val="INCISO"/>
        <w:spacing w:after="0" w:line="288" w:lineRule="auto"/>
        <w:ind w:firstLine="0"/>
        <w:rPr>
          <w:sz w:val="10"/>
          <w:szCs w:val="10"/>
        </w:rPr>
      </w:pPr>
    </w:p>
    <w:p w14:paraId="6F77774B" w14:textId="132ADB8F" w:rsidR="00D010A5" w:rsidRPr="005611DE" w:rsidRDefault="003C4ADF" w:rsidP="00D010A5">
      <w:pPr>
        <w:pStyle w:val="INCISO"/>
        <w:spacing w:after="0" w:line="288" w:lineRule="auto"/>
        <w:ind w:left="0" w:firstLine="0"/>
        <w:rPr>
          <w:sz w:val="20"/>
          <w:szCs w:val="20"/>
          <w:lang w:val="es-MX"/>
        </w:rPr>
      </w:pPr>
      <w:r w:rsidRPr="003C4ADF">
        <w:rPr>
          <w:rFonts w:eastAsia="Calibri"/>
          <w:sz w:val="20"/>
          <w:szCs w:val="20"/>
          <w:lang w:val="es-MX" w:eastAsia="en-US"/>
        </w:rPr>
        <w:t>El ejercicio fiscal es de Enero a Diciembre de 2021, y el que se informa es el correspondiente al 31 de marzo de 2021.</w:t>
      </w:r>
    </w:p>
    <w:p w14:paraId="55286D0F" w14:textId="77777777" w:rsidR="00D010A5" w:rsidRDefault="00D010A5" w:rsidP="00D010A5">
      <w:pPr>
        <w:pStyle w:val="INCISO"/>
        <w:numPr>
          <w:ilvl w:val="0"/>
          <w:numId w:val="3"/>
        </w:numPr>
        <w:spacing w:after="0" w:line="288" w:lineRule="auto"/>
        <w:rPr>
          <w:sz w:val="20"/>
          <w:szCs w:val="20"/>
        </w:rPr>
      </w:pPr>
      <w:r w:rsidRPr="00C137AC">
        <w:rPr>
          <w:sz w:val="20"/>
          <w:szCs w:val="20"/>
        </w:rPr>
        <w:t>Régimen jurídico</w:t>
      </w:r>
    </w:p>
    <w:p w14:paraId="0AECB92F" w14:textId="77777777" w:rsidR="00D010A5" w:rsidRPr="0072340C" w:rsidRDefault="00D010A5" w:rsidP="00D010A5">
      <w:pPr>
        <w:pStyle w:val="INCISO"/>
        <w:spacing w:after="0" w:line="288" w:lineRule="auto"/>
        <w:ind w:left="0" w:firstLine="0"/>
        <w:rPr>
          <w:sz w:val="10"/>
          <w:szCs w:val="10"/>
        </w:rPr>
      </w:pPr>
    </w:p>
    <w:p w14:paraId="368906A8" w14:textId="77777777" w:rsidR="00D010A5" w:rsidRPr="00D03FD1" w:rsidRDefault="00D010A5" w:rsidP="00D010A5">
      <w:pPr>
        <w:spacing w:line="288" w:lineRule="auto"/>
        <w:jc w:val="both"/>
        <w:rPr>
          <w:rFonts w:ascii="Arial" w:hAnsi="Arial" w:cs="Arial"/>
          <w:sz w:val="20"/>
          <w:szCs w:val="20"/>
        </w:rPr>
      </w:pPr>
      <w:r w:rsidRPr="009F39B8">
        <w:rPr>
          <w:rFonts w:ascii="Arial" w:hAnsi="Arial" w:cs="Arial"/>
          <w:sz w:val="20"/>
          <w:szCs w:val="20"/>
        </w:rPr>
        <w:t>La Comisión de Vivienda del Estado de Guanajuato está registrada ante la S.H.C.P. como Persona Moral con fines no lucrativos (Título III de la Ley de I.S.R)</w:t>
      </w:r>
    </w:p>
    <w:p w14:paraId="41D138EB" w14:textId="77777777" w:rsidR="00D010A5" w:rsidRDefault="00D010A5" w:rsidP="00D010A5">
      <w:pPr>
        <w:pStyle w:val="INCISO"/>
        <w:numPr>
          <w:ilvl w:val="0"/>
          <w:numId w:val="3"/>
        </w:numPr>
        <w:spacing w:after="0" w:line="288" w:lineRule="auto"/>
        <w:rPr>
          <w:sz w:val="20"/>
          <w:szCs w:val="20"/>
        </w:rPr>
      </w:pPr>
      <w:r w:rsidRPr="00C137AC">
        <w:rPr>
          <w:sz w:val="20"/>
          <w:szCs w:val="20"/>
        </w:rPr>
        <w:t>Consideraciones fiscales del ente: revelar el tipo de contribuciones que esté obligado a pagar o retener.</w:t>
      </w:r>
    </w:p>
    <w:p w14:paraId="128159B4" w14:textId="77777777" w:rsidR="00D010A5" w:rsidRPr="0072340C" w:rsidRDefault="00D010A5" w:rsidP="00D010A5">
      <w:pPr>
        <w:pStyle w:val="INCISO"/>
        <w:spacing w:after="0" w:line="288" w:lineRule="auto"/>
        <w:rPr>
          <w:sz w:val="10"/>
          <w:szCs w:val="10"/>
        </w:rPr>
      </w:pPr>
    </w:p>
    <w:p w14:paraId="075B0910" w14:textId="77777777" w:rsidR="00D010A5" w:rsidRPr="009F39B8" w:rsidRDefault="00D010A5" w:rsidP="00D010A5">
      <w:pPr>
        <w:spacing w:line="312" w:lineRule="auto"/>
        <w:jc w:val="both"/>
        <w:rPr>
          <w:rFonts w:ascii="Arial" w:hAnsi="Arial" w:cs="Arial"/>
          <w:sz w:val="20"/>
          <w:szCs w:val="20"/>
        </w:rPr>
      </w:pPr>
      <w:r w:rsidRPr="009F39B8">
        <w:rPr>
          <w:rFonts w:ascii="Arial" w:hAnsi="Arial" w:cs="Arial"/>
          <w:sz w:val="20"/>
          <w:szCs w:val="20"/>
        </w:rPr>
        <w:t>La COVEG se ubica dentro de las personas morales a que se refiere al art. 95 y 102 de la L.I.S.R., por lo que de acuerdo con el art. 93 de la misma ley no se consideran como contribuyente del I.S.R. Pero tiene otras obligaciones como:</w:t>
      </w:r>
    </w:p>
    <w:p w14:paraId="4A7766E8"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Presentar la declaración y pago provisional mensual de retenciones del Impuesto Sobre la Renta (ISR) por sueldos y salarios.</w:t>
      </w:r>
    </w:p>
    <w:p w14:paraId="61B39FAE"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Presentar la declaración anual del ISR donde se informe sobre los pagos y retenciones de servicios profesionales.</w:t>
      </w:r>
    </w:p>
    <w:p w14:paraId="4301C867"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Presentar la declaración anual donde se informe sobre las retenciones de los trabajadores que recibieron sueldos y salarios y trabajadores asimilados a salarios.</w:t>
      </w:r>
    </w:p>
    <w:p w14:paraId="3671EA5D" w14:textId="77777777" w:rsidR="00D010A5" w:rsidRPr="009F39B8"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lastRenderedPageBreak/>
        <w:t>Presentar la declaración y pago provisional mensual del ISR por las retenciones realizadas por servicios profesionales</w:t>
      </w:r>
    </w:p>
    <w:p w14:paraId="4B38CE8C" w14:textId="77777777" w:rsidR="00D010A5" w:rsidRDefault="00D010A5" w:rsidP="00D010A5">
      <w:pPr>
        <w:numPr>
          <w:ilvl w:val="0"/>
          <w:numId w:val="4"/>
        </w:numPr>
        <w:spacing w:after="0" w:line="312" w:lineRule="auto"/>
        <w:ind w:left="714" w:hanging="357"/>
        <w:jc w:val="both"/>
        <w:rPr>
          <w:rFonts w:ascii="Arial" w:hAnsi="Arial" w:cs="Arial"/>
          <w:sz w:val="20"/>
          <w:szCs w:val="20"/>
        </w:rPr>
      </w:pPr>
      <w:r w:rsidRPr="009F39B8">
        <w:rPr>
          <w:rFonts w:ascii="Arial" w:hAnsi="Arial" w:cs="Arial"/>
          <w:sz w:val="20"/>
          <w:szCs w:val="20"/>
        </w:rPr>
        <w:t>Impuesto sobre n</w:t>
      </w:r>
      <w:r w:rsidRPr="002F7D70">
        <w:rPr>
          <w:rFonts w:ascii="Arial" w:hAnsi="Arial" w:cs="Arial"/>
          <w:sz w:val="20"/>
          <w:szCs w:val="20"/>
        </w:rPr>
        <w:t>ómina.</w:t>
      </w:r>
    </w:p>
    <w:p w14:paraId="5D58A5C0" w14:textId="77777777" w:rsidR="00D010A5" w:rsidRPr="0014027D" w:rsidRDefault="00D010A5" w:rsidP="00D010A5">
      <w:pPr>
        <w:numPr>
          <w:ilvl w:val="0"/>
          <w:numId w:val="4"/>
        </w:numPr>
        <w:spacing w:after="0" w:line="312" w:lineRule="auto"/>
        <w:ind w:left="714" w:hanging="357"/>
        <w:jc w:val="both"/>
        <w:rPr>
          <w:rFonts w:ascii="Arial" w:hAnsi="Arial" w:cs="Arial"/>
          <w:sz w:val="20"/>
          <w:szCs w:val="20"/>
        </w:rPr>
      </w:pPr>
      <w:r>
        <w:rPr>
          <w:rFonts w:ascii="Arial" w:hAnsi="Arial" w:cs="Arial"/>
          <w:sz w:val="20"/>
          <w:szCs w:val="20"/>
        </w:rPr>
        <w:t>Impuesto cedular sobre las retenciones de servicios profesionales.</w:t>
      </w:r>
    </w:p>
    <w:p w14:paraId="02DE6DA3" w14:textId="77777777" w:rsidR="00D010A5" w:rsidRDefault="00D010A5" w:rsidP="00D010A5">
      <w:pPr>
        <w:pStyle w:val="INCISO"/>
        <w:numPr>
          <w:ilvl w:val="0"/>
          <w:numId w:val="3"/>
        </w:numPr>
        <w:spacing w:after="0" w:line="240" w:lineRule="exact"/>
        <w:rPr>
          <w:sz w:val="20"/>
          <w:szCs w:val="20"/>
        </w:rPr>
      </w:pPr>
      <w:r w:rsidRPr="00C137AC">
        <w:rPr>
          <w:sz w:val="20"/>
          <w:szCs w:val="20"/>
        </w:rPr>
        <w:t>Estructura organizacional básica</w:t>
      </w:r>
    </w:p>
    <w:p w14:paraId="2A20BBB7" w14:textId="77777777" w:rsidR="00D010A5" w:rsidRDefault="00D010A5" w:rsidP="00D010A5">
      <w:pPr>
        <w:pStyle w:val="INCISO"/>
        <w:spacing w:after="0" w:line="240" w:lineRule="exact"/>
        <w:rPr>
          <w:noProof/>
          <w:sz w:val="20"/>
          <w:szCs w:val="20"/>
          <w:lang w:val="es-MX" w:eastAsia="es-MX"/>
        </w:rPr>
      </w:pPr>
    </w:p>
    <w:p w14:paraId="44CE297C" w14:textId="4FC9A183" w:rsidR="00D010A5" w:rsidRDefault="00D010A5" w:rsidP="00D010A5">
      <w:pPr>
        <w:pStyle w:val="INCISO"/>
        <w:spacing w:after="0" w:line="240" w:lineRule="exact"/>
        <w:ind w:left="0" w:firstLine="0"/>
        <w:rPr>
          <w:sz w:val="20"/>
          <w:szCs w:val="20"/>
        </w:rPr>
      </w:pPr>
      <w:r>
        <w:rPr>
          <w:noProof/>
          <w:sz w:val="20"/>
          <w:szCs w:val="20"/>
          <w:lang w:val="es-MX" w:eastAsia="es-MX"/>
        </w:rPr>
        <w:t xml:space="preserve">La estructura organizacional de la </w:t>
      </w:r>
      <w:r w:rsidR="00931556">
        <w:rPr>
          <w:noProof/>
          <w:sz w:val="20"/>
          <w:szCs w:val="20"/>
          <w:lang w:val="es-MX" w:eastAsia="es-MX"/>
        </w:rPr>
        <w:t xml:space="preserve">extinta </w:t>
      </w:r>
      <w:r>
        <w:rPr>
          <w:noProof/>
          <w:sz w:val="20"/>
          <w:szCs w:val="20"/>
          <w:lang w:val="es-MX" w:eastAsia="es-MX"/>
        </w:rPr>
        <w:t xml:space="preserve">COVEG se encuentra en proceso de actualización derivado del proceso de entrega recepción </w:t>
      </w:r>
      <w:r w:rsidR="00931556">
        <w:rPr>
          <w:noProof/>
          <w:sz w:val="20"/>
          <w:szCs w:val="20"/>
          <w:lang w:val="es-MX" w:eastAsia="es-MX"/>
        </w:rPr>
        <w:t xml:space="preserve">extraordinaria </w:t>
      </w:r>
      <w:r>
        <w:rPr>
          <w:noProof/>
          <w:sz w:val="20"/>
          <w:szCs w:val="20"/>
          <w:lang w:val="es-MX" w:eastAsia="es-MX"/>
        </w:rPr>
        <w:t>de la entidad.</w:t>
      </w:r>
    </w:p>
    <w:p w14:paraId="341A47E6" w14:textId="77777777" w:rsidR="00D010A5" w:rsidRPr="00C137AC" w:rsidRDefault="00D010A5" w:rsidP="00D010A5">
      <w:pPr>
        <w:pStyle w:val="INCISO"/>
        <w:spacing w:after="0" w:line="240" w:lineRule="exact"/>
        <w:ind w:left="0" w:firstLine="0"/>
        <w:rPr>
          <w:sz w:val="20"/>
          <w:szCs w:val="20"/>
        </w:rPr>
      </w:pPr>
    </w:p>
    <w:p w14:paraId="6F4511D4" w14:textId="77777777" w:rsidR="00D010A5" w:rsidRDefault="00D010A5" w:rsidP="00D010A5">
      <w:pPr>
        <w:pStyle w:val="INCISO"/>
        <w:spacing w:after="0" w:line="240" w:lineRule="exact"/>
        <w:rPr>
          <w:sz w:val="20"/>
          <w:szCs w:val="20"/>
        </w:rPr>
      </w:pPr>
      <w:r w:rsidRPr="00C137AC">
        <w:rPr>
          <w:sz w:val="20"/>
          <w:szCs w:val="20"/>
        </w:rPr>
        <w:t>g)   Fideicomisos, mandatos y análogos de los cuales es fideicomitente o fiduciario</w:t>
      </w:r>
    </w:p>
    <w:p w14:paraId="24A116AB" w14:textId="77777777" w:rsidR="00D010A5" w:rsidRDefault="00D010A5" w:rsidP="00D010A5">
      <w:pPr>
        <w:pStyle w:val="INCISO"/>
        <w:spacing w:after="0" w:line="240" w:lineRule="exact"/>
        <w:rPr>
          <w:sz w:val="20"/>
          <w:szCs w:val="20"/>
        </w:rPr>
      </w:pPr>
      <w:r>
        <w:rPr>
          <w:sz w:val="20"/>
          <w:szCs w:val="20"/>
        </w:rPr>
        <w:t>NO APLICA</w:t>
      </w:r>
    </w:p>
    <w:p w14:paraId="52EF64DA" w14:textId="77777777" w:rsidR="00D010A5" w:rsidRPr="00C137AC" w:rsidRDefault="00D010A5" w:rsidP="00D010A5">
      <w:pPr>
        <w:pStyle w:val="INCISO"/>
        <w:spacing w:after="0" w:line="240" w:lineRule="exact"/>
        <w:ind w:left="0" w:firstLine="0"/>
        <w:rPr>
          <w:sz w:val="20"/>
          <w:szCs w:val="20"/>
        </w:rPr>
      </w:pPr>
    </w:p>
    <w:p w14:paraId="44FCEB04" w14:textId="77777777" w:rsidR="00D010A5" w:rsidRPr="00D21803" w:rsidRDefault="00D010A5" w:rsidP="00D010A5">
      <w:pPr>
        <w:pStyle w:val="Texto"/>
        <w:spacing w:after="0" w:line="240" w:lineRule="exact"/>
        <w:rPr>
          <w:b/>
          <w:sz w:val="20"/>
          <w:lang w:val="es-MX"/>
        </w:rPr>
      </w:pPr>
      <w:r w:rsidRPr="00C137AC">
        <w:rPr>
          <w:b/>
          <w:sz w:val="20"/>
          <w:lang w:val="es-MX"/>
        </w:rPr>
        <w:t>5.</w:t>
      </w:r>
      <w:r w:rsidRPr="00C137AC">
        <w:rPr>
          <w:b/>
          <w:sz w:val="20"/>
          <w:lang w:val="es-MX"/>
        </w:rPr>
        <w:tab/>
        <w:t>Bases de Preparación de los Estados Financieros</w:t>
      </w:r>
    </w:p>
    <w:p w14:paraId="11858022" w14:textId="77777777" w:rsidR="00092A5D" w:rsidRDefault="00092A5D" w:rsidP="00D010A5">
      <w:pPr>
        <w:pStyle w:val="Texto"/>
        <w:spacing w:after="0" w:line="240" w:lineRule="exact"/>
        <w:rPr>
          <w:sz w:val="20"/>
        </w:rPr>
      </w:pPr>
    </w:p>
    <w:p w14:paraId="2950DFB3" w14:textId="52368B29" w:rsidR="00D010A5" w:rsidRPr="00C137AC" w:rsidRDefault="00D010A5" w:rsidP="00D010A5">
      <w:pPr>
        <w:pStyle w:val="Texto"/>
        <w:spacing w:after="0" w:line="240" w:lineRule="exact"/>
        <w:rPr>
          <w:sz w:val="20"/>
        </w:rPr>
      </w:pPr>
      <w:r w:rsidRPr="00C137AC">
        <w:rPr>
          <w:sz w:val="20"/>
        </w:rPr>
        <w:t>Se informará sobre:</w:t>
      </w:r>
    </w:p>
    <w:p w14:paraId="627E069A" w14:textId="77777777" w:rsidR="00D010A5" w:rsidRDefault="00D010A5" w:rsidP="00D010A5">
      <w:pPr>
        <w:pStyle w:val="INCISO"/>
        <w:numPr>
          <w:ilvl w:val="0"/>
          <w:numId w:val="16"/>
        </w:numPr>
        <w:spacing w:after="0" w:line="312" w:lineRule="auto"/>
        <w:rPr>
          <w:sz w:val="20"/>
          <w:szCs w:val="20"/>
        </w:rPr>
      </w:pPr>
      <w:r w:rsidRPr="00C137AC">
        <w:rPr>
          <w:sz w:val="20"/>
          <w:szCs w:val="20"/>
        </w:rPr>
        <w:t>Si se ha observado la normatividad emitida por el CONAC y las disposiciones legales aplicables.</w:t>
      </w:r>
    </w:p>
    <w:p w14:paraId="17D037E3" w14:textId="77777777" w:rsidR="00D010A5" w:rsidRPr="00D21803" w:rsidRDefault="00D010A5" w:rsidP="00D010A5">
      <w:pPr>
        <w:pStyle w:val="INCISO"/>
        <w:spacing w:after="0" w:line="312" w:lineRule="auto"/>
        <w:ind w:firstLine="0"/>
        <w:rPr>
          <w:sz w:val="10"/>
          <w:szCs w:val="10"/>
        </w:rPr>
      </w:pPr>
    </w:p>
    <w:p w14:paraId="5DD9DFB0" w14:textId="538196C2" w:rsidR="00D010A5" w:rsidRDefault="00D010A5" w:rsidP="00092A5D">
      <w:pPr>
        <w:spacing w:line="312" w:lineRule="auto"/>
        <w:jc w:val="both"/>
        <w:rPr>
          <w:sz w:val="20"/>
          <w:szCs w:val="20"/>
        </w:rPr>
      </w:pPr>
      <w:r w:rsidRPr="00A97AA6">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w:t>
      </w:r>
      <w:r w:rsidR="00092A5D">
        <w:rPr>
          <w:rFonts w:ascii="Arial" w:hAnsi="Arial" w:cs="Arial"/>
          <w:sz w:val="20"/>
          <w:szCs w:val="20"/>
        </w:rPr>
        <w:t xml:space="preserve"> </w:t>
      </w:r>
      <w:r w:rsidRPr="00A97AA6">
        <w:rPr>
          <w:rFonts w:ascii="Arial" w:hAnsi="Arial" w:cs="Arial"/>
          <w:sz w:val="20"/>
          <w:szCs w:val="20"/>
        </w:rPr>
        <w:t>Contable (CONAC).</w:t>
      </w:r>
    </w:p>
    <w:p w14:paraId="0A674A91" w14:textId="77777777" w:rsidR="00D010A5" w:rsidRPr="00D21803" w:rsidRDefault="00D010A5" w:rsidP="00D010A5">
      <w:pPr>
        <w:pStyle w:val="INCISO"/>
        <w:spacing w:after="0" w:line="312" w:lineRule="auto"/>
        <w:rPr>
          <w:sz w:val="20"/>
          <w:szCs w:val="20"/>
        </w:rPr>
      </w:pPr>
      <w:r w:rsidRPr="00C137AC">
        <w:rPr>
          <w:sz w:val="20"/>
          <w:szCs w:val="20"/>
        </w:rPr>
        <w:t>b)</w:t>
      </w:r>
      <w:r w:rsidRPr="00C137AC">
        <w:rPr>
          <w:sz w:val="20"/>
          <w:szCs w:val="20"/>
        </w:rPr>
        <w:tab/>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C137AC">
        <w:rPr>
          <w:sz w:val="20"/>
          <w:szCs w:val="20"/>
        </w:rPr>
        <w:t>los mismos</w:t>
      </w:r>
      <w:proofErr w:type="gramEnd"/>
      <w:r w:rsidRPr="00C137AC">
        <w:rPr>
          <w:sz w:val="20"/>
          <w:szCs w:val="20"/>
        </w:rPr>
        <w:t>.</w:t>
      </w:r>
    </w:p>
    <w:p w14:paraId="5CD7C90E" w14:textId="77777777" w:rsidR="00092A5D" w:rsidRDefault="00092A5D" w:rsidP="00D010A5">
      <w:pPr>
        <w:spacing w:line="312" w:lineRule="auto"/>
        <w:jc w:val="both"/>
        <w:rPr>
          <w:rFonts w:ascii="Arial" w:hAnsi="Arial" w:cs="Arial"/>
          <w:sz w:val="20"/>
          <w:szCs w:val="20"/>
        </w:rPr>
      </w:pPr>
    </w:p>
    <w:p w14:paraId="36D74C01" w14:textId="2D8184FE" w:rsidR="00D010A5" w:rsidRDefault="00D010A5" w:rsidP="00D010A5">
      <w:pPr>
        <w:spacing w:line="312" w:lineRule="auto"/>
        <w:jc w:val="both"/>
        <w:rPr>
          <w:rFonts w:ascii="Arial" w:hAnsi="Arial" w:cs="Arial"/>
          <w:sz w:val="20"/>
          <w:szCs w:val="20"/>
        </w:rPr>
      </w:pPr>
      <w:r w:rsidRPr="00A97AA6">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Default="00D010A5" w:rsidP="00291EBD">
      <w:pPr>
        <w:pStyle w:val="INCISO"/>
        <w:numPr>
          <w:ilvl w:val="0"/>
          <w:numId w:val="20"/>
        </w:numPr>
        <w:spacing w:after="0" w:line="312" w:lineRule="auto"/>
        <w:rPr>
          <w:sz w:val="20"/>
          <w:szCs w:val="20"/>
        </w:rPr>
      </w:pPr>
      <w:r w:rsidRPr="00C137AC">
        <w:rPr>
          <w:sz w:val="20"/>
          <w:szCs w:val="20"/>
        </w:rPr>
        <w:t>Postulados básicos.</w:t>
      </w:r>
    </w:p>
    <w:p w14:paraId="2F537419" w14:textId="77777777" w:rsidR="00D010A5" w:rsidRPr="00D21803" w:rsidRDefault="00D010A5" w:rsidP="00D010A5">
      <w:pPr>
        <w:pStyle w:val="INCISO"/>
        <w:spacing w:after="0" w:line="312" w:lineRule="auto"/>
        <w:ind w:firstLine="0"/>
        <w:rPr>
          <w:sz w:val="10"/>
          <w:szCs w:val="10"/>
        </w:rPr>
      </w:pPr>
    </w:p>
    <w:p w14:paraId="2F99A3F9" w14:textId="77777777" w:rsidR="00D010A5" w:rsidRPr="00A97AA6" w:rsidRDefault="00D010A5" w:rsidP="00D010A5">
      <w:pPr>
        <w:pStyle w:val="INCISO"/>
        <w:spacing w:after="0" w:line="240" w:lineRule="exact"/>
        <w:ind w:left="0" w:firstLine="0"/>
        <w:rPr>
          <w:sz w:val="20"/>
          <w:szCs w:val="20"/>
        </w:rPr>
      </w:pPr>
      <w:r w:rsidRPr="00A97AA6">
        <w:rPr>
          <w:sz w:val="20"/>
          <w:szCs w:val="20"/>
          <w:lang w:eastAsia="es-MX"/>
        </w:rPr>
        <w:t>Pa</w:t>
      </w:r>
      <w:r w:rsidRPr="00A97AA6">
        <w:rPr>
          <w:sz w:val="20"/>
          <w:szCs w:val="20"/>
        </w:rPr>
        <w:t>ra la elaboración de los estados financieros la COVEG ha aplicado lo postulados básicos establecidos por la L</w:t>
      </w:r>
      <w:r>
        <w:rPr>
          <w:sz w:val="20"/>
          <w:szCs w:val="20"/>
        </w:rPr>
        <w:t xml:space="preserve">GCG y los lineamientos emitidos </w:t>
      </w:r>
      <w:r w:rsidRPr="00A97AA6">
        <w:rPr>
          <w:sz w:val="20"/>
          <w:szCs w:val="20"/>
        </w:rPr>
        <w:t>por el CONAC</w:t>
      </w:r>
    </w:p>
    <w:p w14:paraId="34344679" w14:textId="77777777" w:rsidR="00D010A5" w:rsidRPr="00C137AC" w:rsidRDefault="00D010A5" w:rsidP="00D010A5">
      <w:pPr>
        <w:pStyle w:val="INCISO"/>
        <w:spacing w:after="0" w:line="240" w:lineRule="exact"/>
        <w:ind w:left="0" w:firstLine="0"/>
        <w:rPr>
          <w:sz w:val="20"/>
          <w:szCs w:val="20"/>
        </w:rPr>
      </w:pPr>
    </w:p>
    <w:p w14:paraId="54806094" w14:textId="77777777" w:rsidR="00D010A5" w:rsidRDefault="00D010A5" w:rsidP="00D010A5">
      <w:pPr>
        <w:pStyle w:val="INCISO"/>
        <w:spacing w:after="0" w:line="240" w:lineRule="exact"/>
        <w:rPr>
          <w:sz w:val="20"/>
          <w:szCs w:val="20"/>
        </w:rPr>
      </w:pPr>
      <w:r w:rsidRPr="00C137AC">
        <w:rPr>
          <w:sz w:val="20"/>
          <w:szCs w:val="20"/>
        </w:rPr>
        <w:t>d)</w:t>
      </w:r>
      <w:r w:rsidRPr="00C137AC">
        <w:rPr>
          <w:sz w:val="20"/>
          <w:szCs w:val="20"/>
        </w:rPr>
        <w:tab/>
        <w:t>Normatividad supletoria. En caso de emplear varios grupos de normatividades (normatividades supletorias), deberá realizar la justificación razonable correspondiente.</w:t>
      </w:r>
    </w:p>
    <w:p w14:paraId="5C05F8B0" w14:textId="77777777" w:rsidR="00D010A5" w:rsidRPr="00D21803" w:rsidRDefault="00D010A5" w:rsidP="00D010A5">
      <w:pPr>
        <w:pStyle w:val="INCISO"/>
        <w:spacing w:after="0" w:line="312" w:lineRule="auto"/>
        <w:rPr>
          <w:sz w:val="10"/>
          <w:szCs w:val="10"/>
        </w:rPr>
      </w:pPr>
    </w:p>
    <w:p w14:paraId="7CD023A4" w14:textId="6C17649A" w:rsidR="00D010A5" w:rsidRPr="00A82A1E" w:rsidRDefault="00D010A5" w:rsidP="00D010A5">
      <w:pPr>
        <w:spacing w:line="312" w:lineRule="auto"/>
        <w:rPr>
          <w:rFonts w:ascii="Arial" w:hAnsi="Arial" w:cs="Arial"/>
          <w:sz w:val="20"/>
          <w:szCs w:val="20"/>
          <w:lang w:eastAsia="es-MX"/>
        </w:rPr>
      </w:pPr>
      <w:r w:rsidRPr="00A97AA6">
        <w:rPr>
          <w:rFonts w:ascii="Arial" w:hAnsi="Arial" w:cs="Arial"/>
          <w:sz w:val="20"/>
          <w:szCs w:val="20"/>
          <w:lang w:eastAsia="es-MX"/>
        </w:rPr>
        <w:t>La normatividad aplicada es la establecida en la LGCG en correlación con los lineamientos emitidos por el Consejo Nacional de Armonización Contable. Actualmente no se u</w:t>
      </w:r>
      <w:r>
        <w:rPr>
          <w:rFonts w:ascii="Arial" w:hAnsi="Arial" w:cs="Arial"/>
          <w:sz w:val="20"/>
          <w:szCs w:val="20"/>
          <w:lang w:eastAsia="es-MX"/>
        </w:rPr>
        <w:t>tiliza normatividad supletoria.</w:t>
      </w:r>
    </w:p>
    <w:p w14:paraId="57F447EF" w14:textId="77777777" w:rsidR="00D010A5" w:rsidRPr="00C137AC" w:rsidRDefault="00D010A5" w:rsidP="00D010A5">
      <w:pPr>
        <w:pStyle w:val="INCISO"/>
        <w:spacing w:after="0" w:line="312" w:lineRule="auto"/>
        <w:rPr>
          <w:sz w:val="20"/>
          <w:szCs w:val="20"/>
        </w:rPr>
      </w:pPr>
      <w:r w:rsidRPr="00C137AC">
        <w:rPr>
          <w:sz w:val="20"/>
          <w:szCs w:val="20"/>
        </w:rPr>
        <w:t>e)</w:t>
      </w:r>
      <w:r w:rsidRPr="00C137AC">
        <w:rPr>
          <w:sz w:val="20"/>
          <w:szCs w:val="20"/>
        </w:rPr>
        <w:tab/>
        <w:t xml:space="preserve">Para las entidades que por primera vez estén implementando la base devengado </w:t>
      </w:r>
      <w:proofErr w:type="gramStart"/>
      <w:r w:rsidRPr="00C137AC">
        <w:rPr>
          <w:sz w:val="20"/>
          <w:szCs w:val="20"/>
        </w:rPr>
        <w:t>de acuerdo a</w:t>
      </w:r>
      <w:proofErr w:type="gramEnd"/>
      <w:r w:rsidRPr="00C137AC">
        <w:rPr>
          <w:sz w:val="20"/>
          <w:szCs w:val="20"/>
        </w:rPr>
        <w:t xml:space="preserve"> la Ley de Contabilidad, deberán:</w:t>
      </w:r>
    </w:p>
    <w:p w14:paraId="51787151" w14:textId="77777777" w:rsidR="00D010A5" w:rsidRPr="00C137AC" w:rsidRDefault="00D010A5" w:rsidP="00D010A5">
      <w:pPr>
        <w:pStyle w:val="Texto"/>
        <w:spacing w:after="0" w:line="312" w:lineRule="auto"/>
        <w:ind w:left="1440" w:hanging="360"/>
        <w:rPr>
          <w:sz w:val="20"/>
        </w:rPr>
      </w:pPr>
      <w:r w:rsidRPr="00C137AC">
        <w:rPr>
          <w:sz w:val="20"/>
        </w:rPr>
        <w:t>-</w:t>
      </w:r>
      <w:r w:rsidRPr="00C137AC">
        <w:rPr>
          <w:sz w:val="20"/>
        </w:rPr>
        <w:tab/>
        <w:t>Revelar las nuevas políticas de reconocimiento;</w:t>
      </w:r>
    </w:p>
    <w:p w14:paraId="14A013EF" w14:textId="77777777" w:rsidR="00D010A5" w:rsidRPr="00C137AC" w:rsidRDefault="00D010A5" w:rsidP="00D010A5">
      <w:pPr>
        <w:pStyle w:val="Texto"/>
        <w:spacing w:after="0" w:line="312" w:lineRule="auto"/>
        <w:ind w:left="1440" w:hanging="360"/>
        <w:rPr>
          <w:sz w:val="20"/>
        </w:rPr>
      </w:pPr>
      <w:r w:rsidRPr="00C137AC">
        <w:rPr>
          <w:sz w:val="20"/>
        </w:rPr>
        <w:t>-</w:t>
      </w:r>
      <w:r w:rsidRPr="00C137AC">
        <w:rPr>
          <w:sz w:val="20"/>
        </w:rPr>
        <w:tab/>
        <w:t>Su plan de implementación;</w:t>
      </w:r>
    </w:p>
    <w:p w14:paraId="5C2973B1" w14:textId="77777777" w:rsidR="00D010A5" w:rsidRPr="00C137AC" w:rsidRDefault="00D010A5" w:rsidP="00D010A5">
      <w:pPr>
        <w:pStyle w:val="Texto"/>
        <w:spacing w:after="0" w:line="312" w:lineRule="auto"/>
        <w:ind w:left="1440" w:hanging="360"/>
        <w:rPr>
          <w:sz w:val="20"/>
        </w:rPr>
      </w:pPr>
      <w:r w:rsidRPr="00C137AC">
        <w:rPr>
          <w:sz w:val="20"/>
        </w:rPr>
        <w:t>-</w:t>
      </w:r>
      <w:r w:rsidRPr="00C137AC">
        <w:rPr>
          <w:sz w:val="20"/>
        </w:rPr>
        <w:tab/>
        <w:t xml:space="preserve">Revelar los cambios en las políticas, la clasificación y medición de </w:t>
      </w:r>
      <w:proofErr w:type="gramStart"/>
      <w:r w:rsidRPr="00C137AC">
        <w:rPr>
          <w:sz w:val="20"/>
        </w:rPr>
        <w:t>las mismas</w:t>
      </w:r>
      <w:proofErr w:type="gramEnd"/>
      <w:r w:rsidRPr="00C137AC">
        <w:rPr>
          <w:sz w:val="20"/>
        </w:rPr>
        <w:t>, así como su impacto en la información financiera.</w:t>
      </w:r>
    </w:p>
    <w:p w14:paraId="3D482C29" w14:textId="77777777" w:rsidR="00D010A5" w:rsidRPr="00A97AA6" w:rsidRDefault="00D010A5" w:rsidP="00D010A5">
      <w:pPr>
        <w:pStyle w:val="Texto"/>
        <w:spacing w:after="0" w:line="312" w:lineRule="auto"/>
        <w:ind w:left="1440" w:hanging="360"/>
        <w:rPr>
          <w:sz w:val="20"/>
        </w:rPr>
      </w:pPr>
      <w:r w:rsidRPr="00C137AC">
        <w:rPr>
          <w:sz w:val="20"/>
        </w:rPr>
        <w:lastRenderedPageBreak/>
        <w:t>-</w:t>
      </w:r>
      <w:r w:rsidRPr="00C137AC">
        <w:rPr>
          <w:sz w:val="20"/>
        </w:rPr>
        <w:tab/>
        <w:t xml:space="preserve">Presentar los últimos estados financieros con la normatividad anteriormente utilizada con las nuevas políticas para fines de comparación en la transición a la base </w:t>
      </w:r>
      <w:r>
        <w:rPr>
          <w:sz w:val="20"/>
        </w:rPr>
        <w:t xml:space="preserve">del </w:t>
      </w:r>
      <w:r w:rsidRPr="00C137AC">
        <w:rPr>
          <w:sz w:val="20"/>
        </w:rPr>
        <w:t>devengado.</w:t>
      </w:r>
    </w:p>
    <w:p w14:paraId="14D2F917" w14:textId="77777777" w:rsidR="00D010A5" w:rsidRPr="00A97AA6" w:rsidRDefault="00D010A5" w:rsidP="00D010A5">
      <w:pPr>
        <w:pStyle w:val="Texto"/>
        <w:spacing w:after="0" w:line="312" w:lineRule="auto"/>
        <w:ind w:left="1440" w:hanging="360"/>
        <w:rPr>
          <w:sz w:val="20"/>
        </w:rPr>
      </w:pPr>
    </w:p>
    <w:p w14:paraId="7CAA92CF" w14:textId="77777777" w:rsidR="00D010A5" w:rsidRPr="00E03FE4" w:rsidRDefault="00D010A5" w:rsidP="00D010A5">
      <w:pPr>
        <w:autoSpaceDE w:val="0"/>
        <w:autoSpaceDN w:val="0"/>
        <w:adjustRightInd w:val="0"/>
        <w:spacing w:line="312" w:lineRule="auto"/>
        <w:jc w:val="both"/>
        <w:rPr>
          <w:rFonts w:ascii="Arial" w:hAnsi="Arial" w:cs="Arial"/>
          <w:b/>
          <w:i/>
          <w:color w:val="000000"/>
          <w:sz w:val="20"/>
          <w:szCs w:val="20"/>
        </w:rPr>
      </w:pPr>
      <w:r w:rsidRPr="00A97AA6">
        <w:rPr>
          <w:rFonts w:ascii="Arial" w:hAnsi="Arial" w:cs="Arial"/>
          <w:sz w:val="20"/>
          <w:szCs w:val="20"/>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5611DE" w:rsidRDefault="00D010A5" w:rsidP="00D010A5">
      <w:pPr>
        <w:autoSpaceDE w:val="0"/>
        <w:autoSpaceDN w:val="0"/>
        <w:adjustRightInd w:val="0"/>
        <w:spacing w:line="312" w:lineRule="auto"/>
        <w:jc w:val="both"/>
        <w:rPr>
          <w:rFonts w:ascii="Arial" w:hAnsi="Arial" w:cs="Arial"/>
          <w:i/>
          <w:color w:val="000000"/>
          <w:sz w:val="20"/>
          <w:szCs w:val="20"/>
        </w:rPr>
      </w:pPr>
      <w:r w:rsidRPr="00A97AA6">
        <w:rPr>
          <w:rFonts w:ascii="Arial" w:hAnsi="Arial" w:cs="Arial"/>
          <w:b/>
          <w:i/>
          <w:color w:val="000000"/>
          <w:sz w:val="20"/>
          <w:szCs w:val="20"/>
        </w:rPr>
        <w:t>Ingresos:</w:t>
      </w:r>
      <w:r w:rsidRPr="00A97AA6">
        <w:rPr>
          <w:rFonts w:ascii="Arial" w:hAnsi="Arial" w:cs="Arial"/>
          <w:i/>
          <w:color w:val="000000"/>
          <w:sz w:val="20"/>
          <w:szCs w:val="20"/>
        </w:rPr>
        <w:t xml:space="preserve"> </w:t>
      </w:r>
      <w:r w:rsidRPr="00A97AA6">
        <w:rPr>
          <w:rFonts w:ascii="Arial" w:hAnsi="Arial" w:cs="Arial"/>
          <w:sz w:val="20"/>
          <w:szCs w:val="20"/>
        </w:rPr>
        <w:t xml:space="preserve">Los ingresos se reconocen cuando se tiene el derecho de cobro o se devengan </w:t>
      </w:r>
      <w:proofErr w:type="gramStart"/>
      <w:r w:rsidRPr="00A97AA6">
        <w:rPr>
          <w:rFonts w:ascii="Arial" w:hAnsi="Arial" w:cs="Arial"/>
          <w:sz w:val="20"/>
          <w:szCs w:val="20"/>
        </w:rPr>
        <w:t>de acuerdo a</w:t>
      </w:r>
      <w:proofErr w:type="gramEnd"/>
      <w:r w:rsidRPr="00A97AA6">
        <w:rPr>
          <w:rFonts w:ascii="Arial" w:hAnsi="Arial" w:cs="Arial"/>
          <w:sz w:val="20"/>
          <w:szCs w:val="20"/>
        </w:rPr>
        <w:t xml:space="preserve"> los lineamientos emitidos por el CONAC. </w:t>
      </w:r>
    </w:p>
    <w:p w14:paraId="472503EF" w14:textId="77777777" w:rsidR="00D010A5" w:rsidRPr="00A97AA6" w:rsidRDefault="00D010A5" w:rsidP="00D010A5">
      <w:pPr>
        <w:autoSpaceDE w:val="0"/>
        <w:autoSpaceDN w:val="0"/>
        <w:adjustRightInd w:val="0"/>
        <w:spacing w:line="312" w:lineRule="auto"/>
        <w:jc w:val="both"/>
        <w:rPr>
          <w:rFonts w:ascii="Arial" w:hAnsi="Arial" w:cs="Arial"/>
          <w:color w:val="000000"/>
          <w:sz w:val="20"/>
          <w:szCs w:val="20"/>
        </w:rPr>
      </w:pPr>
      <w:r w:rsidRPr="00A97AA6">
        <w:rPr>
          <w:rFonts w:ascii="Arial" w:hAnsi="Arial" w:cs="Arial"/>
          <w:color w:val="000000"/>
          <w:sz w:val="20"/>
          <w:szCs w:val="20"/>
        </w:rPr>
        <w:t>Con la finalidad de atender a los momentos contables del ingreso se consideran los siguientes lineamientos de registro:</w:t>
      </w:r>
    </w:p>
    <w:p w14:paraId="7214CEFF" w14:textId="77777777" w:rsidR="00D010A5" w:rsidRPr="00A97AA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sz w:val="20"/>
          <w:szCs w:val="20"/>
        </w:rPr>
        <w:t>El momento contable del ingreso estimado es el que se aprueba anualmente por la Junta de Gobierno de la COVEG, e incluyen los ingresos propios, estatales, federales y otros.</w:t>
      </w:r>
    </w:p>
    <w:p w14:paraId="23561169" w14:textId="77777777" w:rsidR="00D010A5" w:rsidRPr="00A97AA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El ingreso modificado consiste en incorporar en su caso, las modificaciones al ingreso aprobado.</w:t>
      </w:r>
    </w:p>
    <w:p w14:paraId="37E6BDE4" w14:textId="77777777" w:rsidR="00D010A5" w:rsidRPr="00A97AA6" w:rsidRDefault="00D010A5" w:rsidP="00D010A5">
      <w:pPr>
        <w:numPr>
          <w:ilvl w:val="0"/>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El ingreso devengado se realizará en los siguientes casos:</w:t>
      </w:r>
    </w:p>
    <w:p w14:paraId="2A0F9804" w14:textId="77777777" w:rsidR="00D010A5" w:rsidRPr="00A97AA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A97AA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Las participaciones se registrarán al momento de la percepción de los recursos.</w:t>
      </w:r>
    </w:p>
    <w:p w14:paraId="5B729CBC" w14:textId="77777777" w:rsidR="00D010A5" w:rsidRPr="00A97AA6" w:rsidRDefault="00D010A5" w:rsidP="00D010A5">
      <w:pPr>
        <w:numPr>
          <w:ilvl w:val="1"/>
          <w:numId w:val="7"/>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Las aportaciones federales se registran conforme al calendario de pago.</w:t>
      </w:r>
    </w:p>
    <w:p w14:paraId="56F3AD57" w14:textId="77777777" w:rsidR="00D010A5" w:rsidRPr="00A97AA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Ingreso recaudado, es el momento que refleja el cobro en efectivo o cualquier otro medio de pago de los conceptos referidos en el clasificador por rubro de ingresos.</w:t>
      </w:r>
    </w:p>
    <w:p w14:paraId="5D4DC2A9" w14:textId="77777777" w:rsidR="00D010A5" w:rsidRPr="00A97AA6" w:rsidRDefault="00D010A5" w:rsidP="00D010A5">
      <w:pPr>
        <w:numPr>
          <w:ilvl w:val="0"/>
          <w:numId w:val="5"/>
        </w:numPr>
        <w:autoSpaceDE w:val="0"/>
        <w:autoSpaceDN w:val="0"/>
        <w:adjustRightInd w:val="0"/>
        <w:spacing w:after="0" w:line="312" w:lineRule="auto"/>
        <w:ind w:hanging="357"/>
        <w:jc w:val="both"/>
        <w:rPr>
          <w:rFonts w:ascii="Arial" w:hAnsi="Arial" w:cs="Arial"/>
          <w:color w:val="000000"/>
          <w:sz w:val="20"/>
          <w:szCs w:val="20"/>
        </w:rPr>
      </w:pPr>
      <w:r w:rsidRPr="00A97AA6">
        <w:rPr>
          <w:rFonts w:ascii="Arial" w:hAnsi="Arial" w:cs="Arial"/>
          <w:color w:val="000000"/>
          <w:sz w:val="20"/>
          <w:szCs w:val="20"/>
        </w:rPr>
        <w:t>Los intereses moratorios son un activo contingente por lo que se tiene una valuación de manera est</w:t>
      </w:r>
      <w:r>
        <w:rPr>
          <w:rFonts w:ascii="Arial" w:hAnsi="Arial" w:cs="Arial"/>
          <w:color w:val="000000"/>
          <w:sz w:val="20"/>
          <w:szCs w:val="20"/>
        </w:rPr>
        <w:t xml:space="preserve">adística de </w:t>
      </w:r>
      <w:r w:rsidRPr="00320282">
        <w:rPr>
          <w:rFonts w:ascii="Arial" w:hAnsi="Arial" w:cs="Arial"/>
          <w:color w:val="000000"/>
          <w:sz w:val="20"/>
          <w:szCs w:val="20"/>
        </w:rPr>
        <w:t>aproximadame</w:t>
      </w:r>
      <w:r>
        <w:rPr>
          <w:rFonts w:ascii="Arial" w:hAnsi="Arial" w:cs="Arial"/>
          <w:color w:val="000000"/>
          <w:sz w:val="20"/>
          <w:szCs w:val="20"/>
        </w:rPr>
        <w:t>nte 134.2</w:t>
      </w:r>
      <w:r w:rsidRPr="00320282">
        <w:rPr>
          <w:rFonts w:ascii="Arial" w:hAnsi="Arial" w:cs="Arial"/>
          <w:color w:val="000000"/>
          <w:sz w:val="20"/>
          <w:szCs w:val="20"/>
        </w:rPr>
        <w:t xml:space="preserve"> millones</w:t>
      </w:r>
      <w:r w:rsidRPr="00A97AA6">
        <w:rPr>
          <w:rFonts w:ascii="Arial" w:hAnsi="Arial" w:cs="Arial"/>
          <w:color w:val="000000"/>
          <w:sz w:val="20"/>
          <w:szCs w:val="20"/>
        </w:rPr>
        <w:t xml:space="preserve"> de pesos a la fecha, que se irán registrando conforme se vayan negociando con los acreditados a través de las reestructuras aplicando las </w:t>
      </w:r>
      <w:r>
        <w:rPr>
          <w:rFonts w:ascii="Arial" w:hAnsi="Arial" w:cs="Arial"/>
          <w:color w:val="000000"/>
          <w:sz w:val="20"/>
          <w:szCs w:val="20"/>
        </w:rPr>
        <w:t xml:space="preserve">del </w:t>
      </w:r>
      <w:r w:rsidRPr="00A97AA6">
        <w:rPr>
          <w:rFonts w:ascii="Arial" w:hAnsi="Arial" w:cs="Arial"/>
          <w:color w:val="000000"/>
          <w:sz w:val="20"/>
          <w:szCs w:val="20"/>
        </w:rPr>
        <w:t>políticas autorizadas para este fin, en caso de que no se llegue a una reestructura se registrarán en el momento de su cobro.</w:t>
      </w:r>
    </w:p>
    <w:p w14:paraId="57A61F5E" w14:textId="77777777" w:rsidR="00092A5D" w:rsidRDefault="00092A5D"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b/>
          <w:i/>
          <w:color w:val="000000"/>
          <w:sz w:val="20"/>
          <w:szCs w:val="20"/>
        </w:rPr>
      </w:pPr>
    </w:p>
    <w:p w14:paraId="0FE0014F" w14:textId="1B0E3131" w:rsidR="00D010A5" w:rsidRPr="00A97AA6"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w:hAnsi="Arial" w:cs="Arial"/>
          <w:sz w:val="20"/>
          <w:szCs w:val="20"/>
        </w:rPr>
      </w:pPr>
      <w:r w:rsidRPr="00A97AA6">
        <w:rPr>
          <w:rFonts w:ascii="Arial" w:hAnsi="Arial" w:cs="Arial"/>
          <w:b/>
          <w:i/>
          <w:color w:val="000000"/>
          <w:sz w:val="20"/>
          <w:szCs w:val="20"/>
        </w:rPr>
        <w:t>Egresos:</w:t>
      </w:r>
      <w:r w:rsidRPr="00A97AA6">
        <w:rPr>
          <w:rFonts w:ascii="Arial" w:hAnsi="Arial" w:cs="Arial"/>
          <w:i/>
          <w:color w:val="000000"/>
          <w:sz w:val="20"/>
          <w:szCs w:val="20"/>
        </w:rPr>
        <w:t xml:space="preserve"> </w:t>
      </w:r>
      <w:r w:rsidRPr="00A97AA6">
        <w:rPr>
          <w:rFonts w:ascii="Arial" w:hAnsi="Arial" w:cs="Arial"/>
          <w:sz w:val="20"/>
          <w:szCs w:val="20"/>
        </w:rPr>
        <w:t>Los egresos se encuentran reconocidos al costo histórico en el momento en que se devengan.</w:t>
      </w:r>
    </w:p>
    <w:p w14:paraId="1F9EFAA9" w14:textId="77777777" w:rsidR="00D010A5" w:rsidRPr="00A97AA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20"/>
          <w:szCs w:val="20"/>
        </w:rPr>
      </w:pPr>
      <w:r w:rsidRPr="00A97AA6">
        <w:rPr>
          <w:rFonts w:ascii="Arial" w:hAnsi="Arial" w:cs="Arial"/>
          <w:color w:val="000000"/>
          <w:sz w:val="20"/>
          <w:szCs w:val="20"/>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A97AA6"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20"/>
          <w:szCs w:val="20"/>
        </w:rPr>
      </w:pPr>
      <w:r w:rsidRPr="00A97AA6">
        <w:rPr>
          <w:rFonts w:ascii="Arial" w:hAnsi="Arial" w:cs="Arial"/>
          <w:color w:val="000000"/>
          <w:sz w:val="20"/>
          <w:szCs w:val="20"/>
        </w:rPr>
        <w:t>El gasto devengado, refleja el reconocimiento de obligaciones de pago a favor de terceros por la recepción de conformidad de bienes, servicios y obras oportunamente contratados.</w:t>
      </w:r>
    </w:p>
    <w:p w14:paraId="555AD3C7" w14:textId="77777777" w:rsidR="00D010A5" w:rsidRPr="00B5434E" w:rsidRDefault="00D010A5" w:rsidP="00D010A5">
      <w:pPr>
        <w:numPr>
          <w:ilvl w:val="0"/>
          <w:numId w:val="6"/>
        </w:numPr>
        <w:autoSpaceDE w:val="0"/>
        <w:autoSpaceDN w:val="0"/>
        <w:adjustRightInd w:val="0"/>
        <w:spacing w:after="0" w:line="312" w:lineRule="auto"/>
        <w:ind w:left="714" w:hanging="357"/>
        <w:jc w:val="both"/>
        <w:rPr>
          <w:rFonts w:ascii="Arial" w:hAnsi="Arial" w:cs="Arial"/>
          <w:color w:val="000000"/>
          <w:sz w:val="20"/>
          <w:szCs w:val="20"/>
        </w:rPr>
      </w:pPr>
      <w:r w:rsidRPr="00A97AA6">
        <w:rPr>
          <w:rFonts w:ascii="Arial" w:hAnsi="Arial" w:cs="Arial"/>
          <w:color w:val="000000"/>
          <w:sz w:val="20"/>
          <w:szCs w:val="20"/>
        </w:rPr>
        <w:t>El gasto pagado, refleja la cancelación total o parcial de las obligaciones de pago, que se concreta mediante el desembolso de efectivo o cualquier otro medio de pago.</w:t>
      </w:r>
    </w:p>
    <w:p w14:paraId="187B5C33" w14:textId="77777777" w:rsidR="00D010A5" w:rsidRPr="00C137AC" w:rsidRDefault="00D010A5" w:rsidP="00D010A5">
      <w:pPr>
        <w:pStyle w:val="Texto"/>
        <w:spacing w:after="0" w:line="240" w:lineRule="exact"/>
        <w:ind w:firstLine="0"/>
        <w:rPr>
          <w:sz w:val="20"/>
        </w:rPr>
      </w:pPr>
    </w:p>
    <w:p w14:paraId="6AAEF956" w14:textId="0A81E8B0" w:rsidR="00D010A5" w:rsidRPr="00D21803" w:rsidRDefault="00D010A5" w:rsidP="00D010A5">
      <w:pPr>
        <w:pStyle w:val="Texto"/>
        <w:spacing w:after="0" w:line="312" w:lineRule="auto"/>
        <w:rPr>
          <w:sz w:val="6"/>
          <w:szCs w:val="6"/>
        </w:rPr>
      </w:pPr>
      <w:r w:rsidRPr="00C137AC">
        <w:rPr>
          <w:b/>
          <w:sz w:val="20"/>
          <w:lang w:val="es-MX"/>
        </w:rPr>
        <w:t>6.</w:t>
      </w:r>
      <w:r w:rsidRPr="00C137AC">
        <w:rPr>
          <w:b/>
          <w:sz w:val="20"/>
          <w:lang w:val="es-MX"/>
        </w:rPr>
        <w:tab/>
        <w:t>Políticas de Contabilidad Significativas</w:t>
      </w:r>
    </w:p>
    <w:p w14:paraId="55A053CC" w14:textId="77777777" w:rsidR="00D010A5" w:rsidRPr="00C137AC" w:rsidRDefault="00D010A5" w:rsidP="00D010A5">
      <w:pPr>
        <w:pStyle w:val="Texto"/>
        <w:spacing w:after="0" w:line="312" w:lineRule="auto"/>
        <w:rPr>
          <w:sz w:val="20"/>
        </w:rPr>
      </w:pPr>
      <w:r w:rsidRPr="00C137AC">
        <w:rPr>
          <w:sz w:val="20"/>
        </w:rPr>
        <w:t>Se informará sobre:</w:t>
      </w:r>
    </w:p>
    <w:p w14:paraId="02BBA71C" w14:textId="77777777" w:rsidR="00D010A5" w:rsidRDefault="00D010A5" w:rsidP="00D010A5">
      <w:pPr>
        <w:pStyle w:val="INCISO"/>
        <w:numPr>
          <w:ilvl w:val="0"/>
          <w:numId w:val="8"/>
        </w:numPr>
        <w:spacing w:after="0" w:line="312" w:lineRule="auto"/>
        <w:rPr>
          <w:sz w:val="20"/>
          <w:szCs w:val="20"/>
        </w:rPr>
      </w:pPr>
      <w:r w:rsidRPr="00C137AC">
        <w:rPr>
          <w:sz w:val="20"/>
          <w:szCs w:val="20"/>
        </w:rPr>
        <w:lastRenderedPageBreak/>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Default="00D010A5" w:rsidP="00D010A5">
      <w:pPr>
        <w:pStyle w:val="INCISO"/>
        <w:spacing w:after="0" w:line="312" w:lineRule="auto"/>
        <w:ind w:left="0" w:firstLine="708"/>
        <w:rPr>
          <w:sz w:val="20"/>
          <w:szCs w:val="20"/>
        </w:rPr>
      </w:pPr>
      <w:r>
        <w:rPr>
          <w:sz w:val="20"/>
          <w:szCs w:val="20"/>
        </w:rPr>
        <w:t>NO APLICA</w:t>
      </w:r>
    </w:p>
    <w:p w14:paraId="38E29942" w14:textId="77777777" w:rsidR="00D010A5" w:rsidRPr="00656628" w:rsidRDefault="00D010A5" w:rsidP="00D010A5">
      <w:pPr>
        <w:pStyle w:val="INCISO"/>
        <w:spacing w:after="0" w:line="312" w:lineRule="auto"/>
        <w:ind w:left="0" w:firstLine="0"/>
        <w:rPr>
          <w:sz w:val="10"/>
          <w:szCs w:val="10"/>
        </w:rPr>
      </w:pPr>
    </w:p>
    <w:p w14:paraId="681E4FF7" w14:textId="77777777" w:rsidR="00D010A5" w:rsidRPr="00A97AA6" w:rsidRDefault="00D010A5" w:rsidP="00D010A5">
      <w:pPr>
        <w:pStyle w:val="INCISO"/>
        <w:numPr>
          <w:ilvl w:val="0"/>
          <w:numId w:val="8"/>
        </w:numPr>
        <w:spacing w:after="0" w:line="312" w:lineRule="auto"/>
        <w:rPr>
          <w:sz w:val="20"/>
          <w:szCs w:val="20"/>
        </w:rPr>
      </w:pPr>
      <w:r w:rsidRPr="00C137AC">
        <w:rPr>
          <w:sz w:val="20"/>
          <w:szCs w:val="20"/>
        </w:rPr>
        <w:t>Informar sobre la realización de operaciones en el extranjero y de sus efectos en la información financiera gubernamental.</w:t>
      </w:r>
    </w:p>
    <w:p w14:paraId="6DEEB282" w14:textId="77777777" w:rsidR="00D010A5" w:rsidRDefault="00D010A5" w:rsidP="00D010A5">
      <w:pPr>
        <w:pStyle w:val="INCISO"/>
        <w:spacing w:after="0" w:line="312" w:lineRule="auto"/>
        <w:rPr>
          <w:sz w:val="20"/>
          <w:szCs w:val="20"/>
        </w:rPr>
      </w:pPr>
      <w:r>
        <w:rPr>
          <w:sz w:val="20"/>
          <w:szCs w:val="20"/>
        </w:rPr>
        <w:t>NO APLICA</w:t>
      </w:r>
    </w:p>
    <w:p w14:paraId="79432820" w14:textId="77777777" w:rsidR="00D010A5" w:rsidRPr="00656628" w:rsidRDefault="00D010A5" w:rsidP="00D010A5">
      <w:pPr>
        <w:pStyle w:val="INCISO"/>
        <w:spacing w:after="0" w:line="312" w:lineRule="auto"/>
        <w:ind w:left="0" w:firstLine="0"/>
        <w:rPr>
          <w:sz w:val="10"/>
          <w:szCs w:val="10"/>
        </w:rPr>
      </w:pPr>
    </w:p>
    <w:p w14:paraId="20673A0E" w14:textId="77777777" w:rsidR="00D010A5" w:rsidRPr="00C137AC" w:rsidRDefault="00D010A5" w:rsidP="00D010A5">
      <w:pPr>
        <w:pStyle w:val="INCISO"/>
        <w:numPr>
          <w:ilvl w:val="0"/>
          <w:numId w:val="8"/>
        </w:numPr>
        <w:spacing w:after="0" w:line="312" w:lineRule="auto"/>
        <w:rPr>
          <w:sz w:val="20"/>
          <w:szCs w:val="20"/>
        </w:rPr>
      </w:pPr>
      <w:r w:rsidRPr="00C137AC">
        <w:rPr>
          <w:sz w:val="20"/>
          <w:szCs w:val="20"/>
        </w:rPr>
        <w:t>Método de valuación de la inversión en acciones en el Sector Paraestatal.</w:t>
      </w:r>
    </w:p>
    <w:p w14:paraId="332AEA40" w14:textId="77777777" w:rsidR="00D010A5" w:rsidRDefault="00D010A5" w:rsidP="00D010A5">
      <w:pPr>
        <w:pStyle w:val="INCISO"/>
        <w:spacing w:after="0" w:line="312" w:lineRule="auto"/>
        <w:rPr>
          <w:sz w:val="20"/>
          <w:szCs w:val="20"/>
        </w:rPr>
      </w:pPr>
    </w:p>
    <w:p w14:paraId="106977D0" w14:textId="77777777" w:rsidR="00D010A5" w:rsidRDefault="00D010A5" w:rsidP="00D010A5">
      <w:pPr>
        <w:pStyle w:val="INCISO"/>
        <w:spacing w:after="0" w:line="312" w:lineRule="auto"/>
        <w:rPr>
          <w:sz w:val="20"/>
          <w:szCs w:val="20"/>
        </w:rPr>
      </w:pPr>
      <w:r>
        <w:rPr>
          <w:sz w:val="20"/>
          <w:szCs w:val="20"/>
        </w:rPr>
        <w:t>NO APLICA</w:t>
      </w:r>
    </w:p>
    <w:p w14:paraId="392622E1" w14:textId="77777777" w:rsidR="00D010A5" w:rsidRPr="00656628" w:rsidRDefault="00D010A5" w:rsidP="00D010A5">
      <w:pPr>
        <w:pStyle w:val="INCISO"/>
        <w:spacing w:after="0" w:line="312" w:lineRule="auto"/>
        <w:rPr>
          <w:sz w:val="10"/>
          <w:szCs w:val="10"/>
        </w:rPr>
      </w:pPr>
    </w:p>
    <w:p w14:paraId="0714F40C" w14:textId="77777777" w:rsidR="00D010A5" w:rsidRPr="00A97AA6" w:rsidRDefault="00D010A5" w:rsidP="00D010A5">
      <w:pPr>
        <w:pStyle w:val="INCISO"/>
        <w:numPr>
          <w:ilvl w:val="0"/>
          <w:numId w:val="8"/>
        </w:numPr>
        <w:spacing w:after="0" w:line="312" w:lineRule="auto"/>
        <w:rPr>
          <w:sz w:val="20"/>
          <w:szCs w:val="20"/>
        </w:rPr>
      </w:pPr>
      <w:r>
        <w:rPr>
          <w:sz w:val="20"/>
          <w:szCs w:val="20"/>
        </w:rPr>
        <w:t xml:space="preserve">Sistema </w:t>
      </w:r>
      <w:r w:rsidRPr="00C137AC">
        <w:rPr>
          <w:sz w:val="20"/>
          <w:szCs w:val="20"/>
        </w:rPr>
        <w:t>y método de valuación de inventarios.</w:t>
      </w:r>
    </w:p>
    <w:p w14:paraId="49E32FD3" w14:textId="77777777" w:rsidR="00D010A5" w:rsidRPr="00D21803" w:rsidRDefault="00D010A5" w:rsidP="00D010A5">
      <w:pPr>
        <w:spacing w:line="312" w:lineRule="auto"/>
        <w:jc w:val="both"/>
        <w:rPr>
          <w:rFonts w:ascii="Arial" w:hAnsi="Arial" w:cs="Arial"/>
          <w:sz w:val="10"/>
          <w:szCs w:val="10"/>
        </w:rPr>
      </w:pPr>
    </w:p>
    <w:p w14:paraId="2BAE85B9" w14:textId="35982440" w:rsidR="00D010A5" w:rsidRPr="00A97AA6"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 xml:space="preserve">La </w:t>
      </w:r>
      <w:r w:rsidR="007B2929">
        <w:rPr>
          <w:rFonts w:ascii="Arial" w:hAnsi="Arial" w:cs="Arial"/>
          <w:sz w:val="20"/>
          <w:szCs w:val="20"/>
        </w:rPr>
        <w:t>extinta COVEG contaba</w:t>
      </w:r>
      <w:r w:rsidRPr="00A97AA6">
        <w:rPr>
          <w:rFonts w:ascii="Arial" w:hAnsi="Arial" w:cs="Arial"/>
          <w:sz w:val="20"/>
          <w:szCs w:val="20"/>
        </w:rPr>
        <w:t xml:space="preserve"> </w:t>
      </w:r>
      <w:r w:rsidR="007B2929">
        <w:rPr>
          <w:rFonts w:ascii="Arial" w:hAnsi="Arial" w:cs="Arial"/>
          <w:sz w:val="20"/>
          <w:szCs w:val="20"/>
        </w:rPr>
        <w:t>con un inventario inmobiliario y el cual estaba</w:t>
      </w:r>
      <w:r w:rsidRPr="00A97AA6">
        <w:rPr>
          <w:rFonts w:ascii="Arial" w:hAnsi="Arial" w:cs="Arial"/>
          <w:sz w:val="20"/>
          <w:szCs w:val="20"/>
        </w:rPr>
        <w:t xml:space="preserve"> constituido por las reserva</w:t>
      </w:r>
      <w:r>
        <w:rPr>
          <w:rFonts w:ascii="Arial" w:hAnsi="Arial" w:cs="Arial"/>
          <w:sz w:val="20"/>
          <w:szCs w:val="20"/>
        </w:rPr>
        <w:t>s territoriales de su propiedad</w:t>
      </w:r>
      <w:r w:rsidRPr="00A97AA6">
        <w:rPr>
          <w:rFonts w:ascii="Arial" w:hAnsi="Arial" w:cs="Arial"/>
          <w:sz w:val="20"/>
          <w:szCs w:val="20"/>
        </w:rPr>
        <w:t xml:space="preserve"> destinadas para su venta o desarrollo para s</w:t>
      </w:r>
      <w:r w:rsidR="007B2929">
        <w:rPr>
          <w:rFonts w:ascii="Arial" w:hAnsi="Arial" w:cs="Arial"/>
          <w:sz w:val="20"/>
          <w:szCs w:val="20"/>
        </w:rPr>
        <w:t>u posterior venta y se controlaban</w:t>
      </w:r>
      <w:r w:rsidRPr="00A97AA6">
        <w:rPr>
          <w:rFonts w:ascii="Arial" w:hAnsi="Arial" w:cs="Arial"/>
          <w:sz w:val="20"/>
          <w:szCs w:val="20"/>
        </w:rPr>
        <w:t xml:space="preserve"> contablemente a través del sistema de inven</w:t>
      </w:r>
      <w:r w:rsidR="007B2929">
        <w:rPr>
          <w:rFonts w:ascii="Arial" w:hAnsi="Arial" w:cs="Arial"/>
          <w:sz w:val="20"/>
          <w:szCs w:val="20"/>
        </w:rPr>
        <w:t>tarios perpetuos, lo que permitía</w:t>
      </w:r>
      <w:r w:rsidRPr="00A97AA6">
        <w:rPr>
          <w:rFonts w:ascii="Arial" w:hAnsi="Arial" w:cs="Arial"/>
          <w:sz w:val="20"/>
          <w:szCs w:val="20"/>
        </w:rPr>
        <w:t xml:space="preserve"> registrar con cada venta realizada el costo al que fueron adquiridos o producidos.</w:t>
      </w:r>
    </w:p>
    <w:p w14:paraId="614CDC67" w14:textId="77777777" w:rsidR="00D010A5" w:rsidRPr="00A97AA6" w:rsidRDefault="00D010A5" w:rsidP="00D010A5">
      <w:pPr>
        <w:spacing w:line="312" w:lineRule="auto"/>
        <w:contextualSpacing/>
        <w:jc w:val="both"/>
        <w:rPr>
          <w:rFonts w:ascii="Arial" w:hAnsi="Arial" w:cs="Arial"/>
          <w:sz w:val="10"/>
          <w:szCs w:val="10"/>
        </w:rPr>
      </w:pPr>
    </w:p>
    <w:p w14:paraId="5CB03F39" w14:textId="6B013E8D" w:rsidR="00D010A5"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La valuación de las operaciones del inv</w:t>
      </w:r>
      <w:r w:rsidR="007B2929">
        <w:rPr>
          <w:rFonts w:ascii="Arial" w:hAnsi="Arial" w:cs="Arial"/>
          <w:sz w:val="20"/>
          <w:szCs w:val="20"/>
        </w:rPr>
        <w:t xml:space="preserve">entario inmobiliario se realizaba </w:t>
      </w:r>
      <w:r w:rsidRPr="00A97AA6">
        <w:rPr>
          <w:rFonts w:ascii="Arial" w:hAnsi="Arial" w:cs="Arial"/>
          <w:sz w:val="20"/>
          <w:szCs w:val="20"/>
        </w:rPr>
        <w:t xml:space="preserve">mediante </w:t>
      </w:r>
      <w:r w:rsidR="007B2929">
        <w:rPr>
          <w:rFonts w:ascii="Arial" w:hAnsi="Arial" w:cs="Arial"/>
          <w:sz w:val="20"/>
          <w:szCs w:val="20"/>
        </w:rPr>
        <w:t>costeo directo, sólo se integraban</w:t>
      </w:r>
      <w:r w:rsidRPr="00A97AA6">
        <w:rPr>
          <w:rFonts w:ascii="Arial" w:hAnsi="Arial" w:cs="Arial"/>
          <w:sz w:val="20"/>
          <w:szCs w:val="20"/>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Pr>
          <w:rFonts w:ascii="Arial" w:hAnsi="Arial" w:cs="Arial"/>
          <w:sz w:val="20"/>
          <w:szCs w:val="20"/>
        </w:rPr>
        <w:t>ba</w:t>
      </w:r>
      <w:r w:rsidRPr="00A97AA6">
        <w:rPr>
          <w:rFonts w:ascii="Arial" w:hAnsi="Arial" w:cs="Arial"/>
          <w:sz w:val="20"/>
          <w:szCs w:val="20"/>
        </w:rPr>
        <w:t xml:space="preserve"> por medio de costos históricos, consistente en acumular los elementos del costo incurridos para la adquisición o producción de los bienes inmuebles. </w:t>
      </w:r>
    </w:p>
    <w:p w14:paraId="70764572" w14:textId="77777777" w:rsidR="00D010A5" w:rsidRPr="00656628" w:rsidRDefault="00D010A5" w:rsidP="00D010A5">
      <w:pPr>
        <w:spacing w:line="312" w:lineRule="auto"/>
        <w:contextualSpacing/>
        <w:jc w:val="both"/>
        <w:rPr>
          <w:rFonts w:ascii="Arial" w:hAnsi="Arial" w:cs="Arial"/>
          <w:sz w:val="10"/>
          <w:szCs w:val="10"/>
        </w:rPr>
      </w:pPr>
    </w:p>
    <w:p w14:paraId="04531B28" w14:textId="75034B2B" w:rsidR="00D010A5" w:rsidRPr="00A97AA6"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 xml:space="preserve">El </w:t>
      </w:r>
      <w:r w:rsidR="007B2929">
        <w:rPr>
          <w:rFonts w:ascii="Arial" w:hAnsi="Arial" w:cs="Arial"/>
          <w:sz w:val="20"/>
          <w:szCs w:val="20"/>
        </w:rPr>
        <w:t>método de valuación utilizado era</w:t>
      </w:r>
      <w:r w:rsidRPr="00A97AA6">
        <w:rPr>
          <w:rFonts w:ascii="Arial" w:hAnsi="Arial" w:cs="Arial"/>
          <w:sz w:val="20"/>
          <w:szCs w:val="20"/>
        </w:rPr>
        <w:t xml:space="preserve"> el Cost</w:t>
      </w:r>
      <w:r w:rsidR="007B2929">
        <w:rPr>
          <w:rFonts w:ascii="Arial" w:hAnsi="Arial" w:cs="Arial"/>
          <w:sz w:val="20"/>
          <w:szCs w:val="20"/>
        </w:rPr>
        <w:t>o Identificado, el cual consistía</w:t>
      </w:r>
      <w:r w:rsidRPr="00A97AA6">
        <w:rPr>
          <w:rFonts w:ascii="Arial" w:hAnsi="Arial" w:cs="Arial"/>
          <w:sz w:val="20"/>
          <w:szCs w:val="20"/>
        </w:rPr>
        <w:t xml:space="preserve"> en identificar específicamente el costo de adquisición y/o desarrollo de los bienes inmuebles destinados para la venta.</w:t>
      </w:r>
    </w:p>
    <w:p w14:paraId="03458103" w14:textId="77777777" w:rsidR="00D010A5" w:rsidRPr="00A97AA6" w:rsidRDefault="00D010A5" w:rsidP="00D010A5">
      <w:pPr>
        <w:spacing w:line="312" w:lineRule="auto"/>
        <w:contextualSpacing/>
        <w:jc w:val="both"/>
        <w:rPr>
          <w:rFonts w:ascii="Arial" w:hAnsi="Arial" w:cs="Arial"/>
          <w:sz w:val="10"/>
          <w:szCs w:val="10"/>
        </w:rPr>
      </w:pPr>
    </w:p>
    <w:p w14:paraId="02235173" w14:textId="7132F7BA" w:rsidR="00D010A5" w:rsidRPr="00524E52" w:rsidRDefault="00D010A5" w:rsidP="00524E52">
      <w:pPr>
        <w:spacing w:line="312" w:lineRule="auto"/>
        <w:contextualSpacing/>
        <w:jc w:val="both"/>
        <w:rPr>
          <w:rFonts w:ascii="Arial" w:hAnsi="Arial" w:cs="Arial"/>
          <w:sz w:val="20"/>
          <w:szCs w:val="20"/>
        </w:rPr>
      </w:pPr>
      <w:r w:rsidRPr="00A97AA6">
        <w:rPr>
          <w:rFonts w:ascii="Arial" w:hAnsi="Arial" w:cs="Arial"/>
          <w:sz w:val="20"/>
          <w:szCs w:val="20"/>
        </w:rPr>
        <w:t xml:space="preserve">Adicionalmente, </w:t>
      </w:r>
      <w:r w:rsidR="00B503FF">
        <w:rPr>
          <w:rFonts w:ascii="Arial" w:hAnsi="Arial" w:cs="Arial"/>
          <w:sz w:val="20"/>
          <w:szCs w:val="20"/>
        </w:rPr>
        <w:t>se contaba con</w:t>
      </w:r>
      <w:r>
        <w:rPr>
          <w:rFonts w:ascii="Arial" w:hAnsi="Arial" w:cs="Arial"/>
          <w:sz w:val="20"/>
          <w:szCs w:val="20"/>
        </w:rPr>
        <w:t xml:space="preserve"> un almacén de consumibles de papelería</w:t>
      </w:r>
      <w:r w:rsidRPr="00A97AA6">
        <w:rPr>
          <w:rFonts w:ascii="Arial" w:hAnsi="Arial" w:cs="Arial"/>
          <w:sz w:val="20"/>
          <w:szCs w:val="20"/>
        </w:rPr>
        <w:t>, en los cuales se utiliza el método de valua</w:t>
      </w:r>
      <w:r w:rsidR="00B503FF">
        <w:rPr>
          <w:rFonts w:ascii="Arial" w:hAnsi="Arial" w:cs="Arial"/>
          <w:sz w:val="20"/>
          <w:szCs w:val="20"/>
        </w:rPr>
        <w:t>ción promedios para su control, sin embargo, al 30 de septiembre se registró la cancelaci</w:t>
      </w:r>
      <w:r w:rsidR="007B2929">
        <w:rPr>
          <w:rFonts w:ascii="Arial" w:hAnsi="Arial" w:cs="Arial"/>
          <w:sz w:val="20"/>
          <w:szCs w:val="20"/>
        </w:rPr>
        <w:t>ón del saldo, derivado de A</w:t>
      </w:r>
      <w:r w:rsidR="00B503FF">
        <w:rPr>
          <w:rFonts w:ascii="Arial" w:hAnsi="Arial" w:cs="Arial"/>
          <w:sz w:val="20"/>
          <w:szCs w:val="20"/>
        </w:rPr>
        <w:t>cta entrega-recepción</w:t>
      </w:r>
      <w:r w:rsidR="007B2929">
        <w:rPr>
          <w:rFonts w:ascii="Arial" w:hAnsi="Arial" w:cs="Arial"/>
          <w:sz w:val="20"/>
          <w:szCs w:val="20"/>
        </w:rPr>
        <w:t xml:space="preserve"> Extraordinaria</w:t>
      </w:r>
      <w:r w:rsidR="003A6C60">
        <w:rPr>
          <w:rFonts w:ascii="Arial" w:hAnsi="Arial" w:cs="Arial"/>
          <w:sz w:val="20"/>
          <w:szCs w:val="20"/>
        </w:rPr>
        <w:t xml:space="preserve"> del pasado 07 de agosto 2020.</w:t>
      </w:r>
    </w:p>
    <w:p w14:paraId="1FF867A5" w14:textId="77777777" w:rsidR="00D010A5" w:rsidRDefault="00D010A5" w:rsidP="00D010A5">
      <w:pPr>
        <w:pStyle w:val="INCISO"/>
        <w:numPr>
          <w:ilvl w:val="0"/>
          <w:numId w:val="8"/>
        </w:numPr>
        <w:spacing w:after="0" w:line="312" w:lineRule="auto"/>
        <w:contextualSpacing/>
        <w:rPr>
          <w:sz w:val="20"/>
          <w:szCs w:val="20"/>
        </w:rPr>
      </w:pPr>
      <w:r w:rsidRPr="00C137AC">
        <w:rPr>
          <w:sz w:val="20"/>
          <w:szCs w:val="20"/>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F73914" w:rsidRDefault="00D010A5" w:rsidP="00D010A5">
      <w:pPr>
        <w:pStyle w:val="INCISO"/>
        <w:spacing w:after="0" w:line="312" w:lineRule="auto"/>
        <w:contextualSpacing/>
        <w:rPr>
          <w:sz w:val="10"/>
          <w:szCs w:val="10"/>
        </w:rPr>
      </w:pPr>
    </w:p>
    <w:p w14:paraId="5F3EEF4B" w14:textId="77777777" w:rsidR="00D010A5" w:rsidRDefault="00D010A5" w:rsidP="00D010A5">
      <w:pPr>
        <w:spacing w:line="312" w:lineRule="auto"/>
        <w:contextualSpacing/>
        <w:jc w:val="both"/>
        <w:rPr>
          <w:rFonts w:ascii="Arial" w:hAnsi="Arial" w:cs="Arial"/>
          <w:sz w:val="20"/>
          <w:szCs w:val="20"/>
        </w:rPr>
      </w:pPr>
      <w:r w:rsidRPr="00A97AA6">
        <w:rPr>
          <w:rFonts w:ascii="Arial" w:hAnsi="Arial" w:cs="Arial"/>
          <w:sz w:val="20"/>
          <w:szCs w:val="20"/>
        </w:rPr>
        <w:t>A partir de diciembre 2010 se determ</w:t>
      </w:r>
      <w:r>
        <w:rPr>
          <w:rFonts w:ascii="Arial" w:hAnsi="Arial" w:cs="Arial"/>
          <w:sz w:val="20"/>
          <w:szCs w:val="20"/>
        </w:rPr>
        <w:t xml:space="preserve">inó la creación de la estimación </w:t>
      </w:r>
      <w:r w:rsidRPr="00A97AA6">
        <w:rPr>
          <w:rFonts w:ascii="Arial" w:hAnsi="Arial" w:cs="Arial"/>
          <w:sz w:val="20"/>
          <w:szCs w:val="20"/>
        </w:rPr>
        <w:t>de la prima de antigüedad y al finalizar el e</w:t>
      </w:r>
      <w:r>
        <w:rPr>
          <w:rFonts w:ascii="Arial" w:hAnsi="Arial" w:cs="Arial"/>
          <w:sz w:val="20"/>
          <w:szCs w:val="20"/>
        </w:rPr>
        <w:t xml:space="preserve">jercicio 2019 </w:t>
      </w:r>
      <w:r w:rsidRPr="00A97AA6">
        <w:rPr>
          <w:rFonts w:ascii="Arial" w:hAnsi="Arial" w:cs="Arial"/>
          <w:sz w:val="20"/>
          <w:szCs w:val="20"/>
        </w:rPr>
        <w:t>se realizó</w:t>
      </w:r>
      <w:r>
        <w:rPr>
          <w:rFonts w:ascii="Arial" w:hAnsi="Arial" w:cs="Arial"/>
          <w:sz w:val="20"/>
          <w:szCs w:val="20"/>
        </w:rPr>
        <w:t xml:space="preserve"> la actualización de </w:t>
      </w:r>
      <w:proofErr w:type="gramStart"/>
      <w:r>
        <w:rPr>
          <w:rFonts w:ascii="Arial" w:hAnsi="Arial" w:cs="Arial"/>
          <w:sz w:val="20"/>
          <w:szCs w:val="20"/>
        </w:rPr>
        <w:t>la misma</w:t>
      </w:r>
      <w:proofErr w:type="gramEnd"/>
      <w:r>
        <w:rPr>
          <w:rFonts w:ascii="Arial" w:hAnsi="Arial" w:cs="Arial"/>
          <w:sz w:val="20"/>
          <w:szCs w:val="20"/>
        </w:rPr>
        <w:t xml:space="preserve">. </w:t>
      </w:r>
      <w:r w:rsidRPr="00A97AA6">
        <w:rPr>
          <w:rFonts w:ascii="Arial" w:hAnsi="Arial" w:cs="Arial"/>
          <w:sz w:val="20"/>
          <w:szCs w:val="20"/>
        </w:rPr>
        <w:t xml:space="preserve">La prima de antigüedad se determinó </w:t>
      </w:r>
      <w:proofErr w:type="gramStart"/>
      <w:r w:rsidRPr="00A97AA6">
        <w:rPr>
          <w:rFonts w:ascii="Arial" w:hAnsi="Arial" w:cs="Arial"/>
          <w:sz w:val="20"/>
          <w:szCs w:val="20"/>
        </w:rPr>
        <w:t>de acue</w:t>
      </w:r>
      <w:r>
        <w:rPr>
          <w:rFonts w:ascii="Arial" w:hAnsi="Arial" w:cs="Arial"/>
          <w:sz w:val="20"/>
          <w:szCs w:val="20"/>
        </w:rPr>
        <w:t>rdo a</w:t>
      </w:r>
      <w:proofErr w:type="gramEnd"/>
      <w:r>
        <w:rPr>
          <w:rFonts w:ascii="Arial" w:hAnsi="Arial" w:cs="Arial"/>
          <w:sz w:val="20"/>
          <w:szCs w:val="20"/>
        </w:rPr>
        <w:t xml:space="preserve"> lo establecido en el artículo </w:t>
      </w:r>
      <w:r w:rsidRPr="00A97AA6">
        <w:rPr>
          <w:rFonts w:ascii="Arial" w:hAnsi="Arial" w:cs="Arial"/>
          <w:sz w:val="20"/>
          <w:szCs w:val="20"/>
        </w:rPr>
        <w:t>162 de la Ley Federal del Trabajo.</w:t>
      </w:r>
    </w:p>
    <w:p w14:paraId="68E5C691" w14:textId="77777777" w:rsidR="00524E52" w:rsidRDefault="00524E52" w:rsidP="00D010A5">
      <w:pPr>
        <w:spacing w:line="312" w:lineRule="auto"/>
        <w:contextualSpacing/>
        <w:jc w:val="both"/>
        <w:rPr>
          <w:rFonts w:ascii="Arial" w:hAnsi="Arial" w:cs="Arial"/>
          <w:sz w:val="20"/>
          <w:szCs w:val="20"/>
        </w:rPr>
      </w:pPr>
    </w:p>
    <w:p w14:paraId="0C6EE7FE" w14:textId="69228F3E" w:rsidR="00D010A5" w:rsidRPr="00C137AC" w:rsidRDefault="000A027C" w:rsidP="00092A5D">
      <w:pPr>
        <w:spacing w:line="312" w:lineRule="auto"/>
        <w:contextualSpacing/>
        <w:jc w:val="both"/>
        <w:rPr>
          <w:sz w:val="20"/>
          <w:szCs w:val="20"/>
        </w:rPr>
      </w:pPr>
      <w:r w:rsidRPr="000A027C">
        <w:rPr>
          <w:rFonts w:ascii="Arial" w:hAnsi="Arial" w:cs="Arial"/>
          <w:sz w:val="20"/>
          <w:szCs w:val="20"/>
        </w:rPr>
        <w:t>Al 31 de diciembre</w:t>
      </w:r>
      <w:r w:rsidR="00CA5B7C">
        <w:rPr>
          <w:rFonts w:ascii="Arial" w:hAnsi="Arial" w:cs="Arial"/>
          <w:sz w:val="20"/>
          <w:szCs w:val="20"/>
        </w:rPr>
        <w:t xml:space="preserve"> 2020</w:t>
      </w:r>
      <w:r w:rsidRPr="000A027C">
        <w:rPr>
          <w:rFonts w:ascii="Arial" w:hAnsi="Arial" w:cs="Arial"/>
          <w:sz w:val="20"/>
          <w:szCs w:val="20"/>
        </w:rPr>
        <w:t xml:space="preserve"> el saldo de la</w:t>
      </w:r>
      <w:r>
        <w:rPr>
          <w:rFonts w:ascii="Arial" w:hAnsi="Arial" w:cs="Arial"/>
          <w:sz w:val="20"/>
          <w:szCs w:val="20"/>
        </w:rPr>
        <w:t xml:space="preserve"> cuenta de prima de antigüedad </w:t>
      </w:r>
      <w:r w:rsidRPr="000A027C">
        <w:rPr>
          <w:rFonts w:ascii="Arial" w:hAnsi="Arial" w:cs="Arial"/>
          <w:sz w:val="20"/>
          <w:szCs w:val="20"/>
        </w:rPr>
        <w:t>ha sido cancelada derivado del personal finiquitado completamente en el mes de octubre 2020</w:t>
      </w:r>
      <w:r>
        <w:rPr>
          <w:rFonts w:ascii="Arial" w:hAnsi="Arial" w:cs="Arial"/>
          <w:sz w:val="20"/>
          <w:szCs w:val="20"/>
        </w:rPr>
        <w:t>.</w:t>
      </w:r>
    </w:p>
    <w:p w14:paraId="15C6A34A" w14:textId="77777777" w:rsidR="00D010A5" w:rsidRDefault="00D010A5" w:rsidP="00D010A5">
      <w:pPr>
        <w:pStyle w:val="INCISO"/>
        <w:numPr>
          <w:ilvl w:val="0"/>
          <w:numId w:val="8"/>
        </w:numPr>
        <w:spacing w:after="0" w:line="312" w:lineRule="auto"/>
        <w:contextualSpacing/>
        <w:rPr>
          <w:sz w:val="20"/>
          <w:szCs w:val="20"/>
        </w:rPr>
      </w:pPr>
      <w:r w:rsidRPr="00C137AC">
        <w:rPr>
          <w:sz w:val="20"/>
          <w:szCs w:val="20"/>
        </w:rPr>
        <w:t>Provisiones: objetivo de su creación, monto y plazo.</w:t>
      </w:r>
    </w:p>
    <w:p w14:paraId="00730137" w14:textId="77777777" w:rsidR="00D010A5" w:rsidRPr="00656628" w:rsidRDefault="00D010A5" w:rsidP="00D010A5">
      <w:pPr>
        <w:pStyle w:val="INCISO"/>
        <w:spacing w:after="0" w:line="312" w:lineRule="auto"/>
        <w:contextualSpacing/>
        <w:rPr>
          <w:sz w:val="10"/>
          <w:szCs w:val="10"/>
        </w:rPr>
      </w:pPr>
    </w:p>
    <w:p w14:paraId="0B38B655" w14:textId="5A6498B1" w:rsidR="00D010A5" w:rsidRDefault="00D010A5" w:rsidP="00D010A5">
      <w:pPr>
        <w:spacing w:line="288" w:lineRule="auto"/>
        <w:jc w:val="both"/>
        <w:rPr>
          <w:rFonts w:ascii="Arial" w:hAnsi="Arial" w:cs="Arial"/>
          <w:sz w:val="20"/>
          <w:szCs w:val="20"/>
        </w:rPr>
      </w:pPr>
      <w:r>
        <w:rPr>
          <w:rFonts w:ascii="Arial" w:hAnsi="Arial" w:cs="Arial"/>
          <w:sz w:val="20"/>
          <w:szCs w:val="20"/>
        </w:rPr>
        <w:lastRenderedPageBreak/>
        <w:t xml:space="preserve">La </w:t>
      </w:r>
      <w:r w:rsidR="003D4965">
        <w:rPr>
          <w:rFonts w:ascii="Arial" w:hAnsi="Arial" w:cs="Arial"/>
          <w:sz w:val="20"/>
          <w:szCs w:val="20"/>
        </w:rPr>
        <w:t xml:space="preserve">extinta </w:t>
      </w:r>
      <w:r>
        <w:rPr>
          <w:rFonts w:ascii="Arial" w:hAnsi="Arial" w:cs="Arial"/>
          <w:sz w:val="20"/>
          <w:szCs w:val="20"/>
        </w:rPr>
        <w:t xml:space="preserve">COVEG </w:t>
      </w:r>
      <w:r w:rsidR="003D4965">
        <w:rPr>
          <w:rFonts w:ascii="Arial" w:hAnsi="Arial" w:cs="Arial"/>
          <w:sz w:val="20"/>
          <w:szCs w:val="20"/>
        </w:rPr>
        <w:t>encamin</w:t>
      </w:r>
      <w:r w:rsidR="00CA5B7C">
        <w:rPr>
          <w:rFonts w:ascii="Arial" w:hAnsi="Arial" w:cs="Arial"/>
          <w:sz w:val="20"/>
          <w:szCs w:val="20"/>
        </w:rPr>
        <w:t>a</w:t>
      </w:r>
      <w:r w:rsidR="003D4965">
        <w:rPr>
          <w:rFonts w:ascii="Arial" w:hAnsi="Arial" w:cs="Arial"/>
          <w:sz w:val="20"/>
          <w:szCs w:val="20"/>
        </w:rPr>
        <w:t>ba</w:t>
      </w:r>
      <w:r>
        <w:rPr>
          <w:rFonts w:ascii="Arial" w:hAnsi="Arial" w:cs="Arial"/>
          <w:sz w:val="20"/>
          <w:szCs w:val="20"/>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26E66C2D" w:rsidR="00D010A5" w:rsidRPr="001E5C0F" w:rsidRDefault="00D010A5" w:rsidP="00D010A5">
      <w:pPr>
        <w:spacing w:line="288" w:lineRule="auto"/>
        <w:jc w:val="both"/>
        <w:rPr>
          <w:rFonts w:ascii="Arial" w:hAnsi="Arial" w:cs="Arial"/>
          <w:sz w:val="10"/>
          <w:szCs w:val="10"/>
        </w:rPr>
      </w:pPr>
      <w:r>
        <w:rPr>
          <w:rFonts w:ascii="Arial" w:hAnsi="Arial" w:cs="Arial"/>
          <w:sz w:val="20"/>
          <w:szCs w:val="20"/>
        </w:rPr>
        <w:t xml:space="preserve">No obstante, pueden presentarse sucesos imprevistos que dejan al acreditado en la imposibilidad de cumplir con el compromiso adquirido con el organismo, por lo que es indiscutible, que se debe prever dicha contingencia. </w:t>
      </w:r>
      <w:r w:rsidR="006247DD">
        <w:rPr>
          <w:rFonts w:ascii="Arial" w:hAnsi="Arial" w:cs="Arial"/>
          <w:sz w:val="20"/>
          <w:szCs w:val="20"/>
        </w:rPr>
        <w:t>Asimismo,</w:t>
      </w:r>
      <w:r>
        <w:rPr>
          <w:rFonts w:ascii="Arial" w:hAnsi="Arial" w:cs="Arial"/>
          <w:sz w:val="20"/>
          <w:szCs w:val="20"/>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Default="00D010A5" w:rsidP="00D010A5">
      <w:pPr>
        <w:spacing w:line="288" w:lineRule="auto"/>
        <w:contextualSpacing/>
        <w:jc w:val="both"/>
        <w:rPr>
          <w:rFonts w:ascii="Arial" w:hAnsi="Arial" w:cs="Arial"/>
          <w:sz w:val="20"/>
          <w:szCs w:val="20"/>
        </w:rPr>
      </w:pPr>
      <w:r w:rsidRPr="00A97AA6">
        <w:rPr>
          <w:rFonts w:ascii="Arial" w:hAnsi="Arial" w:cs="Arial"/>
          <w:sz w:val="20"/>
          <w:szCs w:val="20"/>
        </w:rPr>
        <w:t>Derivado de lo expresado, resulta</w:t>
      </w:r>
      <w:r w:rsidR="003D4965">
        <w:rPr>
          <w:rFonts w:ascii="Arial" w:hAnsi="Arial" w:cs="Arial"/>
          <w:sz w:val="20"/>
          <w:szCs w:val="20"/>
        </w:rPr>
        <w:t>ba</w:t>
      </w:r>
      <w:r w:rsidRPr="00A97AA6">
        <w:rPr>
          <w:rFonts w:ascii="Arial" w:hAnsi="Arial" w:cs="Arial"/>
          <w:sz w:val="20"/>
          <w:szCs w:val="20"/>
        </w:rPr>
        <w:t xml:space="preserve"> necesaria para el organismo la creación de </w:t>
      </w:r>
      <w:r>
        <w:rPr>
          <w:rFonts w:ascii="Arial" w:hAnsi="Arial" w:cs="Arial"/>
          <w:sz w:val="20"/>
          <w:szCs w:val="20"/>
        </w:rPr>
        <w:t>una p</w:t>
      </w:r>
      <w:r w:rsidRPr="00A97AA6">
        <w:rPr>
          <w:rFonts w:ascii="Arial" w:hAnsi="Arial" w:cs="Arial"/>
          <w:sz w:val="20"/>
          <w:szCs w:val="20"/>
        </w:rPr>
        <w:t xml:space="preserve">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B108D2" w:rsidRDefault="00D010A5" w:rsidP="00D010A5">
      <w:pPr>
        <w:spacing w:line="288" w:lineRule="auto"/>
        <w:contextualSpacing/>
        <w:jc w:val="both"/>
        <w:rPr>
          <w:rFonts w:ascii="Arial" w:hAnsi="Arial" w:cs="Arial"/>
          <w:sz w:val="10"/>
          <w:szCs w:val="10"/>
        </w:rPr>
      </w:pPr>
    </w:p>
    <w:p w14:paraId="2ACC0B91" w14:textId="77777777" w:rsidR="00D010A5" w:rsidRDefault="00D010A5" w:rsidP="00D010A5">
      <w:pPr>
        <w:spacing w:line="288" w:lineRule="auto"/>
        <w:contextualSpacing/>
        <w:jc w:val="both"/>
        <w:rPr>
          <w:rFonts w:ascii="Arial" w:hAnsi="Arial" w:cs="Arial"/>
          <w:sz w:val="20"/>
          <w:szCs w:val="20"/>
        </w:rPr>
      </w:pPr>
      <w:r w:rsidRPr="00A97AA6">
        <w:rPr>
          <w:rFonts w:ascii="Arial" w:hAnsi="Arial" w:cs="Arial"/>
          <w:sz w:val="20"/>
          <w:szCs w:val="20"/>
        </w:rPr>
        <w:t xml:space="preserve">Para </w:t>
      </w:r>
      <w:r>
        <w:rPr>
          <w:rFonts w:ascii="Arial" w:hAnsi="Arial" w:cs="Arial"/>
          <w:sz w:val="20"/>
          <w:szCs w:val="20"/>
        </w:rPr>
        <w:t xml:space="preserve">tal efecto, se han determinado los </w:t>
      </w:r>
      <w:r w:rsidRPr="009830CC">
        <w:rPr>
          <w:rFonts w:ascii="Arial" w:hAnsi="Arial" w:cs="Arial"/>
          <w:sz w:val="20"/>
          <w:szCs w:val="20"/>
        </w:rPr>
        <w:t>"Criterios para el análisis y determinación de Estimación para Cuentas Incobrables"</w:t>
      </w:r>
      <w:r>
        <w:rPr>
          <w:rFonts w:ascii="Arial" w:hAnsi="Arial" w:cs="Arial"/>
          <w:sz w:val="20"/>
          <w:szCs w:val="20"/>
        </w:rPr>
        <w:t>; e</w:t>
      </w:r>
      <w:r w:rsidRPr="00A97AA6">
        <w:rPr>
          <w:rFonts w:ascii="Arial" w:hAnsi="Arial" w:cs="Arial"/>
          <w:sz w:val="20"/>
          <w:szCs w:val="20"/>
        </w:rPr>
        <w:t>n dicho documento se describe el marco jurí</w:t>
      </w:r>
      <w:r>
        <w:rPr>
          <w:rFonts w:ascii="Arial" w:hAnsi="Arial" w:cs="Arial"/>
          <w:sz w:val="20"/>
          <w:szCs w:val="20"/>
        </w:rPr>
        <w:t xml:space="preserve">dico bajo el cual se emiten los criterios para determinar la estimación, los riesgos </w:t>
      </w:r>
      <w:r w:rsidRPr="00A97AA6">
        <w:rPr>
          <w:rFonts w:ascii="Arial" w:hAnsi="Arial" w:cs="Arial"/>
          <w:sz w:val="20"/>
          <w:szCs w:val="20"/>
        </w:rPr>
        <w:t>de incobrabilidad</w:t>
      </w:r>
      <w:r>
        <w:rPr>
          <w:rFonts w:ascii="Arial" w:hAnsi="Arial" w:cs="Arial"/>
          <w:sz w:val="20"/>
          <w:szCs w:val="20"/>
        </w:rPr>
        <w:t>, así como el procedimiento para el registro contable. Los riesgos de incobrabilidad que se consideran para la determinación de la estimación son:</w:t>
      </w:r>
    </w:p>
    <w:p w14:paraId="70E4705F"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Por el conocimiento de la defunción del deudor.</w:t>
      </w:r>
    </w:p>
    <w:p w14:paraId="06B7DD48"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Créditos en riesgo de incurrir en prescripción y prescritos.</w:t>
      </w:r>
    </w:p>
    <w:p w14:paraId="56B0D4DE"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Insolvencia.</w:t>
      </w:r>
    </w:p>
    <w:p w14:paraId="58E32DF3"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Incosteabilidad del cobro de la cuenta.</w:t>
      </w:r>
    </w:p>
    <w:p w14:paraId="1E66B34C"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No localización del deudor.</w:t>
      </w:r>
    </w:p>
    <w:p w14:paraId="64F9334A"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Imposibilidad de ejecución.</w:t>
      </w:r>
    </w:p>
    <w:p w14:paraId="47317F11"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Por falta de documentación soporte que acredite el adeudo.</w:t>
      </w:r>
    </w:p>
    <w:p w14:paraId="50E47934" w14:textId="77777777" w:rsidR="00D010A5" w:rsidRDefault="00D010A5" w:rsidP="00D010A5">
      <w:pPr>
        <w:pStyle w:val="Prrafodelista"/>
        <w:numPr>
          <w:ilvl w:val="0"/>
          <w:numId w:val="17"/>
        </w:numPr>
        <w:spacing w:after="0" w:line="288" w:lineRule="auto"/>
        <w:jc w:val="both"/>
        <w:rPr>
          <w:rFonts w:ascii="Arial" w:hAnsi="Arial" w:cs="Arial"/>
          <w:sz w:val="20"/>
          <w:szCs w:val="20"/>
        </w:rPr>
      </w:pPr>
      <w:r>
        <w:rPr>
          <w:rFonts w:ascii="Arial" w:hAnsi="Arial" w:cs="Arial"/>
          <w:sz w:val="20"/>
          <w:szCs w:val="20"/>
        </w:rPr>
        <w:t>Otros</w:t>
      </w:r>
    </w:p>
    <w:p w14:paraId="680AAB69" w14:textId="77777777" w:rsidR="00D010A5" w:rsidRPr="00A97AA6" w:rsidRDefault="00D010A5" w:rsidP="00D010A5">
      <w:pPr>
        <w:spacing w:line="288" w:lineRule="auto"/>
        <w:contextualSpacing/>
        <w:jc w:val="both"/>
        <w:rPr>
          <w:rFonts w:ascii="Arial" w:hAnsi="Arial" w:cs="Arial"/>
          <w:sz w:val="10"/>
          <w:szCs w:val="10"/>
        </w:rPr>
      </w:pPr>
    </w:p>
    <w:p w14:paraId="26034BC7" w14:textId="5784B9CE" w:rsidR="00792FE2" w:rsidRDefault="004148D9" w:rsidP="00792FE2">
      <w:pPr>
        <w:tabs>
          <w:tab w:val="left" w:pos="2515"/>
        </w:tabs>
        <w:spacing w:line="312" w:lineRule="auto"/>
        <w:contextualSpacing/>
        <w:jc w:val="both"/>
        <w:rPr>
          <w:sz w:val="10"/>
          <w:szCs w:val="10"/>
        </w:rPr>
      </w:pPr>
      <w:r w:rsidRPr="004148D9">
        <w:rPr>
          <w:rFonts w:ascii="Arial" w:hAnsi="Arial" w:cs="Arial"/>
          <w:sz w:val="20"/>
          <w:szCs w:val="20"/>
        </w:rPr>
        <w:t>Al 31 de marzo de 2021 se sigue manteni</w:t>
      </w:r>
      <w:r>
        <w:rPr>
          <w:rFonts w:ascii="Arial" w:hAnsi="Arial" w:cs="Arial"/>
          <w:sz w:val="20"/>
          <w:szCs w:val="20"/>
        </w:rPr>
        <w:t>mi</w:t>
      </w:r>
      <w:r w:rsidRPr="004148D9">
        <w:rPr>
          <w:rFonts w:ascii="Arial" w:hAnsi="Arial" w:cs="Arial"/>
          <w:sz w:val="20"/>
          <w:szCs w:val="20"/>
        </w:rPr>
        <w:t>ento 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w:t>
      </w:r>
      <w:r w:rsidR="00792FE2" w:rsidRPr="00333D34">
        <w:rPr>
          <w:sz w:val="10"/>
          <w:szCs w:val="10"/>
        </w:rPr>
        <w:tab/>
      </w:r>
    </w:p>
    <w:p w14:paraId="0BCE15AF" w14:textId="77777777" w:rsidR="004148D9" w:rsidRPr="00333D34" w:rsidRDefault="004148D9" w:rsidP="00792FE2">
      <w:pPr>
        <w:tabs>
          <w:tab w:val="left" w:pos="2515"/>
        </w:tabs>
        <w:spacing w:line="312" w:lineRule="auto"/>
        <w:contextualSpacing/>
        <w:jc w:val="both"/>
        <w:rPr>
          <w:sz w:val="10"/>
          <w:szCs w:val="10"/>
        </w:rPr>
      </w:pPr>
    </w:p>
    <w:p w14:paraId="677ECEE2" w14:textId="77777777" w:rsidR="00792FE2" w:rsidRPr="00333D34" w:rsidRDefault="00792FE2" w:rsidP="00792FE2">
      <w:pPr>
        <w:numPr>
          <w:ilvl w:val="0"/>
          <w:numId w:val="8"/>
        </w:numPr>
        <w:spacing w:after="0" w:line="312" w:lineRule="auto"/>
        <w:contextualSpacing/>
        <w:jc w:val="both"/>
        <w:rPr>
          <w:rFonts w:ascii="Arial" w:hAnsi="Arial" w:cs="Arial"/>
          <w:sz w:val="20"/>
          <w:szCs w:val="20"/>
        </w:rPr>
      </w:pPr>
      <w:r w:rsidRPr="00333D34">
        <w:rPr>
          <w:rFonts w:ascii="Arial" w:hAnsi="Arial" w:cs="Arial"/>
          <w:sz w:val="20"/>
          <w:szCs w:val="20"/>
        </w:rPr>
        <w:t>Reservas: objetivo de su creación, monto y plazo.</w:t>
      </w:r>
    </w:p>
    <w:p w14:paraId="5F9818BF" w14:textId="77777777" w:rsidR="00027463" w:rsidRDefault="00792FE2" w:rsidP="00027463">
      <w:pPr>
        <w:spacing w:line="312" w:lineRule="auto"/>
        <w:ind w:left="720"/>
        <w:contextualSpacing/>
        <w:jc w:val="both"/>
        <w:rPr>
          <w:rFonts w:ascii="Arial" w:hAnsi="Arial" w:cs="Arial"/>
          <w:sz w:val="20"/>
          <w:szCs w:val="20"/>
        </w:rPr>
      </w:pPr>
      <w:r w:rsidRPr="00333D34">
        <w:rPr>
          <w:rFonts w:ascii="Arial" w:hAnsi="Arial" w:cs="Arial"/>
          <w:sz w:val="20"/>
          <w:szCs w:val="20"/>
        </w:rPr>
        <w:t>NO APLICA</w:t>
      </w:r>
    </w:p>
    <w:p w14:paraId="11EFC96C" w14:textId="1E44DACB" w:rsidR="00792FE2" w:rsidRPr="00092A5D" w:rsidRDefault="00792FE2" w:rsidP="00D05B28">
      <w:pPr>
        <w:pStyle w:val="Prrafodelista"/>
        <w:numPr>
          <w:ilvl w:val="0"/>
          <w:numId w:val="8"/>
        </w:numPr>
        <w:spacing w:line="312" w:lineRule="auto"/>
        <w:ind w:left="720"/>
        <w:jc w:val="both"/>
        <w:rPr>
          <w:rFonts w:ascii="Arial" w:hAnsi="Arial" w:cs="Arial"/>
          <w:sz w:val="20"/>
          <w:szCs w:val="20"/>
        </w:rPr>
      </w:pPr>
      <w:r w:rsidRPr="00092A5D">
        <w:rPr>
          <w:rFonts w:ascii="Arial" w:hAnsi="Arial" w:cs="Arial"/>
          <w:sz w:val="20"/>
          <w:szCs w:val="20"/>
        </w:rPr>
        <w:t>Cambios en políticas contables y corrección de errores junto con la revelación de los efectos que se tendrá en la información financiera del ente público, ya sea retrospectivos o prospectivos.NO APLICA</w:t>
      </w:r>
    </w:p>
    <w:p w14:paraId="370EF3A0" w14:textId="77777777" w:rsidR="00792FE2" w:rsidRPr="00333D34" w:rsidRDefault="00792FE2" w:rsidP="00792FE2">
      <w:pPr>
        <w:spacing w:line="312" w:lineRule="auto"/>
        <w:contextualSpacing/>
        <w:jc w:val="both"/>
        <w:rPr>
          <w:rFonts w:ascii="Arial" w:hAnsi="Arial" w:cs="Arial"/>
          <w:sz w:val="10"/>
          <w:szCs w:val="10"/>
        </w:rPr>
      </w:pPr>
    </w:p>
    <w:p w14:paraId="53A50E3A" w14:textId="6D36165B" w:rsidR="00792FE2" w:rsidRPr="00027463" w:rsidRDefault="00792FE2" w:rsidP="00027463">
      <w:pPr>
        <w:pStyle w:val="Prrafodelista"/>
        <w:numPr>
          <w:ilvl w:val="0"/>
          <w:numId w:val="8"/>
        </w:numPr>
        <w:spacing w:line="312" w:lineRule="auto"/>
        <w:jc w:val="both"/>
        <w:rPr>
          <w:rFonts w:ascii="Arial" w:hAnsi="Arial" w:cs="Arial"/>
          <w:sz w:val="20"/>
          <w:szCs w:val="20"/>
        </w:rPr>
      </w:pPr>
      <w:r w:rsidRPr="00027463">
        <w:rPr>
          <w:rFonts w:ascii="Arial" w:hAnsi="Arial" w:cs="Arial"/>
          <w:sz w:val="20"/>
          <w:szCs w:val="20"/>
        </w:rPr>
        <w:t>Reclasificaciones: Se deben revelar todos aquellos movimientos entre cuentas por efectos de cambios en los tipos de operaciones.</w:t>
      </w:r>
    </w:p>
    <w:p w14:paraId="0A34AD8E" w14:textId="5359D682" w:rsidR="009D52BC" w:rsidRPr="00C545BD" w:rsidRDefault="00F11456" w:rsidP="00792FE2">
      <w:pPr>
        <w:jc w:val="both"/>
        <w:rPr>
          <w:rFonts w:ascii="Arial" w:hAnsi="Arial" w:cs="Arial"/>
          <w:sz w:val="18"/>
          <w:szCs w:val="18"/>
        </w:rPr>
      </w:pPr>
      <w:r w:rsidRPr="00F11456">
        <w:rPr>
          <w:rFonts w:ascii="Arial" w:hAnsi="Arial" w:cs="Arial"/>
          <w:sz w:val="18"/>
          <w:szCs w:val="18"/>
        </w:rPr>
        <w:lastRenderedPageBreak/>
        <w:t>Se informa que se tuvo un percance técnico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w:t>
      </w:r>
      <w:r>
        <w:rPr>
          <w:rFonts w:ascii="Arial" w:hAnsi="Arial" w:cs="Arial"/>
          <w:sz w:val="18"/>
          <w:szCs w:val="18"/>
        </w:rPr>
        <w:t>r</w:t>
      </w:r>
      <w:r w:rsidRPr="00F11456">
        <w:rPr>
          <w:rFonts w:ascii="Arial" w:hAnsi="Arial" w:cs="Arial"/>
          <w:sz w:val="18"/>
          <w:szCs w:val="18"/>
        </w:rPr>
        <w:t xml:space="preserve">va una variación aproximadamente por $23.7 MDP comparada con el mes de febrero 2021, que afecta a las cuenta de ingresos 4311201001 Actualización de </w:t>
      </w:r>
      <w:proofErr w:type="gramStart"/>
      <w:r w:rsidRPr="00F11456">
        <w:rPr>
          <w:rFonts w:ascii="Arial" w:hAnsi="Arial" w:cs="Arial"/>
          <w:sz w:val="18"/>
          <w:szCs w:val="18"/>
        </w:rPr>
        <w:t>CME</w:t>
      </w:r>
      <w:proofErr w:type="gramEnd"/>
      <w:r w:rsidRPr="00F11456">
        <w:rPr>
          <w:rFonts w:ascii="Arial" w:hAnsi="Arial" w:cs="Arial"/>
          <w:sz w:val="18"/>
          <w:szCs w:val="18"/>
        </w:rPr>
        <w:t xml:space="preserve"> así como la cuenta de activo 1122102999 Complementaria ME ambas relacionadas con el proceso de valoración de moneda extranjera de los créditos que se tienen en INCP, UDIS y Salarios Mínimos (UMA). Así mismo es importante señalar que esta adecuación se verá reflejada en la presentación de los Información contable del segundo trimestre de 2021. Se complementa el presente inciso con dictamen técnico informático de la Coordinación mencionada, el cual forma parte integrante de los Estados Financieros al 31 de marzo 2021.</w:t>
      </w:r>
    </w:p>
    <w:p w14:paraId="125F7808" w14:textId="49336330" w:rsidR="00792FE2" w:rsidRPr="00047DC5" w:rsidRDefault="00792FE2" w:rsidP="00047DC5">
      <w:pPr>
        <w:pStyle w:val="Prrafodelista"/>
        <w:numPr>
          <w:ilvl w:val="0"/>
          <w:numId w:val="8"/>
        </w:numPr>
        <w:jc w:val="both"/>
        <w:rPr>
          <w:rFonts w:ascii="Arial" w:hAnsi="Arial" w:cs="Arial"/>
          <w:color w:val="000000"/>
          <w:sz w:val="20"/>
          <w:szCs w:val="20"/>
          <w:lang w:eastAsia="es-MX"/>
        </w:rPr>
      </w:pPr>
      <w:r w:rsidRPr="00047DC5">
        <w:rPr>
          <w:rFonts w:ascii="Arial" w:hAnsi="Arial" w:cs="Arial"/>
          <w:sz w:val="20"/>
          <w:szCs w:val="20"/>
        </w:rPr>
        <w:t>Depuración y cancelación de saldos.</w:t>
      </w:r>
      <w:r w:rsidRPr="00047DC5">
        <w:rPr>
          <w:rFonts w:ascii="Arial" w:hAnsi="Arial" w:cs="Arial"/>
          <w:color w:val="000000"/>
          <w:sz w:val="20"/>
          <w:szCs w:val="20"/>
          <w:lang w:eastAsia="es-MX"/>
        </w:rPr>
        <w:t xml:space="preserve">    </w:t>
      </w:r>
    </w:p>
    <w:p w14:paraId="23CEE201" w14:textId="3E67C85D" w:rsidR="000A027C" w:rsidRDefault="00047DC5" w:rsidP="00047DC5">
      <w:pPr>
        <w:pStyle w:val="INCISO"/>
        <w:tabs>
          <w:tab w:val="left" w:pos="709"/>
        </w:tabs>
        <w:spacing w:after="0" w:line="312" w:lineRule="auto"/>
        <w:ind w:left="0" w:firstLine="0"/>
        <w:contextualSpacing/>
        <w:rPr>
          <w:b/>
          <w:sz w:val="20"/>
          <w:szCs w:val="20"/>
        </w:rPr>
      </w:pPr>
      <w:r w:rsidRPr="00047DC5">
        <w:rPr>
          <w:sz w:val="20"/>
        </w:rPr>
        <w:t>Sin información que revelar.</w:t>
      </w:r>
    </w:p>
    <w:p w14:paraId="18740CEF" w14:textId="77777777" w:rsidR="000A027C" w:rsidRDefault="000A027C" w:rsidP="00792FE2">
      <w:pPr>
        <w:spacing w:line="312" w:lineRule="auto"/>
        <w:ind w:firstLine="288"/>
        <w:contextualSpacing/>
        <w:jc w:val="both"/>
        <w:rPr>
          <w:rFonts w:ascii="Arial" w:hAnsi="Arial" w:cs="Arial"/>
          <w:b/>
          <w:sz w:val="20"/>
          <w:szCs w:val="20"/>
        </w:rPr>
      </w:pPr>
    </w:p>
    <w:p w14:paraId="04F67A14" w14:textId="77777777" w:rsidR="00792FE2" w:rsidRPr="00333D34" w:rsidRDefault="00792FE2" w:rsidP="00AA7B9C">
      <w:pPr>
        <w:spacing w:line="312" w:lineRule="auto"/>
        <w:contextualSpacing/>
        <w:jc w:val="both"/>
        <w:rPr>
          <w:rFonts w:ascii="Arial" w:hAnsi="Arial" w:cs="Arial"/>
          <w:b/>
          <w:sz w:val="20"/>
          <w:szCs w:val="20"/>
        </w:rPr>
      </w:pPr>
      <w:r w:rsidRPr="00333D34">
        <w:rPr>
          <w:rFonts w:ascii="Arial" w:hAnsi="Arial" w:cs="Arial"/>
          <w:b/>
          <w:sz w:val="20"/>
          <w:szCs w:val="20"/>
        </w:rPr>
        <w:t>7.</w:t>
      </w:r>
      <w:r w:rsidRPr="00333D34">
        <w:rPr>
          <w:rFonts w:ascii="Arial" w:hAnsi="Arial" w:cs="Arial"/>
          <w:b/>
          <w:sz w:val="20"/>
          <w:szCs w:val="20"/>
        </w:rPr>
        <w:tab/>
        <w:t>Posición en Moneda Extranjera y Protección por Riesgo Cambiario</w:t>
      </w:r>
    </w:p>
    <w:p w14:paraId="7EB5FB26"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informará sobre:</w:t>
      </w:r>
    </w:p>
    <w:p w14:paraId="2670CF40"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a)</w:t>
      </w:r>
      <w:r w:rsidRPr="00333D34">
        <w:rPr>
          <w:rFonts w:ascii="Arial" w:hAnsi="Arial" w:cs="Arial"/>
          <w:sz w:val="20"/>
          <w:szCs w:val="20"/>
        </w:rPr>
        <w:tab/>
        <w:t>Activos en moneda extranjera</w:t>
      </w:r>
    </w:p>
    <w:p w14:paraId="50CB9A33"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Pasivos en moneda extranjera</w:t>
      </w:r>
    </w:p>
    <w:p w14:paraId="2DE7691A"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c)</w:t>
      </w:r>
      <w:r w:rsidRPr="00333D34">
        <w:rPr>
          <w:rFonts w:ascii="Arial" w:hAnsi="Arial" w:cs="Arial"/>
          <w:sz w:val="20"/>
          <w:szCs w:val="20"/>
        </w:rPr>
        <w:tab/>
        <w:t>Posición en moneda extranjera</w:t>
      </w:r>
    </w:p>
    <w:p w14:paraId="21B7C45E"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d)</w:t>
      </w:r>
      <w:r w:rsidRPr="00333D34">
        <w:rPr>
          <w:rFonts w:ascii="Arial" w:hAnsi="Arial" w:cs="Arial"/>
          <w:sz w:val="20"/>
          <w:szCs w:val="20"/>
        </w:rPr>
        <w:tab/>
        <w:t>Tipo de cambio</w:t>
      </w:r>
    </w:p>
    <w:p w14:paraId="21F50D49"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e)</w:t>
      </w:r>
      <w:r w:rsidRPr="00333D34">
        <w:rPr>
          <w:rFonts w:ascii="Arial" w:hAnsi="Arial" w:cs="Arial"/>
          <w:sz w:val="20"/>
          <w:szCs w:val="20"/>
        </w:rPr>
        <w:tab/>
        <w:t>Equivalente en moneda nacional</w:t>
      </w:r>
    </w:p>
    <w:p w14:paraId="510B79C4"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Lo anterior por cada tipo de moneda extranjera que se encuentre en los rubros de activo y pasivo.</w:t>
      </w:r>
    </w:p>
    <w:p w14:paraId="404B42A6"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Adicionalmente se informará sobre los métodos de protección de riesgo por variaciones en el tipo de cambio</w:t>
      </w:r>
    </w:p>
    <w:p w14:paraId="2248AA1B" w14:textId="77777777" w:rsidR="00792FE2" w:rsidRPr="00333D34" w:rsidRDefault="00792FE2" w:rsidP="00792FE2">
      <w:pPr>
        <w:spacing w:line="312" w:lineRule="auto"/>
        <w:ind w:firstLine="288"/>
        <w:contextualSpacing/>
        <w:jc w:val="both"/>
        <w:rPr>
          <w:rFonts w:ascii="Arial" w:hAnsi="Arial" w:cs="Arial"/>
          <w:sz w:val="10"/>
          <w:szCs w:val="10"/>
        </w:rPr>
      </w:pPr>
    </w:p>
    <w:p w14:paraId="58B29271"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NO APLICA</w:t>
      </w:r>
    </w:p>
    <w:p w14:paraId="55A8E193" w14:textId="77777777" w:rsidR="00792FE2" w:rsidRPr="00333D34" w:rsidRDefault="00792FE2" w:rsidP="00792FE2">
      <w:pPr>
        <w:spacing w:line="312" w:lineRule="auto"/>
        <w:ind w:firstLine="288"/>
        <w:contextualSpacing/>
        <w:jc w:val="both"/>
        <w:rPr>
          <w:rFonts w:ascii="Arial" w:hAnsi="Arial" w:cs="Arial"/>
          <w:b/>
          <w:sz w:val="20"/>
          <w:szCs w:val="20"/>
        </w:rPr>
      </w:pPr>
    </w:p>
    <w:p w14:paraId="4AE2AD27" w14:textId="77777777" w:rsidR="00792FE2" w:rsidRPr="00333D34" w:rsidRDefault="00792FE2" w:rsidP="00AA7B9C">
      <w:pPr>
        <w:spacing w:line="312" w:lineRule="auto"/>
        <w:contextualSpacing/>
        <w:jc w:val="both"/>
        <w:rPr>
          <w:rFonts w:ascii="Arial" w:hAnsi="Arial" w:cs="Arial"/>
          <w:b/>
          <w:sz w:val="20"/>
          <w:szCs w:val="20"/>
        </w:rPr>
      </w:pPr>
      <w:r w:rsidRPr="00333D34">
        <w:rPr>
          <w:rFonts w:ascii="Arial" w:hAnsi="Arial" w:cs="Arial"/>
          <w:b/>
          <w:sz w:val="20"/>
          <w:szCs w:val="20"/>
        </w:rPr>
        <w:t>8. Reporte Analítico del Activo</w:t>
      </w:r>
    </w:p>
    <w:p w14:paraId="75198875" w14:textId="77777777" w:rsidR="00792FE2" w:rsidRPr="00333D34" w:rsidRDefault="00792FE2" w:rsidP="00AA7B9C">
      <w:pPr>
        <w:spacing w:line="312" w:lineRule="auto"/>
        <w:contextualSpacing/>
        <w:jc w:val="both"/>
        <w:rPr>
          <w:rFonts w:ascii="Arial" w:hAnsi="Arial" w:cs="Arial"/>
          <w:sz w:val="20"/>
          <w:szCs w:val="20"/>
        </w:rPr>
      </w:pPr>
      <w:r w:rsidRPr="00333D34">
        <w:rPr>
          <w:rFonts w:ascii="Arial" w:hAnsi="Arial" w:cs="Arial"/>
          <w:sz w:val="20"/>
          <w:szCs w:val="20"/>
        </w:rPr>
        <w:t>Debe mostrar la siguiente información:</w:t>
      </w:r>
    </w:p>
    <w:p w14:paraId="6F94E1CB" w14:textId="77777777" w:rsidR="00792FE2" w:rsidRPr="00333D34" w:rsidRDefault="00792FE2" w:rsidP="00792FE2">
      <w:pPr>
        <w:spacing w:line="312" w:lineRule="auto"/>
        <w:ind w:firstLine="288"/>
        <w:contextualSpacing/>
        <w:jc w:val="both"/>
        <w:rPr>
          <w:rFonts w:ascii="Arial" w:hAnsi="Arial" w:cs="Arial"/>
          <w:sz w:val="10"/>
          <w:szCs w:val="10"/>
        </w:rPr>
      </w:pPr>
    </w:p>
    <w:p w14:paraId="4EC9DBD2" w14:textId="4163B6CA" w:rsidR="00792FE2" w:rsidRPr="00AA7B9C" w:rsidRDefault="00792FE2" w:rsidP="00792FE2">
      <w:pPr>
        <w:numPr>
          <w:ilvl w:val="0"/>
          <w:numId w:val="9"/>
        </w:numPr>
        <w:spacing w:after="0" w:line="312" w:lineRule="auto"/>
        <w:contextualSpacing/>
        <w:jc w:val="both"/>
        <w:rPr>
          <w:rFonts w:ascii="Arial" w:hAnsi="Arial" w:cs="Arial"/>
          <w:sz w:val="20"/>
          <w:szCs w:val="20"/>
        </w:rPr>
      </w:pPr>
      <w:r w:rsidRPr="00333D34">
        <w:rPr>
          <w:rFonts w:ascii="Arial" w:hAnsi="Arial" w:cs="Arial"/>
          <w:sz w:val="20"/>
          <w:szCs w:val="20"/>
        </w:rPr>
        <w:t>Vida útil o porcentajes de depreciación, deterioro o amortización utilizados en los diferentes tipos de activos.</w:t>
      </w:r>
    </w:p>
    <w:p w14:paraId="3102DEA8" w14:textId="4F3F6E24" w:rsidR="00792FE2" w:rsidRPr="00092A5D" w:rsidRDefault="00792FE2" w:rsidP="00092A5D">
      <w:pPr>
        <w:pStyle w:val="Prrafodelista"/>
        <w:numPr>
          <w:ilvl w:val="0"/>
          <w:numId w:val="9"/>
        </w:numPr>
        <w:spacing w:line="312" w:lineRule="auto"/>
        <w:jc w:val="both"/>
        <w:rPr>
          <w:rFonts w:ascii="Arial" w:hAnsi="Arial" w:cs="Arial"/>
          <w:sz w:val="20"/>
          <w:szCs w:val="20"/>
        </w:rPr>
      </w:pPr>
      <w:r w:rsidRPr="00092A5D">
        <w:rPr>
          <w:rFonts w:ascii="Arial" w:hAnsi="Arial" w:cs="Arial"/>
          <w:sz w:val="20"/>
          <w:szCs w:val="20"/>
        </w:rPr>
        <w:t>Bienes Inmuebles</w:t>
      </w:r>
    </w:p>
    <w:p w14:paraId="5624A4ED" w14:textId="77777777" w:rsidR="00792FE2" w:rsidRDefault="00792FE2" w:rsidP="00792FE2">
      <w:pPr>
        <w:numPr>
          <w:ilvl w:val="0"/>
          <w:numId w:val="15"/>
        </w:numPr>
        <w:spacing w:after="0" w:line="312" w:lineRule="auto"/>
        <w:ind w:left="714" w:hanging="357"/>
        <w:contextualSpacing/>
        <w:jc w:val="both"/>
        <w:rPr>
          <w:rFonts w:ascii="Arial" w:hAnsi="Arial" w:cs="Arial"/>
          <w:sz w:val="20"/>
          <w:szCs w:val="20"/>
        </w:rPr>
      </w:pPr>
      <w:r w:rsidRPr="00333D34">
        <w:rPr>
          <w:rFonts w:ascii="Arial" w:hAnsi="Arial" w:cs="Arial"/>
          <w:sz w:val="20"/>
          <w:szCs w:val="20"/>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Default="00AA7B9C" w:rsidP="000A027C">
      <w:pPr>
        <w:numPr>
          <w:ilvl w:val="0"/>
          <w:numId w:val="15"/>
        </w:numPr>
        <w:spacing w:after="0" w:line="312" w:lineRule="auto"/>
        <w:ind w:left="714" w:hanging="357"/>
        <w:contextualSpacing/>
        <w:jc w:val="both"/>
        <w:rPr>
          <w:rFonts w:ascii="Arial" w:hAnsi="Arial" w:cs="Arial"/>
          <w:sz w:val="20"/>
          <w:szCs w:val="20"/>
        </w:rPr>
      </w:pPr>
      <w:r>
        <w:rPr>
          <w:rFonts w:ascii="Arial" w:hAnsi="Arial" w:cs="Arial"/>
          <w:sz w:val="20"/>
          <w:szCs w:val="20"/>
        </w:rPr>
        <w:t>Se realizó la entrega del inmueble a Gobierno del Estado, actualmente</w:t>
      </w:r>
      <w:r w:rsidR="00EE4113">
        <w:rPr>
          <w:rFonts w:ascii="Arial" w:hAnsi="Arial" w:cs="Arial"/>
          <w:sz w:val="20"/>
          <w:szCs w:val="20"/>
        </w:rPr>
        <w:t xml:space="preserve"> se solicitó que a través de la SFIyA se iniciará el proceso de acuerdo de destino del bien inmueble que ocupaba la extinta COVEG, para ser</w:t>
      </w:r>
      <w:r>
        <w:rPr>
          <w:rFonts w:ascii="Arial" w:hAnsi="Arial" w:cs="Arial"/>
          <w:sz w:val="20"/>
          <w:szCs w:val="20"/>
        </w:rPr>
        <w:t xml:space="preserve"> parte de las oficinas de la Secretaría del Medio Ambiente y Ordenamiento Territorial.</w:t>
      </w:r>
    </w:p>
    <w:p w14:paraId="3731E6BA" w14:textId="77777777" w:rsidR="00092A5D" w:rsidRDefault="000A027C" w:rsidP="00F46DC8">
      <w:pPr>
        <w:numPr>
          <w:ilvl w:val="0"/>
          <w:numId w:val="15"/>
        </w:numPr>
        <w:spacing w:after="0" w:line="312" w:lineRule="auto"/>
        <w:contextualSpacing/>
        <w:jc w:val="both"/>
        <w:rPr>
          <w:rFonts w:ascii="Arial" w:hAnsi="Arial" w:cs="Arial"/>
          <w:sz w:val="20"/>
          <w:szCs w:val="20"/>
        </w:rPr>
      </w:pPr>
      <w:r w:rsidRPr="00092A5D">
        <w:rPr>
          <w:rFonts w:ascii="Arial" w:hAnsi="Arial" w:cs="Arial"/>
          <w:sz w:val="20"/>
          <w:szCs w:val="20"/>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76EB2D33" w:rsidR="000A027C" w:rsidRPr="00092A5D" w:rsidRDefault="000A027C" w:rsidP="00F46DC8">
      <w:pPr>
        <w:numPr>
          <w:ilvl w:val="0"/>
          <w:numId w:val="15"/>
        </w:numPr>
        <w:spacing w:after="0" w:line="312" w:lineRule="auto"/>
        <w:contextualSpacing/>
        <w:jc w:val="both"/>
        <w:rPr>
          <w:rFonts w:ascii="Arial" w:hAnsi="Arial" w:cs="Arial"/>
          <w:sz w:val="20"/>
          <w:szCs w:val="20"/>
        </w:rPr>
      </w:pPr>
      <w:r w:rsidRPr="00092A5D">
        <w:rPr>
          <w:rFonts w:ascii="Arial" w:hAnsi="Arial" w:cs="Arial"/>
          <w:sz w:val="20"/>
          <w:szCs w:val="20"/>
        </w:rPr>
        <w:t xml:space="preserve">Con Oficio SMAOT/SOTGRN/0366/2020 de fecha 18 de agosto 2020, se solicitó ante la Dirección General de Control Patrimonial el registro de 863 inmuebles en el Padrón propiedad inmobiliaria </w:t>
      </w:r>
      <w:r w:rsidRPr="00092A5D">
        <w:rPr>
          <w:rFonts w:ascii="Arial" w:hAnsi="Arial" w:cs="Arial"/>
          <w:sz w:val="20"/>
          <w:szCs w:val="20"/>
        </w:rPr>
        <w:lastRenderedPageBreak/>
        <w:t>estatal, de los cuales se registrará la baja contable una vez que se notifique la autorización de alta en el padrón mencionado.</w:t>
      </w:r>
    </w:p>
    <w:p w14:paraId="56D80664" w14:textId="77777777" w:rsidR="00792FE2" w:rsidRPr="00333D34" w:rsidRDefault="00792FE2" w:rsidP="00792FE2">
      <w:pPr>
        <w:spacing w:line="312" w:lineRule="auto"/>
        <w:contextualSpacing/>
        <w:jc w:val="both"/>
        <w:rPr>
          <w:rFonts w:ascii="Arial" w:hAnsi="Arial" w:cs="Arial"/>
          <w:sz w:val="20"/>
          <w:szCs w:val="20"/>
        </w:rPr>
      </w:pPr>
    </w:p>
    <w:p w14:paraId="00B6E15C" w14:textId="6AFBEDAE" w:rsidR="00792FE2" w:rsidRPr="00092A5D" w:rsidRDefault="00792FE2" w:rsidP="00092A5D">
      <w:pPr>
        <w:pStyle w:val="Prrafodelista"/>
        <w:numPr>
          <w:ilvl w:val="0"/>
          <w:numId w:val="9"/>
        </w:numPr>
        <w:spacing w:line="312" w:lineRule="auto"/>
        <w:jc w:val="both"/>
        <w:rPr>
          <w:rFonts w:ascii="Arial" w:hAnsi="Arial" w:cs="Arial"/>
          <w:sz w:val="20"/>
          <w:szCs w:val="20"/>
        </w:rPr>
      </w:pPr>
      <w:r w:rsidRPr="00092A5D">
        <w:rPr>
          <w:rFonts w:ascii="Arial" w:hAnsi="Arial" w:cs="Arial"/>
          <w:sz w:val="20"/>
          <w:szCs w:val="20"/>
        </w:rPr>
        <w:t>Bienes Muebles e Intangible</w:t>
      </w:r>
    </w:p>
    <w:p w14:paraId="1279D2A0" w14:textId="242DEFDB" w:rsidR="00AA7B9C" w:rsidRPr="00BE535B" w:rsidRDefault="00AA7B9C" w:rsidP="00092A5D">
      <w:pPr>
        <w:pStyle w:val="Prrafodelista"/>
        <w:spacing w:line="312" w:lineRule="auto"/>
        <w:ind w:left="1068"/>
        <w:jc w:val="both"/>
        <w:rPr>
          <w:rFonts w:ascii="Arial" w:hAnsi="Arial" w:cs="Arial"/>
          <w:sz w:val="20"/>
          <w:szCs w:val="20"/>
        </w:rPr>
      </w:pPr>
      <w:r w:rsidRPr="00BE535B">
        <w:rPr>
          <w:rFonts w:ascii="Arial" w:hAnsi="Arial" w:cs="Arial"/>
          <w:sz w:val="20"/>
          <w:szCs w:val="20"/>
        </w:rPr>
        <w:t xml:space="preserve">Se realizó la baja de bienes Muebles derivado de la entrega-recepción extraordinaria de la Comisión de Vivienda del Estado de Guanajuato (COVEG), con motivo de la creación de </w:t>
      </w:r>
      <w:r w:rsidR="000A027C" w:rsidRPr="00BE535B">
        <w:rPr>
          <w:rFonts w:ascii="Arial" w:hAnsi="Arial" w:cs="Arial"/>
          <w:sz w:val="20"/>
          <w:szCs w:val="20"/>
        </w:rPr>
        <w:t>la Secretaria de Medio Ambiente</w:t>
      </w:r>
      <w:r w:rsidRPr="00BE535B">
        <w:rPr>
          <w:rFonts w:ascii="Arial" w:hAnsi="Arial" w:cs="Arial"/>
          <w:sz w:val="20"/>
          <w:szCs w:val="20"/>
        </w:rPr>
        <w:t xml:space="preserve"> y Ordenamiento Territorial de fecha 07 de agosto de 2020 (tercera y última entrega), en apego al decreto gubernativo 332 de fecha 21 de septiembre de 2018.</w:t>
      </w:r>
    </w:p>
    <w:p w14:paraId="02F04165" w14:textId="77777777" w:rsidR="00792FE2" w:rsidRPr="00333D34" w:rsidRDefault="00792FE2" w:rsidP="00792FE2">
      <w:pPr>
        <w:spacing w:line="312" w:lineRule="auto"/>
        <w:ind w:left="708"/>
        <w:contextualSpacing/>
        <w:jc w:val="both"/>
        <w:rPr>
          <w:rFonts w:ascii="Arial" w:hAnsi="Arial" w:cs="Arial"/>
          <w:sz w:val="20"/>
          <w:szCs w:val="20"/>
        </w:rPr>
      </w:pPr>
    </w:p>
    <w:p w14:paraId="434C3906" w14:textId="3A1E0B6B" w:rsidR="00792FE2"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Riegos por tipo de cambio o tipo de interés de las inversiones financieras.</w:t>
      </w:r>
    </w:p>
    <w:p w14:paraId="2DA8D593" w14:textId="77777777" w:rsidR="00524E52" w:rsidRPr="00524E52" w:rsidRDefault="00524E52" w:rsidP="00524E52">
      <w:pPr>
        <w:spacing w:after="0" w:line="312" w:lineRule="auto"/>
        <w:ind w:left="1080"/>
        <w:contextualSpacing/>
        <w:jc w:val="both"/>
        <w:rPr>
          <w:rFonts w:ascii="Arial" w:hAnsi="Arial" w:cs="Arial"/>
          <w:sz w:val="10"/>
          <w:szCs w:val="10"/>
        </w:rPr>
      </w:pPr>
    </w:p>
    <w:p w14:paraId="5E34868D" w14:textId="77777777" w:rsidR="00792FE2" w:rsidRPr="00333D34" w:rsidRDefault="00792FE2" w:rsidP="00792FE2">
      <w:pPr>
        <w:spacing w:line="312" w:lineRule="auto"/>
        <w:ind w:left="708"/>
        <w:jc w:val="both"/>
        <w:rPr>
          <w:rFonts w:ascii="Arial" w:hAnsi="Arial" w:cs="Arial"/>
          <w:sz w:val="20"/>
          <w:szCs w:val="20"/>
        </w:rPr>
      </w:pPr>
      <w:r w:rsidRPr="00333D34">
        <w:rPr>
          <w:rFonts w:ascii="Arial" w:hAnsi="Arial" w:cs="Arial"/>
          <w:sz w:val="20"/>
          <w:szCs w:val="20"/>
        </w:rPr>
        <w:t>La COVEG realiza la administración de los activos en base a la contratación de inversiones que reditúen un mayor rendimiento sin riesgo para los valores de la institución.</w:t>
      </w:r>
    </w:p>
    <w:p w14:paraId="201AB43A" w14:textId="77777777" w:rsidR="00792FE2" w:rsidRPr="00333D34" w:rsidRDefault="00792FE2" w:rsidP="00792FE2">
      <w:pPr>
        <w:spacing w:line="312" w:lineRule="auto"/>
        <w:ind w:left="720"/>
        <w:contextualSpacing/>
        <w:jc w:val="both"/>
        <w:rPr>
          <w:rFonts w:ascii="Arial" w:hAnsi="Arial" w:cs="Arial"/>
          <w:sz w:val="10"/>
          <w:szCs w:val="10"/>
        </w:rPr>
      </w:pPr>
    </w:p>
    <w:p w14:paraId="3B80E937"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Valor activado en el ejercicio de los bienes construidos por la entidad.</w:t>
      </w:r>
    </w:p>
    <w:p w14:paraId="5B7FBC25" w14:textId="77777777" w:rsidR="00792FE2" w:rsidRPr="00333D34" w:rsidRDefault="00792FE2" w:rsidP="00792FE2">
      <w:pPr>
        <w:spacing w:line="312" w:lineRule="auto"/>
        <w:ind w:left="720"/>
        <w:contextualSpacing/>
        <w:jc w:val="both"/>
        <w:rPr>
          <w:rFonts w:ascii="Arial" w:hAnsi="Arial" w:cs="Arial"/>
          <w:sz w:val="20"/>
          <w:szCs w:val="20"/>
        </w:rPr>
      </w:pPr>
      <w:r w:rsidRPr="00333D34">
        <w:rPr>
          <w:rFonts w:ascii="Arial" w:hAnsi="Arial" w:cs="Arial"/>
          <w:sz w:val="20"/>
          <w:szCs w:val="20"/>
        </w:rPr>
        <w:t>NO APLICA</w:t>
      </w:r>
    </w:p>
    <w:p w14:paraId="4E61B720" w14:textId="77777777" w:rsidR="00792FE2" w:rsidRPr="00333D34" w:rsidRDefault="00792FE2" w:rsidP="00792FE2">
      <w:pPr>
        <w:spacing w:line="312" w:lineRule="auto"/>
        <w:ind w:left="720"/>
        <w:contextualSpacing/>
        <w:jc w:val="both"/>
        <w:rPr>
          <w:rFonts w:ascii="Arial" w:hAnsi="Arial" w:cs="Arial"/>
          <w:sz w:val="10"/>
          <w:szCs w:val="10"/>
        </w:rPr>
      </w:pPr>
    </w:p>
    <w:p w14:paraId="15BB1EBE"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333D34" w:rsidRDefault="00792FE2" w:rsidP="00792FE2">
      <w:pPr>
        <w:spacing w:line="312" w:lineRule="auto"/>
        <w:contextualSpacing/>
        <w:jc w:val="both"/>
        <w:rPr>
          <w:rFonts w:ascii="Arial" w:hAnsi="Arial" w:cs="Arial"/>
          <w:sz w:val="10"/>
          <w:szCs w:val="10"/>
        </w:rPr>
      </w:pPr>
    </w:p>
    <w:p w14:paraId="302E61D3" w14:textId="1BC92022" w:rsidR="00792FE2" w:rsidRPr="00333D34" w:rsidRDefault="00AA7B9C" w:rsidP="00792FE2">
      <w:pPr>
        <w:spacing w:line="312" w:lineRule="auto"/>
        <w:ind w:firstLine="708"/>
        <w:contextualSpacing/>
        <w:jc w:val="both"/>
        <w:rPr>
          <w:rFonts w:ascii="Arial" w:hAnsi="Arial" w:cs="Arial"/>
          <w:sz w:val="20"/>
          <w:szCs w:val="20"/>
        </w:rPr>
      </w:pPr>
      <w:r>
        <w:rPr>
          <w:rFonts w:ascii="Arial" w:hAnsi="Arial" w:cs="Arial"/>
          <w:sz w:val="20"/>
          <w:szCs w:val="20"/>
        </w:rPr>
        <w:t xml:space="preserve">Al </w:t>
      </w:r>
      <w:r w:rsidR="00924DA9">
        <w:rPr>
          <w:rFonts w:ascii="Arial" w:hAnsi="Arial" w:cs="Arial"/>
          <w:sz w:val="20"/>
          <w:szCs w:val="20"/>
        </w:rPr>
        <w:t>31 de marzo 2021</w:t>
      </w:r>
      <w:r w:rsidR="00792FE2" w:rsidRPr="00333D34">
        <w:rPr>
          <w:rFonts w:ascii="Arial" w:hAnsi="Arial" w:cs="Arial"/>
          <w:sz w:val="20"/>
          <w:szCs w:val="20"/>
        </w:rPr>
        <w:t xml:space="preserve"> existe un total de 589 inmuebles gravados los cuales se revelan en el Informe sobre Pasivos Contingentes.</w:t>
      </w:r>
    </w:p>
    <w:p w14:paraId="7E6BA142" w14:textId="77777777" w:rsidR="00792FE2" w:rsidRPr="00333D34" w:rsidRDefault="00792FE2" w:rsidP="00792FE2">
      <w:pPr>
        <w:spacing w:line="312" w:lineRule="auto"/>
        <w:ind w:left="1080"/>
        <w:contextualSpacing/>
        <w:jc w:val="both"/>
        <w:rPr>
          <w:rFonts w:ascii="Arial" w:hAnsi="Arial" w:cs="Arial"/>
          <w:sz w:val="20"/>
          <w:szCs w:val="20"/>
        </w:rPr>
      </w:pPr>
    </w:p>
    <w:p w14:paraId="0216575E"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Desmantelamiento de Activos, procedimientos, implicaciones, efectos contables</w:t>
      </w:r>
    </w:p>
    <w:p w14:paraId="2E226453" w14:textId="77777777" w:rsidR="00792FE2" w:rsidRPr="00333D34" w:rsidRDefault="00792FE2" w:rsidP="00792FE2">
      <w:pPr>
        <w:spacing w:line="312" w:lineRule="auto"/>
        <w:ind w:left="720"/>
        <w:contextualSpacing/>
        <w:jc w:val="both"/>
        <w:rPr>
          <w:rFonts w:ascii="Arial" w:hAnsi="Arial" w:cs="Arial"/>
          <w:sz w:val="20"/>
          <w:szCs w:val="20"/>
        </w:rPr>
      </w:pPr>
      <w:r w:rsidRPr="00333D34">
        <w:rPr>
          <w:rFonts w:ascii="Arial" w:hAnsi="Arial" w:cs="Arial"/>
          <w:sz w:val="20"/>
          <w:szCs w:val="20"/>
        </w:rPr>
        <w:t>NO APLICA</w:t>
      </w:r>
    </w:p>
    <w:p w14:paraId="786FA050" w14:textId="77777777" w:rsidR="00792FE2" w:rsidRPr="00333D34" w:rsidRDefault="00792FE2" w:rsidP="00792FE2">
      <w:pPr>
        <w:spacing w:line="312" w:lineRule="auto"/>
        <w:contextualSpacing/>
        <w:jc w:val="both"/>
        <w:rPr>
          <w:rFonts w:ascii="Arial" w:hAnsi="Arial" w:cs="Arial"/>
          <w:sz w:val="10"/>
          <w:szCs w:val="10"/>
        </w:rPr>
      </w:pPr>
    </w:p>
    <w:p w14:paraId="6D661DF0" w14:textId="77777777" w:rsidR="00792FE2" w:rsidRPr="00333D34" w:rsidRDefault="00792FE2" w:rsidP="00792FE2">
      <w:pPr>
        <w:spacing w:line="312" w:lineRule="auto"/>
        <w:ind w:left="720"/>
        <w:contextualSpacing/>
        <w:jc w:val="both"/>
        <w:rPr>
          <w:rFonts w:ascii="Arial" w:hAnsi="Arial" w:cs="Arial"/>
          <w:sz w:val="10"/>
          <w:szCs w:val="10"/>
        </w:rPr>
      </w:pPr>
    </w:p>
    <w:p w14:paraId="01976A37" w14:textId="77777777" w:rsidR="00792FE2" w:rsidRPr="00333D34" w:rsidRDefault="00792FE2" w:rsidP="00792FE2">
      <w:pPr>
        <w:numPr>
          <w:ilvl w:val="0"/>
          <w:numId w:val="12"/>
        </w:numPr>
        <w:spacing w:after="0" w:line="312" w:lineRule="auto"/>
        <w:contextualSpacing/>
        <w:jc w:val="both"/>
        <w:rPr>
          <w:rFonts w:ascii="Arial" w:hAnsi="Arial" w:cs="Arial"/>
          <w:sz w:val="20"/>
          <w:szCs w:val="20"/>
        </w:rPr>
      </w:pPr>
      <w:r w:rsidRPr="00333D34">
        <w:rPr>
          <w:rFonts w:ascii="Arial" w:hAnsi="Arial" w:cs="Arial"/>
          <w:sz w:val="20"/>
          <w:szCs w:val="20"/>
        </w:rPr>
        <w:t>Administración de activos; planeación con el objetivo de que el ente los utilice de manera más efectiva.</w:t>
      </w:r>
    </w:p>
    <w:p w14:paraId="28D2745B" w14:textId="77777777" w:rsidR="00792FE2" w:rsidRPr="00333D34" w:rsidRDefault="00792FE2" w:rsidP="00792FE2">
      <w:pPr>
        <w:spacing w:line="312" w:lineRule="auto"/>
        <w:contextualSpacing/>
        <w:jc w:val="both"/>
        <w:rPr>
          <w:rFonts w:ascii="Arial" w:hAnsi="Arial" w:cs="Arial"/>
          <w:sz w:val="10"/>
          <w:szCs w:val="10"/>
        </w:rPr>
      </w:pPr>
    </w:p>
    <w:p w14:paraId="2CC69FA0" w14:textId="45B4A0F6" w:rsidR="00792FE2" w:rsidRPr="00333D34" w:rsidRDefault="00924DA9" w:rsidP="00792FE2">
      <w:pPr>
        <w:spacing w:line="312" w:lineRule="auto"/>
        <w:ind w:left="708"/>
        <w:contextualSpacing/>
        <w:jc w:val="both"/>
        <w:rPr>
          <w:rFonts w:ascii="Arial" w:hAnsi="Arial" w:cs="Arial"/>
          <w:sz w:val="20"/>
          <w:szCs w:val="20"/>
        </w:rPr>
      </w:pPr>
      <w:r>
        <w:rPr>
          <w:rFonts w:ascii="Arial" w:hAnsi="Arial" w:cs="Arial"/>
          <w:sz w:val="20"/>
          <w:szCs w:val="20"/>
        </w:rPr>
        <w:t>Se</w:t>
      </w:r>
      <w:r w:rsidR="00792FE2" w:rsidRPr="00333D34">
        <w:rPr>
          <w:rFonts w:ascii="Arial" w:hAnsi="Arial" w:cs="Arial"/>
          <w:sz w:val="20"/>
          <w:szCs w:val="20"/>
        </w:rPr>
        <w:t xml:space="preserve"> realiza la administración de los activos en base a la contratación de inversiones que reditúen un mayor rendimiento sin riesgo para los valores de la institución.</w:t>
      </w:r>
    </w:p>
    <w:p w14:paraId="5AE696ED"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 xml:space="preserve"> </w:t>
      </w:r>
    </w:p>
    <w:p w14:paraId="5B38E377" w14:textId="77777777" w:rsidR="00792FE2" w:rsidRPr="00333D34" w:rsidRDefault="00792FE2" w:rsidP="00792FE2">
      <w:pPr>
        <w:spacing w:line="312" w:lineRule="auto"/>
        <w:ind w:firstLine="708"/>
        <w:contextualSpacing/>
        <w:jc w:val="both"/>
        <w:rPr>
          <w:rFonts w:ascii="Arial" w:hAnsi="Arial" w:cs="Arial"/>
          <w:sz w:val="20"/>
          <w:szCs w:val="20"/>
        </w:rPr>
      </w:pPr>
      <w:r w:rsidRPr="00333D34">
        <w:rPr>
          <w:rFonts w:ascii="Arial" w:hAnsi="Arial" w:cs="Arial"/>
          <w:sz w:val="20"/>
          <w:szCs w:val="20"/>
        </w:rPr>
        <w:t>Adicionalmente, se deben incluir las explicaciones de las principales variaciones en el activo, en cuadros comparativos como sigue:</w:t>
      </w:r>
    </w:p>
    <w:p w14:paraId="307B3AD3" w14:textId="77777777" w:rsidR="00792FE2" w:rsidRPr="00333D34" w:rsidRDefault="00792FE2" w:rsidP="00792FE2">
      <w:pPr>
        <w:spacing w:line="312" w:lineRule="auto"/>
        <w:ind w:left="1080"/>
        <w:contextualSpacing/>
        <w:jc w:val="both"/>
        <w:rPr>
          <w:rFonts w:ascii="Arial" w:hAnsi="Arial" w:cs="Arial"/>
          <w:sz w:val="10"/>
          <w:szCs w:val="10"/>
        </w:rPr>
      </w:pPr>
    </w:p>
    <w:p w14:paraId="028C8E64" w14:textId="321602AD" w:rsidR="00792FE2" w:rsidRPr="00333D34" w:rsidRDefault="00792FE2" w:rsidP="00792FE2">
      <w:pPr>
        <w:numPr>
          <w:ilvl w:val="0"/>
          <w:numId w:val="13"/>
        </w:numPr>
        <w:spacing w:after="0" w:line="312" w:lineRule="auto"/>
        <w:contextualSpacing/>
        <w:jc w:val="both"/>
        <w:rPr>
          <w:rFonts w:ascii="Arial" w:hAnsi="Arial" w:cs="Arial"/>
          <w:sz w:val="20"/>
          <w:szCs w:val="20"/>
        </w:rPr>
      </w:pPr>
      <w:r w:rsidRPr="00333D34">
        <w:rPr>
          <w:rFonts w:ascii="Arial" w:hAnsi="Arial" w:cs="Arial"/>
          <w:sz w:val="20"/>
          <w:szCs w:val="20"/>
        </w:rPr>
        <w:t>Inver</w:t>
      </w:r>
      <w:r w:rsidR="00AA7B9C">
        <w:rPr>
          <w:rFonts w:ascii="Arial" w:hAnsi="Arial" w:cs="Arial"/>
          <w:sz w:val="20"/>
          <w:szCs w:val="20"/>
        </w:rPr>
        <w:t xml:space="preserve">siones en valores al </w:t>
      </w:r>
      <w:r w:rsidR="000A027C">
        <w:rPr>
          <w:rFonts w:ascii="Arial" w:hAnsi="Arial" w:cs="Arial"/>
          <w:sz w:val="20"/>
          <w:szCs w:val="20"/>
        </w:rPr>
        <w:t xml:space="preserve">31 de </w:t>
      </w:r>
      <w:r w:rsidR="00924DA9">
        <w:rPr>
          <w:rFonts w:ascii="Arial" w:hAnsi="Arial" w:cs="Arial"/>
          <w:sz w:val="20"/>
          <w:szCs w:val="20"/>
        </w:rPr>
        <w:t>marzo de 2021</w:t>
      </w:r>
      <w:r w:rsidRPr="00333D34">
        <w:rPr>
          <w:rFonts w:ascii="Arial" w:hAnsi="Arial" w:cs="Arial"/>
          <w:sz w:val="20"/>
          <w:szCs w:val="20"/>
        </w:rPr>
        <w:t>.</w:t>
      </w:r>
    </w:p>
    <w:p w14:paraId="653F4EB8" w14:textId="3D8FC526" w:rsidR="00792FE2" w:rsidRPr="00333D34" w:rsidRDefault="00792FE2" w:rsidP="000105CE">
      <w:pPr>
        <w:spacing w:line="312" w:lineRule="auto"/>
        <w:contextualSpacing/>
        <w:jc w:val="center"/>
        <w:rPr>
          <w:rFonts w:ascii="Arial" w:hAnsi="Arial" w:cs="Arial"/>
          <w:sz w:val="20"/>
          <w:szCs w:val="20"/>
        </w:rPr>
      </w:pPr>
    </w:p>
    <w:p w14:paraId="48BBD21F" w14:textId="6FA6E15E" w:rsidR="00792FE2" w:rsidRPr="00333D34" w:rsidRDefault="00924DA9" w:rsidP="00792FE2">
      <w:pPr>
        <w:spacing w:line="312" w:lineRule="auto"/>
        <w:contextualSpacing/>
        <w:jc w:val="both"/>
        <w:rPr>
          <w:rFonts w:ascii="Arial" w:hAnsi="Arial" w:cs="Arial"/>
          <w:sz w:val="10"/>
          <w:szCs w:val="10"/>
        </w:rPr>
      </w:pPr>
      <w:r>
        <w:rPr>
          <w:noProof/>
        </w:rPr>
        <w:drawing>
          <wp:inline distT="0" distB="0" distL="0" distR="0" wp14:anchorId="7020D55F" wp14:editId="7599B8E3">
            <wp:extent cx="5915025" cy="446405"/>
            <wp:effectExtent l="0" t="0" r="9525" b="0"/>
            <wp:docPr id="262150" name="Imagen 4">
              <a:extLst xmlns:a="http://schemas.openxmlformats.org/drawingml/2006/main">
                <a:ext uri="{FF2B5EF4-FFF2-40B4-BE49-F238E27FC236}">
                  <a16:creationId xmlns:a16="http://schemas.microsoft.com/office/drawing/2014/main" id="{ECC814BE-DE40-4568-9511-299117C10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50" name="Imagen 4">
                      <a:extLst>
                        <a:ext uri="{FF2B5EF4-FFF2-40B4-BE49-F238E27FC236}">
                          <a16:creationId xmlns:a16="http://schemas.microsoft.com/office/drawing/2014/main" id="{ECC814BE-DE40-4568-9511-299117C10C6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446405"/>
                    </a:xfrm>
                    <a:prstGeom prst="rect">
                      <a:avLst/>
                    </a:prstGeom>
                    <a:noFill/>
                    <a:ln>
                      <a:noFill/>
                    </a:ln>
                  </pic:spPr>
                </pic:pic>
              </a:graphicData>
            </a:graphic>
          </wp:inline>
        </w:drawing>
      </w:r>
    </w:p>
    <w:p w14:paraId="0D48B1E7" w14:textId="77777777" w:rsidR="00792FE2" w:rsidRPr="00333D34" w:rsidRDefault="00792FE2" w:rsidP="00792FE2">
      <w:pPr>
        <w:spacing w:line="312" w:lineRule="auto"/>
        <w:ind w:left="1080" w:hanging="360"/>
        <w:contextualSpacing/>
        <w:jc w:val="both"/>
        <w:rPr>
          <w:rFonts w:ascii="Arial" w:hAnsi="Arial" w:cs="Arial"/>
          <w:sz w:val="20"/>
          <w:szCs w:val="20"/>
        </w:rPr>
      </w:pPr>
    </w:p>
    <w:p w14:paraId="38DD9866"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Patrimonio de organismos descentralizados. NO APLICA</w:t>
      </w:r>
    </w:p>
    <w:p w14:paraId="282C64B6"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lastRenderedPageBreak/>
        <w:t>c)</w:t>
      </w:r>
      <w:r w:rsidRPr="00333D34">
        <w:rPr>
          <w:rFonts w:ascii="Arial" w:hAnsi="Arial" w:cs="Arial"/>
          <w:sz w:val="20"/>
          <w:szCs w:val="20"/>
        </w:rPr>
        <w:tab/>
        <w:t>Inversiones en empresas de participación mayoritaria. NO APLICA</w:t>
      </w:r>
    </w:p>
    <w:p w14:paraId="4A2063EC"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d)</w:t>
      </w:r>
      <w:r w:rsidRPr="00333D34">
        <w:rPr>
          <w:rFonts w:ascii="Arial" w:hAnsi="Arial" w:cs="Arial"/>
          <w:sz w:val="20"/>
          <w:szCs w:val="20"/>
        </w:rPr>
        <w:tab/>
        <w:t>Inversiones en empresas de participación minoritaria. NO APLICA</w:t>
      </w:r>
    </w:p>
    <w:p w14:paraId="57A62B5A" w14:textId="77777777" w:rsidR="00792FE2" w:rsidRPr="00333D34" w:rsidRDefault="00792FE2" w:rsidP="00792FE2">
      <w:pPr>
        <w:spacing w:line="312" w:lineRule="auto"/>
        <w:ind w:firstLine="288"/>
        <w:contextualSpacing/>
        <w:jc w:val="both"/>
        <w:rPr>
          <w:rFonts w:ascii="Arial" w:hAnsi="Arial" w:cs="Arial"/>
          <w:b/>
          <w:sz w:val="20"/>
          <w:szCs w:val="20"/>
        </w:rPr>
      </w:pPr>
    </w:p>
    <w:p w14:paraId="1CD9F4A3"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9.</w:t>
      </w:r>
      <w:r w:rsidRPr="00333D34">
        <w:rPr>
          <w:rFonts w:ascii="Arial" w:hAnsi="Arial" w:cs="Arial"/>
          <w:b/>
          <w:sz w:val="20"/>
          <w:szCs w:val="20"/>
        </w:rPr>
        <w:tab/>
        <w:t>Fideicomisos, Mandatos y Análogos</w:t>
      </w:r>
    </w:p>
    <w:p w14:paraId="708ADBFE"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deberá informar:</w:t>
      </w:r>
    </w:p>
    <w:p w14:paraId="1A2683C1"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a)</w:t>
      </w:r>
      <w:r w:rsidRPr="00333D34">
        <w:rPr>
          <w:rFonts w:ascii="Arial" w:hAnsi="Arial" w:cs="Arial"/>
          <w:sz w:val="20"/>
          <w:szCs w:val="20"/>
        </w:rPr>
        <w:tab/>
        <w:t>Por ramo o unidad administrativa que los reporta.</w:t>
      </w:r>
    </w:p>
    <w:p w14:paraId="52994CEB"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Enlistar los de mayor monto de disponibilidad, relacionando aquéllos que conforman el 80% de las disponibilidades.</w:t>
      </w:r>
    </w:p>
    <w:p w14:paraId="5E28A9FD" w14:textId="77777777" w:rsidR="00792FE2" w:rsidRPr="00333D34" w:rsidRDefault="00792FE2" w:rsidP="00792FE2">
      <w:pPr>
        <w:spacing w:line="312" w:lineRule="auto"/>
        <w:contextualSpacing/>
        <w:jc w:val="both"/>
        <w:rPr>
          <w:rFonts w:ascii="Arial" w:hAnsi="Arial" w:cs="Arial"/>
          <w:sz w:val="10"/>
          <w:szCs w:val="10"/>
        </w:rPr>
      </w:pPr>
    </w:p>
    <w:p w14:paraId="590E27D9" w14:textId="77777777" w:rsidR="00792FE2"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NO APLICA</w:t>
      </w:r>
    </w:p>
    <w:p w14:paraId="2130DDA4" w14:textId="77777777" w:rsidR="000105CE" w:rsidRPr="00333D34" w:rsidRDefault="000105CE" w:rsidP="00792FE2">
      <w:pPr>
        <w:spacing w:line="312" w:lineRule="auto"/>
        <w:ind w:left="1080" w:hanging="360"/>
        <w:contextualSpacing/>
        <w:jc w:val="both"/>
        <w:rPr>
          <w:rFonts w:ascii="Arial" w:hAnsi="Arial" w:cs="Arial"/>
          <w:sz w:val="20"/>
          <w:szCs w:val="20"/>
        </w:rPr>
      </w:pPr>
    </w:p>
    <w:p w14:paraId="0F1BA0FA"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10.</w:t>
      </w:r>
      <w:r w:rsidRPr="00333D34">
        <w:rPr>
          <w:rFonts w:ascii="Arial" w:hAnsi="Arial" w:cs="Arial"/>
          <w:b/>
          <w:sz w:val="20"/>
          <w:szCs w:val="20"/>
        </w:rPr>
        <w:tab/>
        <w:t>Reporte de la Recaudación</w:t>
      </w:r>
    </w:p>
    <w:p w14:paraId="31FB54F0" w14:textId="77777777" w:rsidR="00792FE2" w:rsidRPr="00333D34" w:rsidRDefault="00792FE2" w:rsidP="00792FE2">
      <w:pPr>
        <w:spacing w:line="312" w:lineRule="auto"/>
        <w:ind w:firstLine="288"/>
        <w:contextualSpacing/>
        <w:jc w:val="both"/>
        <w:rPr>
          <w:rFonts w:ascii="Arial" w:hAnsi="Arial" w:cs="Arial"/>
          <w:b/>
          <w:sz w:val="10"/>
          <w:szCs w:val="10"/>
        </w:rPr>
      </w:pPr>
    </w:p>
    <w:p w14:paraId="11F644EC"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a)</w:t>
      </w:r>
      <w:r w:rsidRPr="00333D34">
        <w:rPr>
          <w:rFonts w:ascii="Arial" w:hAnsi="Arial" w:cs="Arial"/>
          <w:sz w:val="20"/>
          <w:szCs w:val="20"/>
        </w:rPr>
        <w:tab/>
        <w:t>Análisis del comportamiento de la recaudación correspondiente al ente público o cualquier tipo de ingreso, de forma separada los ingresos locales de los federales.</w:t>
      </w:r>
    </w:p>
    <w:p w14:paraId="2FBEBB05" w14:textId="77777777" w:rsidR="00792FE2" w:rsidRPr="00333D34" w:rsidRDefault="00792FE2" w:rsidP="00792FE2">
      <w:pPr>
        <w:spacing w:line="312" w:lineRule="auto"/>
        <w:ind w:left="1080" w:hanging="360"/>
        <w:contextualSpacing/>
        <w:jc w:val="both"/>
        <w:rPr>
          <w:rFonts w:ascii="Arial" w:hAnsi="Arial" w:cs="Arial"/>
          <w:sz w:val="10"/>
          <w:szCs w:val="10"/>
        </w:rPr>
      </w:pPr>
    </w:p>
    <w:p w14:paraId="6AB39EAA" w14:textId="77777777" w:rsidR="000105CE" w:rsidRDefault="000105CE" w:rsidP="00792FE2">
      <w:pPr>
        <w:spacing w:line="312" w:lineRule="auto"/>
        <w:contextualSpacing/>
        <w:jc w:val="both"/>
        <w:rPr>
          <w:rFonts w:ascii="Arial" w:hAnsi="Arial" w:cs="Arial"/>
          <w:sz w:val="20"/>
          <w:szCs w:val="20"/>
        </w:rPr>
      </w:pPr>
    </w:p>
    <w:p w14:paraId="084A3F35" w14:textId="0917DEE1" w:rsidR="000105CE" w:rsidRDefault="007C17C5" w:rsidP="00792FE2">
      <w:pPr>
        <w:spacing w:line="312" w:lineRule="auto"/>
        <w:contextualSpacing/>
        <w:jc w:val="both"/>
        <w:rPr>
          <w:rFonts w:ascii="Arial" w:hAnsi="Arial" w:cs="Arial"/>
          <w:sz w:val="20"/>
          <w:szCs w:val="20"/>
        </w:rPr>
      </w:pPr>
      <w:r w:rsidRPr="007C17C5">
        <w:rPr>
          <w:rFonts w:ascii="Arial" w:hAnsi="Arial" w:cs="Arial"/>
          <w:sz w:val="20"/>
          <w:szCs w:val="20"/>
        </w:rPr>
        <w:t>Los ingresos del 01 de enero al 31 de marzo 2021 representan un importe de $5,140,481.68 (cinco millones ciento cuarenta mil cuatrocientos ochenta y un pesos 68/100 MN).</w:t>
      </w:r>
    </w:p>
    <w:p w14:paraId="73CE188E" w14:textId="4490EFFA" w:rsidR="007C17C5" w:rsidRDefault="007C17C5" w:rsidP="00792FE2">
      <w:pPr>
        <w:spacing w:line="312" w:lineRule="auto"/>
        <w:contextualSpacing/>
        <w:jc w:val="both"/>
        <w:rPr>
          <w:rFonts w:ascii="Arial" w:hAnsi="Arial" w:cs="Arial"/>
          <w:sz w:val="20"/>
          <w:szCs w:val="20"/>
        </w:rPr>
      </w:pPr>
    </w:p>
    <w:p w14:paraId="21F0AA15" w14:textId="77777777" w:rsidR="00792FE2" w:rsidRPr="00333D34" w:rsidRDefault="00792FE2" w:rsidP="00792FE2">
      <w:pPr>
        <w:numPr>
          <w:ilvl w:val="0"/>
          <w:numId w:val="13"/>
        </w:numPr>
        <w:spacing w:after="0" w:line="312" w:lineRule="auto"/>
        <w:contextualSpacing/>
        <w:jc w:val="both"/>
        <w:rPr>
          <w:rFonts w:ascii="Arial" w:hAnsi="Arial" w:cs="Arial"/>
          <w:sz w:val="20"/>
          <w:szCs w:val="20"/>
        </w:rPr>
      </w:pPr>
      <w:r w:rsidRPr="00333D34">
        <w:rPr>
          <w:rFonts w:ascii="Arial" w:hAnsi="Arial" w:cs="Arial"/>
          <w:sz w:val="20"/>
          <w:szCs w:val="20"/>
        </w:rPr>
        <w:t>Proyección de la recaudación e ingresos en el mediano plazo.</w:t>
      </w:r>
    </w:p>
    <w:p w14:paraId="28B99F9A" w14:textId="77777777" w:rsidR="00792FE2" w:rsidRPr="00333D34" w:rsidRDefault="00792FE2" w:rsidP="00792FE2">
      <w:pPr>
        <w:spacing w:line="312" w:lineRule="auto"/>
        <w:contextualSpacing/>
        <w:jc w:val="both"/>
        <w:rPr>
          <w:rFonts w:ascii="Arial" w:hAnsi="Arial" w:cs="Arial"/>
          <w:sz w:val="10"/>
          <w:szCs w:val="10"/>
        </w:rPr>
      </w:pPr>
      <w:r w:rsidRPr="00333D34">
        <w:rPr>
          <w:rFonts w:ascii="Arial" w:hAnsi="Arial" w:cs="Arial"/>
          <w:sz w:val="20"/>
          <w:szCs w:val="20"/>
        </w:rPr>
        <w:t xml:space="preserve">       </w:t>
      </w:r>
    </w:p>
    <w:p w14:paraId="742CA4B8" w14:textId="6744639A"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La proyección del Ingreso de la COVEG para el ejercicio 202</w:t>
      </w:r>
      <w:r w:rsidR="007C17C5">
        <w:rPr>
          <w:rFonts w:ascii="Arial" w:hAnsi="Arial" w:cs="Arial"/>
          <w:sz w:val="20"/>
          <w:szCs w:val="20"/>
        </w:rPr>
        <w:t>1</w:t>
      </w:r>
      <w:r w:rsidRPr="00333D34">
        <w:rPr>
          <w:rFonts w:ascii="Arial" w:hAnsi="Arial" w:cs="Arial"/>
          <w:sz w:val="20"/>
          <w:szCs w:val="20"/>
        </w:rPr>
        <w:t xml:space="preserve"> es la siguiente:</w:t>
      </w:r>
    </w:p>
    <w:p w14:paraId="709CB57B" w14:textId="3FCF0F69" w:rsidR="00792FE2" w:rsidRDefault="00792FE2" w:rsidP="00792FE2">
      <w:pPr>
        <w:spacing w:line="312" w:lineRule="auto"/>
        <w:contextualSpacing/>
        <w:jc w:val="both"/>
        <w:rPr>
          <w:rFonts w:ascii="Arial" w:hAnsi="Arial" w:cs="Arial"/>
          <w:noProof/>
          <w:sz w:val="20"/>
          <w:szCs w:val="20"/>
          <w:lang w:eastAsia="es-MX"/>
        </w:rPr>
      </w:pPr>
    </w:p>
    <w:p w14:paraId="058EFEA6" w14:textId="37F0B3A8" w:rsidR="007C17C5" w:rsidRPr="00333D34" w:rsidRDefault="007C17C5" w:rsidP="00792FE2">
      <w:pPr>
        <w:spacing w:line="312" w:lineRule="auto"/>
        <w:contextualSpacing/>
        <w:jc w:val="both"/>
        <w:rPr>
          <w:rFonts w:ascii="Arial" w:hAnsi="Arial" w:cs="Arial"/>
          <w:sz w:val="20"/>
          <w:szCs w:val="20"/>
        </w:rPr>
      </w:pPr>
      <w:r>
        <w:rPr>
          <w:noProof/>
        </w:rPr>
        <w:drawing>
          <wp:inline distT="0" distB="0" distL="0" distR="0" wp14:anchorId="282917D6" wp14:editId="46B26F58">
            <wp:extent cx="6151880" cy="1847850"/>
            <wp:effectExtent l="0" t="0" r="1270" b="0"/>
            <wp:docPr id="3" name="Imagen 2">
              <a:extLst xmlns:a="http://schemas.openxmlformats.org/drawingml/2006/main">
                <a:ext uri="{FF2B5EF4-FFF2-40B4-BE49-F238E27FC236}">
                  <a16:creationId xmlns:a16="http://schemas.microsoft.com/office/drawing/2014/main" id="{C68DC7DA-ED0C-41F5-BAB3-5D821BCDA5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68DC7DA-ED0C-41F5-BAB3-5D821BCDA5F4}"/>
                        </a:ext>
                      </a:extLst>
                    </pic:cNvPr>
                    <pic:cNvPicPr>
                      <a:picLocks noChangeAspect="1"/>
                    </pic:cNvPicPr>
                  </pic:nvPicPr>
                  <pic:blipFill>
                    <a:blip r:embed="rId13"/>
                    <a:stretch>
                      <a:fillRect/>
                    </a:stretch>
                  </pic:blipFill>
                  <pic:spPr>
                    <a:xfrm>
                      <a:off x="0" y="0"/>
                      <a:ext cx="6151880" cy="1847850"/>
                    </a:xfrm>
                    <a:prstGeom prst="rect">
                      <a:avLst/>
                    </a:prstGeom>
                  </pic:spPr>
                </pic:pic>
              </a:graphicData>
            </a:graphic>
          </wp:inline>
        </w:drawing>
      </w:r>
    </w:p>
    <w:p w14:paraId="17C55AD8" w14:textId="4F30B3D8" w:rsidR="00524E52" w:rsidRDefault="00524E52" w:rsidP="00792FE2">
      <w:pPr>
        <w:spacing w:line="312" w:lineRule="auto"/>
        <w:ind w:firstLine="288"/>
        <w:contextualSpacing/>
        <w:jc w:val="both"/>
        <w:rPr>
          <w:rFonts w:ascii="Arial" w:hAnsi="Arial" w:cs="Arial"/>
          <w:sz w:val="20"/>
          <w:szCs w:val="20"/>
        </w:rPr>
      </w:pPr>
    </w:p>
    <w:p w14:paraId="0C9CC8C5" w14:textId="36D731E9" w:rsidR="0065124A" w:rsidRDefault="007C17C5" w:rsidP="0065124A">
      <w:pPr>
        <w:spacing w:line="312" w:lineRule="auto"/>
        <w:ind w:firstLine="288"/>
        <w:contextualSpacing/>
        <w:jc w:val="both"/>
        <w:rPr>
          <w:rFonts w:ascii="Arial" w:hAnsi="Arial" w:cs="Arial"/>
          <w:sz w:val="20"/>
          <w:szCs w:val="20"/>
        </w:rPr>
      </w:pPr>
      <w:r w:rsidRPr="007C17C5">
        <w:rPr>
          <w:rFonts w:ascii="Arial" w:hAnsi="Arial" w:cs="Arial"/>
          <w:sz w:val="20"/>
          <w:szCs w:val="20"/>
        </w:rPr>
        <w:t>Se informa que al cierre del ejercicio se tiene un saldo en la cuenta de depósitos no identificados por el importe de $282,999.73 y de depósitos por aplicar a deudores por $525,663.71, los cuales se reflejara la disminución una vez que se apliquen a la cuenta por cobrar correspondiente.</w:t>
      </w:r>
    </w:p>
    <w:p w14:paraId="78A2892A" w14:textId="77777777" w:rsidR="007C17C5" w:rsidRDefault="007C17C5" w:rsidP="0065124A">
      <w:pPr>
        <w:spacing w:line="312" w:lineRule="auto"/>
        <w:ind w:firstLine="288"/>
        <w:contextualSpacing/>
        <w:jc w:val="both"/>
        <w:rPr>
          <w:rFonts w:ascii="Arial" w:hAnsi="Arial" w:cs="Arial"/>
          <w:sz w:val="20"/>
          <w:szCs w:val="20"/>
        </w:rPr>
      </w:pPr>
    </w:p>
    <w:p w14:paraId="75368327" w14:textId="219F00DE" w:rsidR="00CF754C" w:rsidRDefault="007C17C5" w:rsidP="00792FE2">
      <w:pPr>
        <w:spacing w:line="312" w:lineRule="auto"/>
        <w:ind w:firstLine="288"/>
        <w:contextualSpacing/>
        <w:jc w:val="both"/>
        <w:rPr>
          <w:rFonts w:ascii="Arial" w:hAnsi="Arial" w:cs="Arial"/>
          <w:sz w:val="20"/>
          <w:szCs w:val="20"/>
        </w:rPr>
      </w:pPr>
      <w:r w:rsidRPr="007C17C5">
        <w:rPr>
          <w:rFonts w:ascii="Arial" w:hAnsi="Arial" w:cs="Arial"/>
          <w:sz w:val="20"/>
          <w:szCs w:val="20"/>
        </w:rPr>
        <w:t>De la cuenta contable 1123106001 por un importe de $19,131,763.07, se analizará la posible reclasificación, considerando la antigüedad que la misma tiene.</w:t>
      </w:r>
    </w:p>
    <w:p w14:paraId="6BF10276" w14:textId="77777777" w:rsidR="007C17C5" w:rsidRDefault="007C17C5" w:rsidP="00792FE2">
      <w:pPr>
        <w:spacing w:line="312" w:lineRule="auto"/>
        <w:ind w:firstLine="288"/>
        <w:contextualSpacing/>
        <w:jc w:val="both"/>
        <w:rPr>
          <w:rFonts w:ascii="Arial" w:hAnsi="Arial" w:cs="Arial"/>
          <w:sz w:val="20"/>
          <w:szCs w:val="20"/>
        </w:rPr>
      </w:pPr>
    </w:p>
    <w:p w14:paraId="4565828F"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11.</w:t>
      </w:r>
      <w:r w:rsidRPr="00333D34">
        <w:rPr>
          <w:rFonts w:ascii="Arial" w:hAnsi="Arial" w:cs="Arial"/>
          <w:b/>
          <w:sz w:val="20"/>
          <w:szCs w:val="20"/>
        </w:rPr>
        <w:tab/>
        <w:t>Información sobre la Deuda y el Reporte Analítico de la Deuda</w:t>
      </w:r>
    </w:p>
    <w:p w14:paraId="624E8A67"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informará lo siguiente:</w:t>
      </w:r>
    </w:p>
    <w:p w14:paraId="7A20852E"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lastRenderedPageBreak/>
        <w:t>a)</w:t>
      </w:r>
      <w:r w:rsidRPr="00333D34">
        <w:rPr>
          <w:rFonts w:ascii="Arial" w:hAnsi="Arial" w:cs="Arial"/>
          <w:sz w:val="20"/>
          <w:szCs w:val="20"/>
        </w:rPr>
        <w:tab/>
        <w:t>Utilizar al menos los siguientes indicadores: deuda respecto al PIB y deuda respecto a la recaudación tomando, como mínimo, un período igual o menor a 5 años.</w:t>
      </w:r>
    </w:p>
    <w:p w14:paraId="4CA227E7" w14:textId="77777777" w:rsidR="00792FE2" w:rsidRPr="00333D34" w:rsidRDefault="00792FE2" w:rsidP="00792FE2">
      <w:pPr>
        <w:spacing w:line="312" w:lineRule="auto"/>
        <w:ind w:left="1080" w:hanging="360"/>
        <w:contextualSpacing/>
        <w:jc w:val="both"/>
        <w:rPr>
          <w:rFonts w:ascii="Arial" w:hAnsi="Arial" w:cs="Arial"/>
          <w:sz w:val="10"/>
          <w:szCs w:val="10"/>
        </w:rPr>
      </w:pPr>
    </w:p>
    <w:p w14:paraId="03E19BDE" w14:textId="77777777" w:rsidR="00792FE2" w:rsidRPr="00333D34" w:rsidRDefault="00792FE2" w:rsidP="00792FE2">
      <w:pPr>
        <w:spacing w:line="312" w:lineRule="auto"/>
        <w:ind w:left="1080" w:hanging="360"/>
        <w:contextualSpacing/>
        <w:jc w:val="both"/>
        <w:rPr>
          <w:rFonts w:ascii="Arial" w:hAnsi="Arial" w:cs="Arial"/>
          <w:sz w:val="20"/>
          <w:szCs w:val="20"/>
        </w:rPr>
      </w:pPr>
      <w:r w:rsidRPr="00333D34">
        <w:rPr>
          <w:rFonts w:ascii="Arial" w:hAnsi="Arial" w:cs="Arial"/>
          <w:sz w:val="20"/>
          <w:szCs w:val="20"/>
        </w:rPr>
        <w:t>b)</w:t>
      </w:r>
      <w:r w:rsidRPr="00333D34">
        <w:rPr>
          <w:rFonts w:ascii="Arial" w:hAnsi="Arial" w:cs="Arial"/>
          <w:sz w:val="20"/>
          <w:szCs w:val="20"/>
        </w:rPr>
        <w:tab/>
        <w:t>Información de manera agrupada por tipo de valor gubernamental o instrumento financiero en la que se considere intereses, comisiones, tasa, perfil de vencimiento y otros gastos de la deuda.</w:t>
      </w:r>
    </w:p>
    <w:p w14:paraId="01254A0D" w14:textId="77777777" w:rsidR="00792FE2" w:rsidRPr="00333D34" w:rsidRDefault="00792FE2" w:rsidP="00792FE2">
      <w:pPr>
        <w:spacing w:line="312" w:lineRule="auto"/>
        <w:ind w:firstLine="288"/>
        <w:contextualSpacing/>
        <w:jc w:val="both"/>
        <w:rPr>
          <w:rFonts w:ascii="Arial" w:hAnsi="Arial" w:cs="Arial"/>
          <w:b/>
          <w:sz w:val="20"/>
          <w:szCs w:val="20"/>
        </w:rPr>
      </w:pPr>
    </w:p>
    <w:p w14:paraId="0E968342"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12. Calificaciones otorgadas</w:t>
      </w:r>
    </w:p>
    <w:p w14:paraId="3F3626BC"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Informar, tanto del ente público como cualquier transacción realizada, que haya sido sujeta a una calificación crediticia.</w:t>
      </w:r>
    </w:p>
    <w:p w14:paraId="1B78E2A3" w14:textId="77777777" w:rsidR="00792FE2" w:rsidRPr="00333D34" w:rsidRDefault="00792FE2" w:rsidP="00792FE2">
      <w:pPr>
        <w:spacing w:line="312" w:lineRule="auto"/>
        <w:contextualSpacing/>
        <w:jc w:val="both"/>
        <w:rPr>
          <w:rFonts w:ascii="Arial" w:hAnsi="Arial" w:cs="Arial"/>
          <w:sz w:val="10"/>
          <w:szCs w:val="10"/>
        </w:rPr>
      </w:pPr>
    </w:p>
    <w:p w14:paraId="079B4B67" w14:textId="77777777" w:rsidR="00792FE2" w:rsidRPr="00333D34" w:rsidRDefault="00792FE2" w:rsidP="00792FE2">
      <w:pPr>
        <w:spacing w:line="312" w:lineRule="auto"/>
        <w:contextualSpacing/>
        <w:jc w:val="both"/>
        <w:rPr>
          <w:sz w:val="20"/>
          <w:szCs w:val="20"/>
        </w:rPr>
      </w:pPr>
      <w:r w:rsidRPr="00333D34">
        <w:rPr>
          <w:rFonts w:ascii="Arial" w:hAnsi="Arial" w:cs="Arial"/>
          <w:sz w:val="20"/>
          <w:szCs w:val="20"/>
        </w:rPr>
        <w:t>La COVEG al no ser sujeto de deuda, no le aplica ninguna clasificación crediticia.</w:t>
      </w:r>
    </w:p>
    <w:p w14:paraId="6BA86D21" w14:textId="77777777" w:rsidR="00792FE2" w:rsidRPr="00333D34" w:rsidRDefault="00792FE2" w:rsidP="00792FE2">
      <w:pPr>
        <w:spacing w:line="312" w:lineRule="auto"/>
        <w:ind w:firstLine="288"/>
        <w:contextualSpacing/>
        <w:jc w:val="both"/>
        <w:rPr>
          <w:rFonts w:ascii="Arial" w:hAnsi="Arial" w:cs="Arial"/>
          <w:b/>
          <w:sz w:val="20"/>
          <w:szCs w:val="20"/>
        </w:rPr>
      </w:pPr>
    </w:p>
    <w:p w14:paraId="376F8C77"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13.</w:t>
      </w:r>
      <w:r w:rsidRPr="00333D34">
        <w:rPr>
          <w:rFonts w:ascii="Arial" w:hAnsi="Arial" w:cs="Arial"/>
          <w:b/>
          <w:sz w:val="20"/>
          <w:szCs w:val="20"/>
        </w:rPr>
        <w:tab/>
        <w:t>Proceso de Mejora</w:t>
      </w:r>
    </w:p>
    <w:p w14:paraId="4D6C8646" w14:textId="77777777" w:rsidR="00792FE2" w:rsidRPr="00333D34"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Se informará de:</w:t>
      </w:r>
    </w:p>
    <w:p w14:paraId="57680B7D" w14:textId="77777777" w:rsidR="00792FE2" w:rsidRPr="00333D34" w:rsidRDefault="00792FE2" w:rsidP="00792FE2">
      <w:pPr>
        <w:spacing w:line="312" w:lineRule="auto"/>
        <w:ind w:left="1080"/>
        <w:contextualSpacing/>
        <w:jc w:val="both"/>
        <w:rPr>
          <w:rFonts w:ascii="Arial" w:hAnsi="Arial" w:cs="Arial"/>
          <w:sz w:val="10"/>
          <w:szCs w:val="10"/>
        </w:rPr>
      </w:pPr>
    </w:p>
    <w:p w14:paraId="4D8D8F01" w14:textId="77777777" w:rsidR="00792FE2" w:rsidRPr="00333D34" w:rsidRDefault="00792FE2" w:rsidP="00792FE2">
      <w:pPr>
        <w:numPr>
          <w:ilvl w:val="0"/>
          <w:numId w:val="14"/>
        </w:numPr>
        <w:spacing w:after="0" w:line="312" w:lineRule="auto"/>
        <w:contextualSpacing/>
        <w:jc w:val="both"/>
        <w:rPr>
          <w:rFonts w:ascii="Arial" w:hAnsi="Arial" w:cs="Arial"/>
          <w:sz w:val="20"/>
          <w:szCs w:val="20"/>
        </w:rPr>
      </w:pPr>
      <w:r w:rsidRPr="00333D34">
        <w:rPr>
          <w:rFonts w:ascii="Arial" w:hAnsi="Arial" w:cs="Arial"/>
          <w:sz w:val="20"/>
          <w:szCs w:val="20"/>
        </w:rPr>
        <w:t>Principales Políticas de control interno</w:t>
      </w:r>
    </w:p>
    <w:p w14:paraId="4AB3F5F9" w14:textId="4E8B6DBB" w:rsidR="00792FE2" w:rsidRPr="00333D34" w:rsidRDefault="00792FE2" w:rsidP="00792FE2">
      <w:pPr>
        <w:keepNext/>
        <w:keepLines/>
        <w:spacing w:line="312" w:lineRule="auto"/>
        <w:contextualSpacing/>
        <w:jc w:val="both"/>
        <w:outlineLvl w:val="1"/>
        <w:rPr>
          <w:rFonts w:ascii="Arial" w:eastAsiaTheme="majorEastAsia" w:hAnsi="Arial" w:cs="Arial"/>
          <w:bCs/>
          <w:sz w:val="20"/>
          <w:szCs w:val="20"/>
        </w:rPr>
      </w:pPr>
      <w:r w:rsidRPr="00333D34">
        <w:rPr>
          <w:rFonts w:ascii="Arial" w:eastAsiaTheme="majorEastAsia" w:hAnsi="Arial" w:cs="Arial"/>
          <w:bCs/>
          <w:sz w:val="20"/>
          <w:szCs w:val="20"/>
        </w:rPr>
        <w:t xml:space="preserve">Las principales políticas de control interno se </w:t>
      </w:r>
      <w:r w:rsidR="00291EBD" w:rsidRPr="00333D34">
        <w:rPr>
          <w:rFonts w:ascii="Arial" w:eastAsiaTheme="majorEastAsia" w:hAnsi="Arial" w:cs="Arial"/>
          <w:bCs/>
          <w:sz w:val="20"/>
          <w:szCs w:val="20"/>
        </w:rPr>
        <w:t>enc</w:t>
      </w:r>
      <w:r w:rsidR="00291EBD">
        <w:rPr>
          <w:rFonts w:ascii="Arial" w:eastAsiaTheme="majorEastAsia" w:hAnsi="Arial" w:cs="Arial"/>
          <w:bCs/>
          <w:sz w:val="20"/>
          <w:szCs w:val="20"/>
        </w:rPr>
        <w:t>ontraban</w:t>
      </w:r>
      <w:r w:rsidRPr="00333D34">
        <w:rPr>
          <w:rFonts w:ascii="Arial" w:eastAsiaTheme="majorEastAsia" w:hAnsi="Arial" w:cs="Arial"/>
          <w:bCs/>
          <w:sz w:val="20"/>
          <w:szCs w:val="20"/>
        </w:rPr>
        <w:t xml:space="preserve"> establecidas en el Reglamento Interior de la </w:t>
      </w:r>
      <w:r w:rsidR="00826640">
        <w:rPr>
          <w:rFonts w:ascii="Arial" w:eastAsiaTheme="majorEastAsia" w:hAnsi="Arial" w:cs="Arial"/>
          <w:bCs/>
          <w:sz w:val="20"/>
          <w:szCs w:val="20"/>
        </w:rPr>
        <w:t xml:space="preserve">extinta </w:t>
      </w:r>
      <w:r w:rsidRPr="00333D34">
        <w:rPr>
          <w:rFonts w:ascii="Arial" w:eastAsiaTheme="majorEastAsia" w:hAnsi="Arial" w:cs="Arial"/>
          <w:bCs/>
          <w:sz w:val="20"/>
          <w:szCs w:val="20"/>
        </w:rPr>
        <w:t>Comisión de Vivienda del Estado de Guanajuato y los Lineamientos Generales de Racionalidad, Austeridad y Disciplina Presupuestal de la Administración Pública Estatal para el Ejercicio Fiscal de 2020.</w:t>
      </w:r>
    </w:p>
    <w:p w14:paraId="74F03EC6" w14:textId="77777777" w:rsidR="00792FE2" w:rsidRPr="00333D34" w:rsidRDefault="00792FE2" w:rsidP="00792FE2">
      <w:pPr>
        <w:spacing w:line="312" w:lineRule="auto"/>
        <w:contextualSpacing/>
        <w:jc w:val="both"/>
        <w:rPr>
          <w:rFonts w:ascii="Arial" w:hAnsi="Arial" w:cs="Arial"/>
          <w:sz w:val="20"/>
          <w:szCs w:val="20"/>
        </w:rPr>
      </w:pPr>
    </w:p>
    <w:p w14:paraId="3FA532A8" w14:textId="77777777" w:rsidR="00792FE2" w:rsidRPr="00333D34" w:rsidRDefault="00792FE2" w:rsidP="00792FE2">
      <w:pPr>
        <w:numPr>
          <w:ilvl w:val="0"/>
          <w:numId w:val="14"/>
        </w:numPr>
        <w:spacing w:after="0" w:line="312" w:lineRule="auto"/>
        <w:contextualSpacing/>
        <w:jc w:val="both"/>
        <w:rPr>
          <w:rFonts w:ascii="Arial" w:hAnsi="Arial" w:cs="Arial"/>
          <w:sz w:val="20"/>
          <w:szCs w:val="20"/>
        </w:rPr>
      </w:pPr>
      <w:r w:rsidRPr="00333D34">
        <w:rPr>
          <w:rFonts w:ascii="Arial" w:hAnsi="Arial" w:cs="Arial"/>
          <w:sz w:val="20"/>
          <w:szCs w:val="20"/>
        </w:rPr>
        <w:t>Medidas de desempeño financiero, metas y alcance.</w:t>
      </w:r>
    </w:p>
    <w:p w14:paraId="3F953345" w14:textId="77777777" w:rsidR="00792FE2" w:rsidRPr="00333D34" w:rsidRDefault="00792FE2" w:rsidP="00792FE2">
      <w:pPr>
        <w:spacing w:line="312" w:lineRule="auto"/>
        <w:ind w:left="1080" w:hanging="360"/>
        <w:contextualSpacing/>
        <w:jc w:val="both"/>
        <w:rPr>
          <w:rFonts w:ascii="Arial" w:hAnsi="Arial" w:cs="Arial"/>
          <w:sz w:val="20"/>
          <w:szCs w:val="20"/>
        </w:rPr>
      </w:pPr>
    </w:p>
    <w:p w14:paraId="59DCA88B"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14.</w:t>
      </w:r>
      <w:r w:rsidRPr="00333D34">
        <w:rPr>
          <w:rFonts w:ascii="Arial" w:hAnsi="Arial" w:cs="Arial"/>
          <w:b/>
          <w:sz w:val="20"/>
          <w:szCs w:val="20"/>
        </w:rPr>
        <w:tab/>
        <w:t>Información por Segmentos</w:t>
      </w:r>
    </w:p>
    <w:p w14:paraId="013ACB78" w14:textId="77777777" w:rsidR="00792FE2" w:rsidRPr="00333D34" w:rsidRDefault="00792FE2" w:rsidP="00792FE2">
      <w:pPr>
        <w:spacing w:line="312" w:lineRule="auto"/>
        <w:ind w:firstLine="288"/>
        <w:contextualSpacing/>
        <w:jc w:val="both"/>
        <w:rPr>
          <w:rFonts w:ascii="Arial" w:hAnsi="Arial" w:cs="Arial"/>
          <w:sz w:val="10"/>
          <w:szCs w:val="10"/>
        </w:rPr>
      </w:pPr>
    </w:p>
    <w:p w14:paraId="479C6E72"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333D34" w:rsidRDefault="00792FE2" w:rsidP="00792FE2">
      <w:pPr>
        <w:spacing w:line="312" w:lineRule="auto"/>
        <w:ind w:firstLine="288"/>
        <w:contextualSpacing/>
        <w:jc w:val="both"/>
        <w:rPr>
          <w:rFonts w:ascii="Arial" w:hAnsi="Arial" w:cs="Arial"/>
          <w:sz w:val="10"/>
          <w:szCs w:val="10"/>
        </w:rPr>
      </w:pPr>
    </w:p>
    <w:p w14:paraId="2DB85FED"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Consecuentemente, esta información contribuye al análisis más preciso de la situación financiera, grados y fuentes de riesgo.</w:t>
      </w:r>
    </w:p>
    <w:p w14:paraId="1544CF2E" w14:textId="141CE108" w:rsidR="00792FE2" w:rsidRDefault="00792FE2" w:rsidP="00792FE2">
      <w:pPr>
        <w:spacing w:line="312" w:lineRule="auto"/>
        <w:ind w:firstLine="288"/>
        <w:contextualSpacing/>
        <w:jc w:val="both"/>
        <w:rPr>
          <w:rFonts w:ascii="Arial" w:hAnsi="Arial" w:cs="Arial"/>
          <w:sz w:val="20"/>
          <w:szCs w:val="20"/>
        </w:rPr>
      </w:pPr>
      <w:r w:rsidRPr="00333D34">
        <w:rPr>
          <w:rFonts w:ascii="Arial" w:hAnsi="Arial" w:cs="Arial"/>
          <w:sz w:val="20"/>
          <w:szCs w:val="20"/>
        </w:rPr>
        <w:t>NO APLICA</w:t>
      </w:r>
    </w:p>
    <w:p w14:paraId="32F19F69" w14:textId="77777777" w:rsidR="00710251" w:rsidRPr="00333D34" w:rsidRDefault="00710251" w:rsidP="00792FE2">
      <w:pPr>
        <w:spacing w:line="312" w:lineRule="auto"/>
        <w:ind w:firstLine="288"/>
        <w:contextualSpacing/>
        <w:jc w:val="both"/>
        <w:rPr>
          <w:rFonts w:ascii="Arial" w:hAnsi="Arial" w:cs="Arial"/>
          <w:sz w:val="20"/>
          <w:szCs w:val="20"/>
        </w:rPr>
      </w:pPr>
    </w:p>
    <w:p w14:paraId="4EDA5139"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15.</w:t>
      </w:r>
      <w:r w:rsidRPr="00333D34">
        <w:rPr>
          <w:rFonts w:ascii="Arial" w:hAnsi="Arial" w:cs="Arial"/>
          <w:b/>
          <w:sz w:val="20"/>
          <w:szCs w:val="20"/>
        </w:rPr>
        <w:tab/>
        <w:t>Eventos Posteriores al Cierre</w:t>
      </w:r>
    </w:p>
    <w:p w14:paraId="286AE03C"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Default="00792FE2" w:rsidP="00792FE2">
      <w:pPr>
        <w:spacing w:line="312" w:lineRule="auto"/>
        <w:contextualSpacing/>
        <w:jc w:val="both"/>
        <w:rPr>
          <w:rFonts w:ascii="Arial" w:hAnsi="Arial" w:cs="Arial"/>
          <w:sz w:val="20"/>
          <w:szCs w:val="20"/>
        </w:rPr>
      </w:pPr>
    </w:p>
    <w:p w14:paraId="2F0C12E9" w14:textId="32978D47" w:rsidR="007C17C5" w:rsidRPr="007C17C5" w:rsidRDefault="007C17C5" w:rsidP="00792FE2">
      <w:pPr>
        <w:spacing w:line="312" w:lineRule="auto"/>
        <w:contextualSpacing/>
        <w:jc w:val="both"/>
        <w:rPr>
          <w:rFonts w:ascii="Arial" w:hAnsi="Arial" w:cs="Arial"/>
          <w:bCs/>
          <w:sz w:val="20"/>
          <w:szCs w:val="20"/>
        </w:rPr>
      </w:pPr>
      <w:r w:rsidRPr="007C17C5">
        <w:rPr>
          <w:rFonts w:ascii="Arial" w:hAnsi="Arial" w:cs="Arial"/>
          <w:bCs/>
          <w:sz w:val="20"/>
          <w:szCs w:val="20"/>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47526D6C" w14:textId="77777777" w:rsidR="00CF754C" w:rsidRPr="00333D34" w:rsidRDefault="00CF754C" w:rsidP="00792FE2">
      <w:pPr>
        <w:spacing w:line="312" w:lineRule="auto"/>
        <w:contextualSpacing/>
        <w:jc w:val="both"/>
        <w:rPr>
          <w:rFonts w:ascii="Arial" w:hAnsi="Arial" w:cs="Arial"/>
          <w:b/>
          <w:sz w:val="20"/>
          <w:szCs w:val="20"/>
        </w:rPr>
      </w:pPr>
    </w:p>
    <w:p w14:paraId="447D9A51" w14:textId="77777777" w:rsidR="00792FE2" w:rsidRPr="00333D34" w:rsidRDefault="00792FE2" w:rsidP="00792FE2">
      <w:pPr>
        <w:spacing w:line="312" w:lineRule="auto"/>
        <w:ind w:firstLine="288"/>
        <w:contextualSpacing/>
        <w:jc w:val="both"/>
        <w:rPr>
          <w:rFonts w:ascii="Arial" w:hAnsi="Arial" w:cs="Arial"/>
          <w:b/>
          <w:sz w:val="20"/>
          <w:szCs w:val="20"/>
        </w:rPr>
      </w:pPr>
      <w:r w:rsidRPr="00333D34">
        <w:rPr>
          <w:rFonts w:ascii="Arial" w:hAnsi="Arial" w:cs="Arial"/>
          <w:b/>
          <w:sz w:val="20"/>
          <w:szCs w:val="20"/>
        </w:rPr>
        <w:t>16.</w:t>
      </w:r>
      <w:r w:rsidRPr="00333D34">
        <w:rPr>
          <w:rFonts w:ascii="Arial" w:hAnsi="Arial" w:cs="Arial"/>
          <w:b/>
          <w:sz w:val="20"/>
          <w:szCs w:val="20"/>
        </w:rPr>
        <w:tab/>
        <w:t>Partes Relacionadas</w:t>
      </w:r>
    </w:p>
    <w:p w14:paraId="2195FD47"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 xml:space="preserve">Se debe establecer por escrito que no existen partes relacionadas que pudieran ejercer influencia significativa sobre la toma de decisiones financieras y operativas.  </w:t>
      </w:r>
    </w:p>
    <w:p w14:paraId="12225D32" w14:textId="77777777" w:rsidR="00792FE2" w:rsidRPr="00333D34" w:rsidRDefault="00792FE2" w:rsidP="00792FE2">
      <w:pPr>
        <w:spacing w:line="312" w:lineRule="auto"/>
        <w:contextualSpacing/>
        <w:jc w:val="both"/>
        <w:rPr>
          <w:rFonts w:ascii="Arial" w:hAnsi="Arial" w:cs="Arial"/>
          <w:sz w:val="20"/>
          <w:szCs w:val="20"/>
        </w:rPr>
      </w:pPr>
    </w:p>
    <w:p w14:paraId="4B5DF6D1"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NO APLICA</w:t>
      </w:r>
    </w:p>
    <w:p w14:paraId="554441E6" w14:textId="77777777" w:rsidR="00524E52" w:rsidRPr="00333D34" w:rsidRDefault="00524E52" w:rsidP="00792FE2">
      <w:pPr>
        <w:spacing w:line="312" w:lineRule="auto"/>
        <w:ind w:firstLine="289"/>
        <w:contextualSpacing/>
        <w:jc w:val="both"/>
        <w:rPr>
          <w:rFonts w:ascii="Arial" w:hAnsi="Arial" w:cs="Arial"/>
          <w:b/>
          <w:sz w:val="20"/>
          <w:szCs w:val="20"/>
        </w:rPr>
      </w:pPr>
    </w:p>
    <w:p w14:paraId="20FE5338" w14:textId="77777777" w:rsidR="00792FE2" w:rsidRPr="00333D34" w:rsidRDefault="00792FE2" w:rsidP="00792FE2">
      <w:pPr>
        <w:spacing w:line="312" w:lineRule="auto"/>
        <w:ind w:firstLine="289"/>
        <w:contextualSpacing/>
        <w:jc w:val="both"/>
        <w:rPr>
          <w:rFonts w:ascii="Arial" w:hAnsi="Arial" w:cs="Arial"/>
          <w:b/>
          <w:sz w:val="20"/>
          <w:szCs w:val="20"/>
        </w:rPr>
      </w:pPr>
      <w:r w:rsidRPr="00333D34">
        <w:rPr>
          <w:rFonts w:ascii="Arial" w:hAnsi="Arial" w:cs="Arial"/>
          <w:b/>
          <w:sz w:val="20"/>
          <w:szCs w:val="20"/>
        </w:rPr>
        <w:t>17.</w:t>
      </w:r>
      <w:r w:rsidRPr="00333D34">
        <w:rPr>
          <w:rFonts w:ascii="Arial" w:hAnsi="Arial" w:cs="Arial"/>
          <w:b/>
          <w:sz w:val="20"/>
          <w:szCs w:val="20"/>
        </w:rPr>
        <w:tab/>
        <w:t>Responsabilidad Sobre la Presentación Razonable de la Información Contable</w:t>
      </w:r>
    </w:p>
    <w:p w14:paraId="57CB469C" w14:textId="77777777" w:rsidR="00792FE2" w:rsidRPr="00333D34" w:rsidRDefault="00792FE2" w:rsidP="00792FE2">
      <w:pPr>
        <w:spacing w:line="312" w:lineRule="auto"/>
        <w:contextualSpacing/>
        <w:jc w:val="both"/>
        <w:rPr>
          <w:rFonts w:ascii="Arial" w:hAnsi="Arial" w:cs="Arial"/>
          <w:sz w:val="10"/>
          <w:szCs w:val="10"/>
        </w:rPr>
      </w:pPr>
    </w:p>
    <w:p w14:paraId="2C60C283" w14:textId="77777777" w:rsidR="00792FE2" w:rsidRPr="00333D34" w:rsidRDefault="00792FE2" w:rsidP="00792FE2">
      <w:pPr>
        <w:spacing w:line="312" w:lineRule="auto"/>
        <w:contextualSpacing/>
        <w:jc w:val="both"/>
        <w:rPr>
          <w:rFonts w:ascii="Arial" w:hAnsi="Arial" w:cs="Arial"/>
          <w:sz w:val="20"/>
          <w:szCs w:val="20"/>
        </w:rPr>
      </w:pPr>
      <w:r w:rsidRPr="00333D34">
        <w:rPr>
          <w:rFonts w:ascii="Arial" w:hAnsi="Arial" w:cs="Arial"/>
          <w:sz w:val="20"/>
          <w:szCs w:val="20"/>
        </w:rPr>
        <w:t xml:space="preserve">La Información Contable deberá estar firmada en cada página de </w:t>
      </w:r>
      <w:proofErr w:type="gramStart"/>
      <w:r w:rsidRPr="00333D34">
        <w:rPr>
          <w:rFonts w:ascii="Arial" w:hAnsi="Arial" w:cs="Arial"/>
          <w:sz w:val="20"/>
          <w:szCs w:val="20"/>
        </w:rPr>
        <w:t>la misma</w:t>
      </w:r>
      <w:proofErr w:type="gramEnd"/>
      <w:r w:rsidRPr="00333D34">
        <w:rPr>
          <w:rFonts w:ascii="Arial" w:hAnsi="Arial" w:cs="Arial"/>
          <w:sz w:val="20"/>
          <w:szCs w:val="20"/>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p>
    <w:p w14:paraId="1712EE63" w14:textId="77777777" w:rsidR="00792FE2" w:rsidRPr="00333D34" w:rsidRDefault="00792FE2" w:rsidP="00792FE2">
      <w:pPr>
        <w:spacing w:line="312" w:lineRule="auto"/>
        <w:contextualSpacing/>
        <w:jc w:val="center"/>
        <w:rPr>
          <w:rFonts w:ascii="Arial" w:hAnsi="Arial" w:cs="Arial"/>
          <w:b/>
          <w:szCs w:val="20"/>
        </w:rPr>
      </w:pPr>
    </w:p>
    <w:p w14:paraId="7FA5B18C" w14:textId="39072687" w:rsidR="00092A5D" w:rsidRDefault="00792FE2" w:rsidP="00092A5D">
      <w:pPr>
        <w:spacing w:line="312" w:lineRule="auto"/>
        <w:contextualSpacing/>
        <w:jc w:val="center"/>
        <w:rPr>
          <w:rFonts w:ascii="Arial" w:hAnsi="Arial" w:cs="Arial"/>
          <w:i/>
          <w:sz w:val="16"/>
          <w:szCs w:val="16"/>
        </w:rPr>
      </w:pPr>
      <w:r w:rsidRPr="00092A5D">
        <w:rPr>
          <w:rFonts w:ascii="Arial" w:hAnsi="Arial" w:cs="Arial"/>
          <w:i/>
          <w:sz w:val="16"/>
          <w:szCs w:val="16"/>
        </w:rPr>
        <w:t>“Bajo protesta de decir verdad declaramos que los Estados Financieros y sus notas, son razonablemente correctos y son responsabilidad del emisor”.</w:t>
      </w:r>
    </w:p>
    <w:p w14:paraId="625DC954" w14:textId="430195E0" w:rsidR="00092A5D" w:rsidRDefault="00092A5D" w:rsidP="00092A5D">
      <w:pPr>
        <w:spacing w:line="312" w:lineRule="auto"/>
        <w:contextualSpacing/>
        <w:jc w:val="center"/>
        <w:rPr>
          <w:rFonts w:ascii="Arial" w:hAnsi="Arial" w:cs="Arial"/>
          <w:i/>
          <w:sz w:val="16"/>
          <w:szCs w:val="16"/>
        </w:rPr>
      </w:pPr>
    </w:p>
    <w:p w14:paraId="2EDF7D9B" w14:textId="4EE264DF" w:rsidR="00092A5D" w:rsidRDefault="00092A5D" w:rsidP="00092A5D">
      <w:pPr>
        <w:spacing w:line="312" w:lineRule="auto"/>
        <w:contextualSpacing/>
        <w:jc w:val="center"/>
        <w:rPr>
          <w:rFonts w:ascii="Arial" w:hAnsi="Arial" w:cs="Arial"/>
          <w:i/>
          <w:sz w:val="16"/>
          <w:szCs w:val="16"/>
        </w:rPr>
      </w:pPr>
    </w:p>
    <w:p w14:paraId="5E449660" w14:textId="77777777" w:rsidR="00092A5D" w:rsidRPr="00092A5D" w:rsidRDefault="00092A5D" w:rsidP="00092A5D">
      <w:pPr>
        <w:spacing w:line="312" w:lineRule="auto"/>
        <w:contextualSpacing/>
        <w:jc w:val="center"/>
        <w:rPr>
          <w:rFonts w:ascii="Arial" w:hAnsi="Arial" w:cs="Arial"/>
          <w:i/>
          <w:sz w:val="16"/>
          <w:szCs w:val="16"/>
        </w:rPr>
      </w:pPr>
    </w:p>
    <w:p w14:paraId="3870A51F" w14:textId="625C07D7" w:rsidR="007610BC" w:rsidRPr="0012405A" w:rsidRDefault="00092A5D" w:rsidP="00092A5D">
      <w:pPr>
        <w:spacing w:line="312" w:lineRule="auto"/>
        <w:contextualSpacing/>
        <w:jc w:val="center"/>
        <w:rPr>
          <w:rFonts w:cs="Calibri"/>
        </w:rPr>
      </w:pPr>
      <w:r>
        <w:rPr>
          <w:noProof/>
        </w:rPr>
        <w:drawing>
          <wp:inline distT="0" distB="0" distL="0" distR="0" wp14:anchorId="2980C875" wp14:editId="3D2D0CFE">
            <wp:extent cx="4733925" cy="1200150"/>
            <wp:effectExtent l="0" t="0" r="0" b="0"/>
            <wp:docPr id="262394" name="Imagen 1">
              <a:extLst xmlns:a="http://schemas.openxmlformats.org/drawingml/2006/main">
                <a:ext uri="{FF2B5EF4-FFF2-40B4-BE49-F238E27FC236}">
                  <a16:creationId xmlns:a16="http://schemas.microsoft.com/office/drawing/2014/main" id="{279F376F-0A3C-4D5E-90C5-1676AB825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94" name="Imagen 1">
                      <a:extLst>
                        <a:ext uri="{FF2B5EF4-FFF2-40B4-BE49-F238E27FC236}">
                          <a16:creationId xmlns:a16="http://schemas.microsoft.com/office/drawing/2014/main" id="{279F376F-0A3C-4D5E-90C5-1676AB825DB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1200150"/>
                    </a:xfrm>
                    <a:prstGeom prst="rect">
                      <a:avLst/>
                    </a:prstGeom>
                    <a:noFill/>
                    <a:ln>
                      <a:noFill/>
                    </a:ln>
                  </pic:spPr>
                </pic:pic>
              </a:graphicData>
            </a:graphic>
          </wp:inline>
        </w:drawing>
      </w: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186E" w14:textId="77777777" w:rsidR="000F4271" w:rsidRDefault="000F4271" w:rsidP="00E00323">
      <w:pPr>
        <w:spacing w:after="0" w:line="240" w:lineRule="auto"/>
      </w:pPr>
      <w:r>
        <w:separator/>
      </w:r>
    </w:p>
  </w:endnote>
  <w:endnote w:type="continuationSeparator" w:id="0">
    <w:p w14:paraId="0E25847F" w14:textId="77777777" w:rsidR="000F4271" w:rsidRDefault="000F427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83B6" w14:textId="77777777" w:rsidR="000F4271" w:rsidRDefault="000F4271" w:rsidP="00E00323">
      <w:pPr>
        <w:spacing w:after="0" w:line="240" w:lineRule="auto"/>
      </w:pPr>
      <w:r>
        <w:separator/>
      </w:r>
    </w:p>
  </w:footnote>
  <w:footnote w:type="continuationSeparator" w:id="0">
    <w:p w14:paraId="68587B2A" w14:textId="77777777" w:rsidR="000F4271" w:rsidRDefault="000F427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70D1BCCE" w:rsidR="00A4610E" w:rsidRDefault="00836E24" w:rsidP="00A4610E">
    <w:pPr>
      <w:pStyle w:val="Encabezado"/>
      <w:spacing w:after="0" w:line="240" w:lineRule="auto"/>
      <w:jc w:val="center"/>
    </w:pPr>
    <w:r>
      <w:t>CORRESPONDIENTES AL</w:t>
    </w:r>
    <w:r w:rsidR="00653E59">
      <w:t xml:space="preserve"> </w:t>
    </w:r>
    <w:r w:rsidR="003C4ADF">
      <w:t>PRIMER TRIMESTRE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
  </w:num>
  <w:num w:numId="5">
    <w:abstractNumId w:val="6"/>
  </w:num>
  <w:num w:numId="6">
    <w:abstractNumId w:val="18"/>
  </w:num>
  <w:num w:numId="7">
    <w:abstractNumId w:val="0"/>
  </w:num>
  <w:num w:numId="8">
    <w:abstractNumId w:val="20"/>
  </w:num>
  <w:num w:numId="9">
    <w:abstractNumId w:val="19"/>
  </w:num>
  <w:num w:numId="10">
    <w:abstractNumId w:val="11"/>
  </w:num>
  <w:num w:numId="11">
    <w:abstractNumId w:val="16"/>
  </w:num>
  <w:num w:numId="12">
    <w:abstractNumId w:val="12"/>
  </w:num>
  <w:num w:numId="13">
    <w:abstractNumId w:val="13"/>
  </w:num>
  <w:num w:numId="14">
    <w:abstractNumId w:val="10"/>
  </w:num>
  <w:num w:numId="15">
    <w:abstractNumId w:val="21"/>
  </w:num>
  <w:num w:numId="16">
    <w:abstractNumId w:val="4"/>
  </w:num>
  <w:num w:numId="17">
    <w:abstractNumId w:val="22"/>
  </w:num>
  <w:num w:numId="18">
    <w:abstractNumId w:val="7"/>
  </w:num>
  <w:num w:numId="19">
    <w:abstractNumId w:val="8"/>
  </w:num>
  <w:num w:numId="20">
    <w:abstractNumId w:val="9"/>
  </w:num>
  <w:num w:numId="21">
    <w:abstractNumId w:val="14"/>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7463"/>
    <w:rsid w:val="00040D4F"/>
    <w:rsid w:val="00047DC5"/>
    <w:rsid w:val="00084EAE"/>
    <w:rsid w:val="00091CE6"/>
    <w:rsid w:val="00092A5D"/>
    <w:rsid w:val="000A027C"/>
    <w:rsid w:val="000B2CB2"/>
    <w:rsid w:val="000B7810"/>
    <w:rsid w:val="000C3365"/>
    <w:rsid w:val="000D4FAE"/>
    <w:rsid w:val="000F4271"/>
    <w:rsid w:val="000F672C"/>
    <w:rsid w:val="0010194F"/>
    <w:rsid w:val="0010571E"/>
    <w:rsid w:val="00116619"/>
    <w:rsid w:val="0012405A"/>
    <w:rsid w:val="00154BA3"/>
    <w:rsid w:val="001973A2"/>
    <w:rsid w:val="001C75F2"/>
    <w:rsid w:val="001D2063"/>
    <w:rsid w:val="001D43E9"/>
    <w:rsid w:val="002156ED"/>
    <w:rsid w:val="00291EBD"/>
    <w:rsid w:val="002F522C"/>
    <w:rsid w:val="00317D04"/>
    <w:rsid w:val="003453CA"/>
    <w:rsid w:val="00352ACF"/>
    <w:rsid w:val="003A4EED"/>
    <w:rsid w:val="003A6C60"/>
    <w:rsid w:val="003C4ADF"/>
    <w:rsid w:val="003D4965"/>
    <w:rsid w:val="003E59A8"/>
    <w:rsid w:val="004148D9"/>
    <w:rsid w:val="00435A87"/>
    <w:rsid w:val="00466061"/>
    <w:rsid w:val="004A58C8"/>
    <w:rsid w:val="004F234D"/>
    <w:rsid w:val="005063DE"/>
    <w:rsid w:val="00524E52"/>
    <w:rsid w:val="0054701E"/>
    <w:rsid w:val="005611DE"/>
    <w:rsid w:val="005769F4"/>
    <w:rsid w:val="005B5531"/>
    <w:rsid w:val="005D3E43"/>
    <w:rsid w:val="005E231E"/>
    <w:rsid w:val="006247DD"/>
    <w:rsid w:val="0063455B"/>
    <w:rsid w:val="00636939"/>
    <w:rsid w:val="0065124A"/>
    <w:rsid w:val="00653E59"/>
    <w:rsid w:val="00657009"/>
    <w:rsid w:val="00672D52"/>
    <w:rsid w:val="006759A7"/>
    <w:rsid w:val="00681C79"/>
    <w:rsid w:val="006D45C2"/>
    <w:rsid w:val="006F6926"/>
    <w:rsid w:val="00710251"/>
    <w:rsid w:val="007610BC"/>
    <w:rsid w:val="007714AB"/>
    <w:rsid w:val="00792FE2"/>
    <w:rsid w:val="007B2929"/>
    <w:rsid w:val="007C17C5"/>
    <w:rsid w:val="007C338F"/>
    <w:rsid w:val="007D1E76"/>
    <w:rsid w:val="007D4484"/>
    <w:rsid w:val="00826640"/>
    <w:rsid w:val="00836E24"/>
    <w:rsid w:val="0086459F"/>
    <w:rsid w:val="008C281B"/>
    <w:rsid w:val="008C3BB8"/>
    <w:rsid w:val="008E076C"/>
    <w:rsid w:val="0091481D"/>
    <w:rsid w:val="00924DA9"/>
    <w:rsid w:val="0092765C"/>
    <w:rsid w:val="00931556"/>
    <w:rsid w:val="0095533A"/>
    <w:rsid w:val="009A0292"/>
    <w:rsid w:val="009D52BC"/>
    <w:rsid w:val="009F005A"/>
    <w:rsid w:val="00A4610E"/>
    <w:rsid w:val="00A730E0"/>
    <w:rsid w:val="00AA41E5"/>
    <w:rsid w:val="00AA67B3"/>
    <w:rsid w:val="00AA7B9C"/>
    <w:rsid w:val="00AB722B"/>
    <w:rsid w:val="00AE1F6A"/>
    <w:rsid w:val="00B34A2C"/>
    <w:rsid w:val="00B503FF"/>
    <w:rsid w:val="00B77FC3"/>
    <w:rsid w:val="00BA7450"/>
    <w:rsid w:val="00BD5210"/>
    <w:rsid w:val="00BE535B"/>
    <w:rsid w:val="00C13E20"/>
    <w:rsid w:val="00C545BD"/>
    <w:rsid w:val="00C72B83"/>
    <w:rsid w:val="00C97E1E"/>
    <w:rsid w:val="00CA5B7C"/>
    <w:rsid w:val="00CB41C4"/>
    <w:rsid w:val="00CC7FB7"/>
    <w:rsid w:val="00CF1316"/>
    <w:rsid w:val="00CF2775"/>
    <w:rsid w:val="00CF754C"/>
    <w:rsid w:val="00D010A5"/>
    <w:rsid w:val="00D13C44"/>
    <w:rsid w:val="00D173BC"/>
    <w:rsid w:val="00D975B1"/>
    <w:rsid w:val="00D9770D"/>
    <w:rsid w:val="00DD1B95"/>
    <w:rsid w:val="00E00323"/>
    <w:rsid w:val="00E13202"/>
    <w:rsid w:val="00E74967"/>
    <w:rsid w:val="00E7559F"/>
    <w:rsid w:val="00EA37F5"/>
    <w:rsid w:val="00EA7915"/>
    <w:rsid w:val="00EB4100"/>
    <w:rsid w:val="00EB6566"/>
    <w:rsid w:val="00EE4113"/>
    <w:rsid w:val="00F11456"/>
    <w:rsid w:val="00F46719"/>
    <w:rsid w:val="00F54F6F"/>
    <w:rsid w:val="00F65A92"/>
    <w:rsid w:val="00F87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4904</Words>
  <Characters>26972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31813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María Isabel Gámez Gonzalez</cp:lastModifiedBy>
  <cp:revision>53</cp:revision>
  <cp:lastPrinted>2021-04-29T17:44:00Z</cp:lastPrinted>
  <dcterms:created xsi:type="dcterms:W3CDTF">2020-10-30T21:36:00Z</dcterms:created>
  <dcterms:modified xsi:type="dcterms:W3CDTF">2021-04-29T17:59:00Z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