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BC3AC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F04199" w:rsidRDefault="00F04199" w:rsidP="00F04199">
      <w:pPr>
        <w:jc w:val="both"/>
        <w:rPr>
          <w:rFonts w:ascii="Arial" w:hAnsi="Arial" w:cs="Arial"/>
        </w:rPr>
      </w:pPr>
      <w:r>
        <w:rPr>
          <w:rFonts w:ascii="Arial" w:hAnsi="Arial" w:cs="Arial"/>
          <w:b/>
        </w:rPr>
        <w:t>1. Introducción:</w:t>
      </w:r>
      <w:r>
        <w:rPr>
          <w:rFonts w:ascii="Arial" w:hAnsi="Arial" w:cs="Arial"/>
        </w:rPr>
        <w:tab/>
      </w:r>
    </w:p>
    <w:p w:rsidR="00F04199" w:rsidRDefault="00F04199" w:rsidP="00F04199">
      <w:pPr>
        <w:jc w:val="both"/>
        <w:rPr>
          <w:rFonts w:ascii="Arial" w:hAnsi="Arial" w:cs="Arial"/>
        </w:rPr>
      </w:pPr>
      <w:r>
        <w:rPr>
          <w:rFonts w:ascii="Arial" w:hAnsi="Arial" w:cs="Arial"/>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5305C9" w:rsidRPr="005305C9" w:rsidRDefault="005305C9" w:rsidP="005305C9">
      <w:pPr>
        <w:jc w:val="both"/>
        <w:rPr>
          <w:rFonts w:ascii="Arial" w:hAnsi="Arial" w:cs="Arial"/>
        </w:rPr>
      </w:pPr>
      <w:r>
        <w:rPr>
          <w:rFonts w:ascii="Arial" w:hAnsi="Arial" w:cs="Arial"/>
        </w:rPr>
        <w:t>E</w:t>
      </w:r>
      <w:r w:rsidRPr="005305C9">
        <w:rPr>
          <w:rFonts w:ascii="Arial" w:hAnsi="Arial" w:cs="Arial"/>
        </w:rPr>
        <w:t>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w:t>
      </w:r>
      <w:r>
        <w:rPr>
          <w:rFonts w:ascii="Arial" w:hAnsi="Arial" w:cs="Arial"/>
        </w:rPr>
        <w:t xml:space="preserve">istema de </w:t>
      </w:r>
      <w:r w:rsidRPr="005305C9">
        <w:rPr>
          <w:rFonts w:ascii="Arial" w:hAnsi="Arial" w:cs="Arial"/>
        </w:rPr>
        <w:t>C</w:t>
      </w:r>
      <w:r>
        <w:rPr>
          <w:rFonts w:ascii="Arial" w:hAnsi="Arial" w:cs="Arial"/>
        </w:rPr>
        <w:t xml:space="preserve">ontabilidad </w:t>
      </w:r>
      <w:r w:rsidRPr="005305C9">
        <w:rPr>
          <w:rFonts w:ascii="Arial" w:hAnsi="Arial" w:cs="Arial"/>
        </w:rPr>
        <w:t>G</w:t>
      </w:r>
      <w:r>
        <w:rPr>
          <w:rFonts w:ascii="Arial" w:hAnsi="Arial" w:cs="Arial"/>
        </w:rPr>
        <w:t>ubernamental</w:t>
      </w:r>
      <w:r w:rsidRPr="005305C9">
        <w:rPr>
          <w:rFonts w:ascii="Arial" w:hAnsi="Arial" w:cs="Arial"/>
        </w:rPr>
        <w:t xml:space="preserve">,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r w:rsidR="00354700">
        <w:rPr>
          <w:rFonts w:ascii="Arial" w:hAnsi="Arial" w:cs="Arial"/>
        </w:rPr>
        <w:t>(</w:t>
      </w:r>
      <w:hyperlink r:id="rId12" w:history="1">
        <w:r w:rsidRPr="005305C9">
          <w:rPr>
            <w:rFonts w:ascii="Arial" w:hAnsi="Arial" w:cs="Arial"/>
          </w:rPr>
          <w:t>www.ingudis.guanajuato.gob.mx</w:t>
        </w:r>
      </w:hyperlink>
      <w:r w:rsidR="00354700">
        <w:rPr>
          <w:rFonts w:ascii="Arial" w:hAnsi="Arial" w:cs="Arial"/>
        </w:rPr>
        <w:t>)</w:t>
      </w:r>
      <w:r w:rsidRPr="005305C9">
        <w:rPr>
          <w:rFonts w:ascii="Arial" w:hAnsi="Arial" w:cs="Arial"/>
        </w:rPr>
        <w:t xml:space="preserve">, </w:t>
      </w:r>
      <w:r w:rsidRPr="00C167C7">
        <w:rPr>
          <w:rFonts w:ascii="Arial" w:hAnsi="Arial" w:cs="Arial"/>
          <w:b/>
          <w:i/>
        </w:rPr>
        <w:t>sección Información Financiera</w:t>
      </w:r>
      <w:r w:rsidRPr="005305C9">
        <w:rPr>
          <w:rFonts w:ascii="Arial" w:hAnsi="Arial" w:cs="Arial"/>
        </w:rPr>
        <w:t xml:space="preserve">. </w:t>
      </w:r>
    </w:p>
    <w:p w:rsidR="005305C9" w:rsidRPr="005305C9" w:rsidRDefault="005305C9" w:rsidP="005305C9">
      <w:pPr>
        <w:pStyle w:val="Default"/>
        <w:jc w:val="both"/>
        <w:rPr>
          <w:rFonts w:ascii="Arial" w:hAnsi="Arial" w:cs="Arial"/>
          <w:color w:val="auto"/>
          <w:sz w:val="22"/>
          <w:szCs w:val="22"/>
          <w:lang w:eastAsia="en-US"/>
        </w:rPr>
      </w:pPr>
      <w:r w:rsidRPr="005305C9">
        <w:rPr>
          <w:rFonts w:ascii="Arial" w:hAnsi="Arial" w:cs="Arial"/>
          <w:color w:val="auto"/>
          <w:sz w:val="22"/>
          <w:szCs w:val="22"/>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5305C9" w:rsidRPr="005305C9" w:rsidRDefault="005305C9" w:rsidP="005305C9">
      <w:pPr>
        <w:pStyle w:val="Default"/>
        <w:jc w:val="both"/>
        <w:rPr>
          <w:rFonts w:ascii="Arial" w:hAnsi="Arial" w:cs="Arial"/>
          <w:color w:val="auto"/>
          <w:sz w:val="22"/>
          <w:szCs w:val="22"/>
          <w:lang w:eastAsia="en-US"/>
        </w:rPr>
      </w:pPr>
    </w:p>
    <w:p w:rsidR="005305C9" w:rsidRPr="005305C9" w:rsidRDefault="005305C9" w:rsidP="005305C9">
      <w:pPr>
        <w:pStyle w:val="Default"/>
        <w:jc w:val="both"/>
        <w:rPr>
          <w:rFonts w:ascii="Arial" w:hAnsi="Arial" w:cs="Arial"/>
          <w:color w:val="auto"/>
          <w:sz w:val="22"/>
          <w:szCs w:val="22"/>
          <w:lang w:eastAsia="en-US"/>
        </w:rPr>
      </w:pPr>
      <w:r w:rsidRPr="005305C9">
        <w:rPr>
          <w:rFonts w:ascii="Arial" w:hAnsi="Arial" w:cs="Arial"/>
          <w:color w:val="auto"/>
          <w:sz w:val="22"/>
          <w:szCs w:val="22"/>
          <w:lang w:eastAsia="en-US"/>
        </w:rPr>
        <w:t xml:space="preserve">Los postulados básicos de contabilidad Gubernamental están armonizados del acuerdo por el que se emite el marco conceptual de contabilidad gubernamental, </w:t>
      </w:r>
      <w:r w:rsidR="00354700" w:rsidRPr="005305C9">
        <w:rPr>
          <w:rFonts w:ascii="Arial" w:hAnsi="Arial" w:cs="Arial"/>
          <w:color w:val="auto"/>
          <w:sz w:val="22"/>
          <w:szCs w:val="22"/>
          <w:lang w:eastAsia="en-US"/>
        </w:rPr>
        <w:t>así</w:t>
      </w:r>
      <w:r w:rsidRPr="005305C9">
        <w:rPr>
          <w:rFonts w:ascii="Arial" w:hAnsi="Arial" w:cs="Arial"/>
          <w:color w:val="auto"/>
          <w:sz w:val="22"/>
          <w:szCs w:val="22"/>
          <w:lang w:eastAsia="en-US"/>
        </w:rPr>
        <w:t xml:space="preserve">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5305C9" w:rsidRPr="005305C9" w:rsidRDefault="00C167C7" w:rsidP="005305C9">
      <w:pPr>
        <w:pStyle w:val="Textoindependiente"/>
        <w:spacing w:before="137"/>
        <w:ind w:left="0"/>
        <w:jc w:val="both"/>
        <w:rPr>
          <w:rFonts w:eastAsia="Calibri"/>
          <w:sz w:val="22"/>
          <w:szCs w:val="22"/>
          <w:lang w:val="es-MX"/>
        </w:rPr>
      </w:pPr>
      <w:r w:rsidRPr="005305C9">
        <w:rPr>
          <w:rFonts w:eastAsia="Calibri"/>
          <w:sz w:val="22"/>
          <w:szCs w:val="22"/>
          <w:lang w:val="es-MX"/>
        </w:rPr>
        <w:t>Finalmente,</w:t>
      </w:r>
      <w:r w:rsidR="005305C9" w:rsidRPr="005305C9">
        <w:rPr>
          <w:rFonts w:eastAsia="Calibri"/>
          <w:sz w:val="22"/>
          <w:szCs w:val="22"/>
          <w:lang w:val="es-MX"/>
        </w:rPr>
        <w:t xml:space="preserv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C167C7" w:rsidRDefault="00C167C7" w:rsidP="00BF448B">
      <w:pPr>
        <w:jc w:val="center"/>
        <w:rPr>
          <w:rFonts w:ascii="Arial" w:hAnsi="Arial" w:cs="Arial"/>
          <w:b/>
        </w:rPr>
      </w:pPr>
    </w:p>
    <w:p w:rsidR="0072256B" w:rsidRDefault="0072256B" w:rsidP="00BF448B">
      <w:pPr>
        <w:jc w:val="center"/>
        <w:rPr>
          <w:rFonts w:ascii="Arial" w:hAnsi="Arial" w:cs="Arial"/>
          <w:b/>
        </w:rPr>
      </w:pPr>
    </w:p>
    <w:p w:rsidR="00F04199" w:rsidRDefault="00F04199" w:rsidP="00F04199">
      <w:pPr>
        <w:jc w:val="both"/>
        <w:rPr>
          <w:rFonts w:ascii="Arial" w:hAnsi="Arial" w:cs="Arial"/>
          <w:b/>
        </w:rPr>
      </w:pPr>
      <w:r>
        <w:rPr>
          <w:rFonts w:ascii="Arial" w:hAnsi="Arial" w:cs="Arial"/>
          <w:b/>
        </w:rPr>
        <w:lastRenderedPageBreak/>
        <w:t>2. Describir el panorama Económico y Financiero:</w:t>
      </w:r>
    </w:p>
    <w:p w:rsidR="00F04199" w:rsidRDefault="00F04199" w:rsidP="00F04199">
      <w:pPr>
        <w:jc w:val="both"/>
        <w:rPr>
          <w:rFonts w:ascii="Arial" w:hAnsi="Arial" w:cs="Arial"/>
        </w:rPr>
      </w:pPr>
      <w:r>
        <w:rPr>
          <w:rFonts w:ascii="Arial" w:hAnsi="Arial" w:cs="Arial"/>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F04199" w:rsidRDefault="00F04199" w:rsidP="00F04199">
      <w:pPr>
        <w:jc w:val="both"/>
        <w:rPr>
          <w:rFonts w:ascii="Arial" w:hAnsi="Arial" w:cs="Arial"/>
        </w:rPr>
      </w:pPr>
      <w:r>
        <w:rPr>
          <w:rFonts w:ascii="Arial" w:hAnsi="Arial" w:cs="Arial"/>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F04199" w:rsidRDefault="00F04199" w:rsidP="00F04199">
      <w:pPr>
        <w:jc w:val="both"/>
        <w:rPr>
          <w:rFonts w:ascii="Arial" w:hAnsi="Arial" w:cs="Arial"/>
        </w:rPr>
      </w:pPr>
      <w:r>
        <w:rPr>
          <w:rFonts w:ascii="Arial" w:hAnsi="Arial" w:cs="Arial"/>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F04199" w:rsidRDefault="00F04199" w:rsidP="00F04199">
      <w:pPr>
        <w:jc w:val="both"/>
        <w:rPr>
          <w:rFonts w:ascii="Arial" w:hAnsi="Arial" w:cs="Arial"/>
        </w:rPr>
      </w:pPr>
      <w:r>
        <w:rPr>
          <w:rFonts w:ascii="Arial" w:hAnsi="Arial" w:cs="Arial"/>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F04199" w:rsidRDefault="00F04199" w:rsidP="00F04199">
      <w:pPr>
        <w:jc w:val="both"/>
        <w:rPr>
          <w:rFonts w:ascii="Arial" w:hAnsi="Arial" w:cs="Arial"/>
        </w:rPr>
      </w:pPr>
      <w:r>
        <w:rPr>
          <w:rFonts w:ascii="Arial" w:hAnsi="Arial" w:cs="Arial"/>
        </w:rPr>
        <w:t>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w:t>
      </w:r>
      <w:r w:rsidR="00C167C7">
        <w:rPr>
          <w:rFonts w:ascii="Arial" w:hAnsi="Arial" w:cs="Arial"/>
        </w:rPr>
        <w:t xml:space="preserve"> y un sistema estructurado de trabajo social que determina el grado de vulnerabilidad del beneficiario a efecto de otorgar igualdad de condiciones en el otorgami</w:t>
      </w:r>
      <w:r w:rsidR="00024947">
        <w:rPr>
          <w:rFonts w:ascii="Arial" w:hAnsi="Arial" w:cs="Arial"/>
        </w:rPr>
        <w:t xml:space="preserve">ento de los servicios y apoyos, </w:t>
      </w:r>
      <w:r>
        <w:rPr>
          <w:rFonts w:ascii="Arial" w:hAnsi="Arial" w:cs="Arial"/>
        </w:rPr>
        <w:t xml:space="preserve">siguiendo el principio de publicidad y difusión en el periódico oficial del </w:t>
      </w:r>
      <w:r w:rsidR="00C167C7">
        <w:rPr>
          <w:rFonts w:ascii="Arial" w:hAnsi="Arial" w:cs="Arial"/>
        </w:rPr>
        <w:t>G</w:t>
      </w:r>
      <w:r>
        <w:rPr>
          <w:rFonts w:ascii="Arial" w:hAnsi="Arial" w:cs="Arial"/>
        </w:rPr>
        <w:t xml:space="preserve">obierno del </w:t>
      </w:r>
      <w:r w:rsidR="00C167C7">
        <w:rPr>
          <w:rFonts w:ascii="Arial" w:hAnsi="Arial" w:cs="Arial"/>
        </w:rPr>
        <w:t>E</w:t>
      </w:r>
      <w:r>
        <w:rPr>
          <w:rFonts w:ascii="Arial" w:hAnsi="Arial" w:cs="Arial"/>
        </w:rPr>
        <w:t xml:space="preserve">stado, las reglas de operación y los tabuladores son autorizados por el consejo Directivo del Instituto cada año presupuestal para su aplicación. Los recursos federales que opera el instituto provienen del ramo </w:t>
      </w:r>
      <w:r w:rsidR="00C167C7">
        <w:rPr>
          <w:rFonts w:ascii="Arial" w:hAnsi="Arial" w:cs="Arial"/>
        </w:rPr>
        <w:t xml:space="preserve">general </w:t>
      </w:r>
      <w:r>
        <w:rPr>
          <w:rFonts w:ascii="Arial" w:hAnsi="Arial" w:cs="Arial"/>
        </w:rPr>
        <w:t xml:space="preserve">23 FOTRADIS. </w:t>
      </w:r>
    </w:p>
    <w:p w:rsidR="00C167C7" w:rsidRDefault="00C167C7" w:rsidP="00F04199">
      <w:pPr>
        <w:jc w:val="both"/>
        <w:rPr>
          <w:rFonts w:ascii="Arial" w:hAnsi="Arial" w:cs="Arial"/>
        </w:rPr>
      </w:pPr>
      <w:r>
        <w:rPr>
          <w:rFonts w:ascii="Arial" w:hAnsi="Arial" w:cs="Arial"/>
        </w:rPr>
        <w:lastRenderedPageBreak/>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F04199" w:rsidRDefault="00F04199" w:rsidP="00F04199">
      <w:pPr>
        <w:jc w:val="both"/>
        <w:rPr>
          <w:rFonts w:ascii="Arial" w:hAnsi="Arial" w:cs="Arial"/>
        </w:rPr>
      </w:pPr>
      <w:r>
        <w:rPr>
          <w:rFonts w:ascii="Arial" w:hAnsi="Arial" w:cs="Arial"/>
        </w:rPr>
        <w:t>Se aclara que los ingresos por cuotas de recuperación de los programas presupuestales asignados a los centros de atención y proyectos de Inversión, se aplican dentro del gasto para la operación y pago de servicios básicos en los mismos centros</w:t>
      </w:r>
      <w:r w:rsidR="00C167C7">
        <w:rPr>
          <w:rFonts w:ascii="Arial" w:hAnsi="Arial" w:cs="Arial"/>
        </w:rPr>
        <w:t xml:space="preserve"> en atención al artículo 12 del reglamento Interior del Instituto</w:t>
      </w:r>
      <w:r>
        <w:rPr>
          <w:rFonts w:ascii="Arial" w:hAnsi="Arial" w:cs="Arial"/>
        </w:rPr>
        <w:t>.</w:t>
      </w:r>
    </w:p>
    <w:p w:rsidR="00F04199" w:rsidRDefault="00F04199" w:rsidP="00F04199">
      <w:pPr>
        <w:jc w:val="both"/>
        <w:rPr>
          <w:rFonts w:ascii="Arial" w:hAnsi="Arial" w:cs="Arial"/>
          <w:b/>
        </w:rPr>
      </w:pPr>
      <w:r>
        <w:rPr>
          <w:rFonts w:ascii="Arial" w:hAnsi="Arial" w:cs="Arial"/>
          <w:b/>
        </w:rPr>
        <w:t>3. Autorización e Historia:</w:t>
      </w:r>
    </w:p>
    <w:p w:rsidR="00F04199" w:rsidRDefault="00F04199" w:rsidP="00F04199">
      <w:pPr>
        <w:jc w:val="both"/>
        <w:rPr>
          <w:rFonts w:ascii="Arial" w:hAnsi="Arial" w:cs="Arial"/>
        </w:rPr>
      </w:pPr>
      <w:r>
        <w:rPr>
          <w:rFonts w:ascii="Arial" w:hAnsi="Arial" w:cs="Arial"/>
        </w:rPr>
        <w:t>Se informará sobre:</w:t>
      </w:r>
    </w:p>
    <w:p w:rsidR="00F04199" w:rsidRDefault="00F04199" w:rsidP="00F04199">
      <w:pPr>
        <w:jc w:val="both"/>
        <w:rPr>
          <w:rFonts w:ascii="Arial" w:hAnsi="Arial" w:cs="Arial"/>
        </w:rPr>
      </w:pPr>
      <w:r>
        <w:rPr>
          <w:rFonts w:ascii="Arial" w:hAnsi="Arial" w:cs="Arial"/>
          <w:b/>
        </w:rPr>
        <w:t>a)</w:t>
      </w:r>
      <w:r>
        <w:rPr>
          <w:rFonts w:ascii="Arial" w:hAnsi="Arial" w:cs="Arial"/>
        </w:rPr>
        <w:t xml:space="preserve"> Fecha de creación del ente.</w:t>
      </w:r>
    </w:p>
    <w:p w:rsidR="00BF3754" w:rsidRPr="00BF3754" w:rsidRDefault="00BF3754" w:rsidP="00BF3754">
      <w:pPr>
        <w:pStyle w:val="Default"/>
        <w:jc w:val="both"/>
        <w:rPr>
          <w:rFonts w:ascii="Arial" w:hAnsi="Arial" w:cs="Arial"/>
          <w:color w:val="auto"/>
          <w:sz w:val="22"/>
          <w:szCs w:val="22"/>
          <w:lang w:eastAsia="en-US"/>
        </w:rPr>
      </w:pPr>
      <w:r w:rsidRPr="00BF3754">
        <w:rPr>
          <w:rFonts w:ascii="Arial" w:hAnsi="Arial" w:cs="Arial"/>
          <w:color w:val="auto"/>
          <w:sz w:val="22"/>
          <w:szCs w:val="22"/>
          <w:lang w:eastAsia="en-US"/>
        </w:rPr>
        <w:t xml:space="preserve">El 14 de septiembre de 2012, se publicó la Ley de Inclusión para Personas con Discapacidad. Y de acuerdo con el artículo 10 se crea el Instituto Guanajuatense para personas con Discapacidad, </w:t>
      </w:r>
      <w:proofErr w:type="spellStart"/>
      <w:r w:rsidRPr="00BF3754">
        <w:rPr>
          <w:rFonts w:ascii="Arial" w:hAnsi="Arial" w:cs="Arial"/>
          <w:color w:val="auto"/>
          <w:sz w:val="22"/>
          <w:szCs w:val="22"/>
          <w:lang w:eastAsia="en-US"/>
        </w:rPr>
        <w:t>Ingudis</w:t>
      </w:r>
      <w:proofErr w:type="spellEnd"/>
      <w:r w:rsidRPr="00BF3754">
        <w:rPr>
          <w:rFonts w:ascii="Arial" w:hAnsi="Arial" w:cs="Arial"/>
          <w:color w:val="auto"/>
          <w:sz w:val="22"/>
          <w:szCs w:val="22"/>
          <w:lang w:eastAsia="en-US"/>
        </w:rPr>
        <w:t xml:space="preserve"> (Decreto Legislativo 289). </w:t>
      </w:r>
    </w:p>
    <w:p w:rsidR="00BF3754" w:rsidRPr="00BF3754" w:rsidRDefault="00BF3754" w:rsidP="00BF3754">
      <w:pPr>
        <w:pStyle w:val="Default"/>
        <w:jc w:val="both"/>
        <w:rPr>
          <w:rFonts w:ascii="Arial" w:hAnsi="Arial" w:cs="Arial"/>
          <w:color w:val="auto"/>
          <w:sz w:val="22"/>
          <w:szCs w:val="22"/>
          <w:lang w:eastAsia="en-US"/>
        </w:rPr>
      </w:pPr>
    </w:p>
    <w:p w:rsidR="00BF3754" w:rsidRPr="00BF3754" w:rsidRDefault="00BF3754" w:rsidP="00BF3754">
      <w:pPr>
        <w:pStyle w:val="Default"/>
        <w:jc w:val="both"/>
        <w:rPr>
          <w:rFonts w:ascii="Arial" w:hAnsi="Arial" w:cs="Arial"/>
          <w:color w:val="auto"/>
          <w:sz w:val="22"/>
          <w:szCs w:val="22"/>
          <w:lang w:eastAsia="en-US"/>
        </w:rPr>
      </w:pPr>
      <w:r w:rsidRPr="00BF3754">
        <w:rPr>
          <w:rFonts w:ascii="Arial" w:hAnsi="Arial" w:cs="Arial"/>
          <w:color w:val="auto"/>
          <w:sz w:val="22"/>
          <w:szCs w:val="22"/>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BF3754" w:rsidRPr="00BF3754" w:rsidRDefault="00BF3754" w:rsidP="00BF3754">
      <w:pPr>
        <w:pStyle w:val="Default"/>
        <w:jc w:val="both"/>
        <w:rPr>
          <w:rFonts w:ascii="Arial" w:hAnsi="Arial" w:cs="Arial"/>
          <w:color w:val="auto"/>
          <w:sz w:val="22"/>
          <w:szCs w:val="22"/>
          <w:lang w:eastAsia="en-US"/>
        </w:rPr>
      </w:pPr>
    </w:p>
    <w:p w:rsidR="00BF3754" w:rsidRPr="00BF3754" w:rsidRDefault="00BF3754" w:rsidP="00BF3754">
      <w:pPr>
        <w:pStyle w:val="Default"/>
        <w:jc w:val="both"/>
        <w:rPr>
          <w:rFonts w:ascii="Arial" w:hAnsi="Arial" w:cs="Arial"/>
          <w:color w:val="auto"/>
          <w:sz w:val="22"/>
          <w:szCs w:val="22"/>
          <w:lang w:eastAsia="en-US"/>
        </w:rPr>
      </w:pPr>
      <w:r w:rsidRPr="00BF3754">
        <w:rPr>
          <w:rFonts w:ascii="Arial" w:hAnsi="Arial" w:cs="Arial"/>
          <w:color w:val="auto"/>
          <w:sz w:val="22"/>
          <w:szCs w:val="22"/>
          <w:lang w:eastAsia="en-US"/>
        </w:rPr>
        <w:t xml:space="preserve">De igual manera dispone que la estructura orgánica y las funciones de la Dirección de Rehabilitación e inclusión Social de Personas con Discapacidad del DIF, Estatal, se integre como plantilla inicial </w:t>
      </w:r>
      <w:r w:rsidR="00C167C7">
        <w:rPr>
          <w:rFonts w:ascii="Arial" w:hAnsi="Arial" w:cs="Arial"/>
          <w:color w:val="auto"/>
          <w:sz w:val="22"/>
          <w:szCs w:val="22"/>
          <w:lang w:eastAsia="en-US"/>
        </w:rPr>
        <w:t>de 109 plazas y 30 de honorarios</w:t>
      </w:r>
      <w:r w:rsidRPr="00BF3754">
        <w:rPr>
          <w:rFonts w:ascii="Arial" w:hAnsi="Arial" w:cs="Arial"/>
          <w:color w:val="auto"/>
          <w:sz w:val="22"/>
          <w:szCs w:val="22"/>
          <w:lang w:eastAsia="en-US"/>
        </w:rPr>
        <w:t xml:space="preserve">. </w:t>
      </w:r>
    </w:p>
    <w:p w:rsidR="004D5412" w:rsidRDefault="004D5412" w:rsidP="00F04199">
      <w:pPr>
        <w:jc w:val="both"/>
        <w:rPr>
          <w:rFonts w:ascii="Arial" w:hAnsi="Arial" w:cs="Arial"/>
        </w:rPr>
      </w:pPr>
    </w:p>
    <w:p w:rsidR="00F04199" w:rsidRDefault="00F04199" w:rsidP="00F04199">
      <w:pPr>
        <w:jc w:val="both"/>
        <w:rPr>
          <w:rFonts w:ascii="Arial" w:hAnsi="Arial" w:cs="Arial"/>
        </w:rPr>
      </w:pPr>
      <w:r>
        <w:rPr>
          <w:rFonts w:ascii="Arial" w:hAnsi="Arial" w:cs="Arial"/>
        </w:rPr>
        <w:t xml:space="preserve">El día 3 de diciembre del 2012 </w:t>
      </w:r>
      <w:r w:rsidR="00C167C7">
        <w:rPr>
          <w:rFonts w:ascii="Arial" w:hAnsi="Arial" w:cs="Arial"/>
        </w:rPr>
        <w:t xml:space="preserve">toma protesta el director general del Instituto y </w:t>
      </w:r>
      <w:r>
        <w:rPr>
          <w:rFonts w:ascii="Arial" w:hAnsi="Arial" w:cs="Arial"/>
        </w:rPr>
        <w:t>se crea el Instituto Guanajuatense para las Personas con Discapacidad</w:t>
      </w:r>
      <w:r w:rsidR="00C167C7">
        <w:rPr>
          <w:rFonts w:ascii="Arial" w:hAnsi="Arial" w:cs="Arial"/>
        </w:rPr>
        <w:t xml:space="preserve"> y es a partir del 01 de e</w:t>
      </w:r>
      <w:r w:rsidR="003959CA">
        <w:rPr>
          <w:rFonts w:ascii="Arial" w:hAnsi="Arial" w:cs="Arial"/>
        </w:rPr>
        <w:t xml:space="preserve">nero del 2013 que el Instituto entra en operaciones, en las instalaciones del DIF estatal ubicadas en paseo de la </w:t>
      </w:r>
      <w:r w:rsidR="000A579C">
        <w:rPr>
          <w:rFonts w:ascii="Arial" w:hAnsi="Arial" w:cs="Arial"/>
        </w:rPr>
        <w:t>Presa</w:t>
      </w:r>
      <w:r w:rsidR="00024947">
        <w:rPr>
          <w:rFonts w:ascii="Arial" w:hAnsi="Arial" w:cs="Arial"/>
        </w:rPr>
        <w:t xml:space="preserve"> 73</w:t>
      </w:r>
      <w:r w:rsidR="004D5412">
        <w:rPr>
          <w:rFonts w:ascii="Arial" w:hAnsi="Arial" w:cs="Arial"/>
        </w:rPr>
        <w:t>, a partir 26 de noviembre del 2015 inaugura instalaciones en la Cd. De Silao de la victoria, siendo hasta la fecha las oficinas de la Dirección General y Administrativas, con domicilio en calle hacienda Silao</w:t>
      </w:r>
      <w:r w:rsidR="004D5412" w:rsidRPr="004D5412">
        <w:rPr>
          <w:rFonts w:ascii="Arial" w:hAnsi="Arial" w:cs="Arial"/>
        </w:rPr>
        <w:t xml:space="preserve"> </w:t>
      </w:r>
      <w:r w:rsidR="004D5412">
        <w:rPr>
          <w:rFonts w:ascii="Arial" w:hAnsi="Arial" w:cs="Arial"/>
        </w:rPr>
        <w:t xml:space="preserve">No. 900, </w:t>
      </w:r>
      <w:r w:rsidR="00024947">
        <w:rPr>
          <w:rFonts w:ascii="Arial" w:hAnsi="Arial" w:cs="Arial"/>
        </w:rPr>
        <w:t>Colonia la hacienda. C.P. 36100.</w:t>
      </w:r>
    </w:p>
    <w:p w:rsidR="00F04199" w:rsidRDefault="00F04199" w:rsidP="00F04199">
      <w:pPr>
        <w:jc w:val="both"/>
        <w:rPr>
          <w:rFonts w:ascii="Arial" w:hAnsi="Arial" w:cs="Arial"/>
        </w:rPr>
      </w:pPr>
      <w:r>
        <w:rPr>
          <w:rFonts w:ascii="Arial" w:hAnsi="Arial" w:cs="Arial"/>
          <w:b/>
        </w:rPr>
        <w:t>b)</w:t>
      </w:r>
      <w:r>
        <w:rPr>
          <w:rFonts w:ascii="Arial" w:hAnsi="Arial" w:cs="Arial"/>
        </w:rPr>
        <w:t xml:space="preserve"> Principales cambios en su estructura (interna históricamente).</w:t>
      </w:r>
    </w:p>
    <w:p w:rsidR="00F04199" w:rsidRDefault="00F04199" w:rsidP="00F04199">
      <w:pPr>
        <w:jc w:val="both"/>
        <w:rPr>
          <w:rFonts w:ascii="Arial" w:hAnsi="Arial" w:cs="Arial"/>
        </w:rPr>
      </w:pPr>
      <w:r>
        <w:rPr>
          <w:rFonts w:ascii="Arial" w:hAnsi="Arial" w:cs="Arial"/>
        </w:rPr>
        <w:t>El día 3 de diciembre del 2013 se publica el reglamento interior del instituto en el periódico oficial del Gobierno del Estado, número 193 tercera parte, donde se aprueba la estructura orgánica y atribuciones de las áreas que conforman al ente</w:t>
      </w:r>
      <w:r w:rsidR="004D5412">
        <w:rPr>
          <w:rFonts w:ascii="Arial" w:hAnsi="Arial" w:cs="Arial"/>
        </w:rPr>
        <w:t>.</w:t>
      </w:r>
    </w:p>
    <w:p w:rsidR="00BF3754" w:rsidRPr="00BF3754" w:rsidRDefault="00BF3754" w:rsidP="00BF3754">
      <w:pPr>
        <w:jc w:val="both"/>
        <w:rPr>
          <w:rFonts w:ascii="Arial" w:hAnsi="Arial" w:cs="Arial"/>
        </w:rPr>
      </w:pPr>
      <w:r w:rsidRPr="00BF3754">
        <w:rPr>
          <w:rFonts w:ascii="Arial" w:hAnsi="Arial" w:cs="Arial"/>
        </w:rPr>
        <w:lastRenderedPageBreak/>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r w:rsidR="004D5412">
        <w:rPr>
          <w:rFonts w:ascii="Arial" w:hAnsi="Arial" w:cs="Arial"/>
        </w:rPr>
        <w:t>.</w:t>
      </w:r>
    </w:p>
    <w:p w:rsidR="00F04199" w:rsidRDefault="00F04199" w:rsidP="00F04199">
      <w:pPr>
        <w:jc w:val="both"/>
        <w:rPr>
          <w:rFonts w:ascii="Arial" w:hAnsi="Arial" w:cs="Arial"/>
          <w:b/>
        </w:rPr>
      </w:pPr>
      <w:r>
        <w:rPr>
          <w:rFonts w:ascii="Arial" w:hAnsi="Arial" w:cs="Arial"/>
          <w:b/>
        </w:rPr>
        <w:t>4. Organización y Objeto Social:</w:t>
      </w:r>
    </w:p>
    <w:p w:rsidR="00F04199" w:rsidRDefault="00F04199" w:rsidP="00F04199">
      <w:pPr>
        <w:jc w:val="both"/>
        <w:rPr>
          <w:rFonts w:ascii="Arial" w:hAnsi="Arial" w:cs="Arial"/>
        </w:rPr>
      </w:pPr>
      <w:r>
        <w:rPr>
          <w:rFonts w:ascii="Arial" w:hAnsi="Arial" w:cs="Arial"/>
        </w:rPr>
        <w:t>Se informará sobre:</w:t>
      </w:r>
    </w:p>
    <w:p w:rsidR="00F04199" w:rsidRDefault="00F04199" w:rsidP="00F04199">
      <w:pPr>
        <w:jc w:val="both"/>
        <w:rPr>
          <w:rFonts w:ascii="Arial" w:hAnsi="Arial" w:cs="Arial"/>
        </w:rPr>
      </w:pPr>
      <w:r>
        <w:rPr>
          <w:rFonts w:ascii="Arial" w:hAnsi="Arial" w:cs="Arial"/>
          <w:b/>
        </w:rPr>
        <w:t>a)</w:t>
      </w:r>
      <w:r>
        <w:rPr>
          <w:rFonts w:ascii="Arial" w:hAnsi="Arial" w:cs="Arial"/>
        </w:rPr>
        <w:t xml:space="preserve"> Objeto social.</w:t>
      </w:r>
    </w:p>
    <w:p w:rsidR="00F04199" w:rsidRDefault="00F04199" w:rsidP="00F04199">
      <w:pPr>
        <w:jc w:val="both"/>
        <w:rPr>
          <w:rFonts w:ascii="Arial" w:hAnsi="Arial" w:cs="Arial"/>
        </w:rPr>
      </w:pPr>
      <w:r>
        <w:rPr>
          <w:rFonts w:ascii="Arial" w:hAnsi="Arial" w:cs="Arial"/>
        </w:rPr>
        <w:t>Responsable de la ejecución, promoción e impulso de las acciones en materia de atención, protección, rehabilitación e inclusión de las personas con discapacidad.</w:t>
      </w:r>
    </w:p>
    <w:p w:rsidR="00F04199" w:rsidRDefault="00F04199" w:rsidP="00F04199">
      <w:pPr>
        <w:jc w:val="both"/>
        <w:rPr>
          <w:rFonts w:ascii="Arial" w:hAnsi="Arial" w:cs="Arial"/>
        </w:rPr>
      </w:pPr>
      <w:r>
        <w:rPr>
          <w:rFonts w:ascii="Arial" w:hAnsi="Arial" w:cs="Arial"/>
          <w:b/>
        </w:rPr>
        <w:t>b)</w:t>
      </w:r>
      <w:r>
        <w:rPr>
          <w:rFonts w:ascii="Arial" w:hAnsi="Arial" w:cs="Arial"/>
        </w:rPr>
        <w:t xml:space="preserve"> Principal actividad: Cen</w:t>
      </w:r>
      <w:r w:rsidR="00024947">
        <w:rPr>
          <w:rFonts w:ascii="Arial" w:hAnsi="Arial" w:cs="Arial"/>
        </w:rPr>
        <w:t>tro del sector público dedicado</w:t>
      </w:r>
      <w:r>
        <w:rPr>
          <w:rFonts w:ascii="Arial" w:hAnsi="Arial" w:cs="Arial"/>
        </w:rPr>
        <w:t xml:space="preserve"> a la atención y cuidado diurno de ancianos y discapacitados.</w:t>
      </w:r>
    </w:p>
    <w:p w:rsidR="00F04199" w:rsidRDefault="00F04199" w:rsidP="00E72895">
      <w:pPr>
        <w:tabs>
          <w:tab w:val="center" w:pos="6644"/>
        </w:tabs>
        <w:jc w:val="both"/>
        <w:rPr>
          <w:rFonts w:ascii="Arial" w:hAnsi="Arial" w:cs="Arial"/>
        </w:rPr>
      </w:pPr>
      <w:r>
        <w:rPr>
          <w:rFonts w:ascii="Arial" w:hAnsi="Arial" w:cs="Arial"/>
          <w:b/>
        </w:rPr>
        <w:t>c)</w:t>
      </w:r>
      <w:r>
        <w:rPr>
          <w:rFonts w:ascii="Arial" w:hAnsi="Arial" w:cs="Arial"/>
        </w:rPr>
        <w:t xml:space="preserve"> Eje</w:t>
      </w:r>
      <w:r w:rsidR="004436FD">
        <w:rPr>
          <w:rFonts w:ascii="Arial" w:hAnsi="Arial" w:cs="Arial"/>
        </w:rPr>
        <w:t xml:space="preserve">rcicio fiscal: ENERO A </w:t>
      </w:r>
      <w:r w:rsidR="00E00DE1">
        <w:rPr>
          <w:rFonts w:ascii="Arial" w:hAnsi="Arial" w:cs="Arial"/>
        </w:rPr>
        <w:t>SEPTIEMBRE</w:t>
      </w:r>
      <w:r w:rsidR="004436FD">
        <w:rPr>
          <w:rFonts w:ascii="Arial" w:hAnsi="Arial" w:cs="Arial"/>
        </w:rPr>
        <w:t xml:space="preserve"> DEL 2019</w:t>
      </w:r>
      <w:r>
        <w:rPr>
          <w:rFonts w:ascii="Arial" w:hAnsi="Arial" w:cs="Arial"/>
        </w:rPr>
        <w:t>.</w:t>
      </w:r>
      <w:r w:rsidR="00E72895">
        <w:rPr>
          <w:rFonts w:ascii="Arial" w:hAnsi="Arial" w:cs="Arial"/>
        </w:rPr>
        <w:tab/>
      </w:r>
    </w:p>
    <w:p w:rsidR="004C2104" w:rsidRDefault="00F04199" w:rsidP="00F04199">
      <w:pPr>
        <w:jc w:val="both"/>
        <w:rPr>
          <w:rFonts w:ascii="Arial" w:hAnsi="Arial" w:cs="Arial"/>
        </w:rPr>
      </w:pPr>
      <w:r>
        <w:rPr>
          <w:rFonts w:ascii="Arial" w:hAnsi="Arial" w:cs="Arial"/>
          <w:b/>
        </w:rPr>
        <w:t>d)</w:t>
      </w:r>
      <w:r>
        <w:rPr>
          <w:rFonts w:ascii="Arial" w:hAnsi="Arial" w:cs="Arial"/>
        </w:rPr>
        <w:t xml:space="preserve"> Régimen jurídico: Persona moral sin fines de lucro.</w:t>
      </w:r>
    </w:p>
    <w:p w:rsidR="00F04199" w:rsidRDefault="00F04199" w:rsidP="00F04199">
      <w:pPr>
        <w:jc w:val="both"/>
        <w:rPr>
          <w:rFonts w:ascii="Arial" w:hAnsi="Arial" w:cs="Arial"/>
        </w:rPr>
      </w:pPr>
      <w:r>
        <w:rPr>
          <w:rFonts w:ascii="Arial" w:hAnsi="Arial" w:cs="Arial"/>
          <w:b/>
        </w:rPr>
        <w:t>e)</w:t>
      </w:r>
      <w:r>
        <w:rPr>
          <w:rFonts w:ascii="Arial" w:hAnsi="Arial" w:cs="Arial"/>
        </w:rPr>
        <w:t xml:space="preserve"> Consideraciones fiscales del ente: </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declaración y pago provisional mensual de retenciones de impuesto sobre la renta por sueldos y salarios.</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Presentación de declaración anual de impuesto sobre la renta donde se informa sobre los pagos y retenciones de servicios profesionales.</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declaración anual donde se informa sobre las retenciones de los trabajadores que recibieron sueldos y salarios y trabajadores asimilados a salarios.</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declaración y pago provisional mensual sobre el impuesto sobre la renta por las retenciones realizadas a los trabajadores asimilados a salarios.</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la declaración informativa anual de subsidio para el empleo.</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la declaración y pago provisional mensual de impuesto sobre la renta por las retenciones realizadas por servicios profesionales</w:t>
      </w:r>
    </w:p>
    <w:p w:rsidR="00F04199" w:rsidRDefault="00F04199" w:rsidP="00F04199">
      <w:pPr>
        <w:numPr>
          <w:ilvl w:val="0"/>
          <w:numId w:val="2"/>
        </w:numPr>
        <w:spacing w:after="0" w:line="240" w:lineRule="auto"/>
        <w:jc w:val="both"/>
        <w:rPr>
          <w:rFonts w:ascii="Arial" w:hAnsi="Arial" w:cs="Arial"/>
        </w:rPr>
      </w:pPr>
      <w:r>
        <w:rPr>
          <w:rFonts w:ascii="Arial" w:hAnsi="Arial" w:cs="Arial"/>
        </w:rPr>
        <w:t>Presentar declaración informativa mensual de proveedores por tasas de IVA y IEPS.</w:t>
      </w:r>
    </w:p>
    <w:p w:rsidR="00354700" w:rsidRDefault="00354700" w:rsidP="00F04199">
      <w:pPr>
        <w:jc w:val="both"/>
        <w:rPr>
          <w:rFonts w:ascii="Arial" w:hAnsi="Arial" w:cs="Arial"/>
        </w:rPr>
      </w:pPr>
    </w:p>
    <w:p w:rsidR="00354700" w:rsidRDefault="00354700" w:rsidP="00BF448B">
      <w:pPr>
        <w:jc w:val="center"/>
        <w:rPr>
          <w:rFonts w:ascii="Arial" w:hAnsi="Arial" w:cs="Arial"/>
        </w:rPr>
      </w:pPr>
    </w:p>
    <w:p w:rsidR="00354700" w:rsidRDefault="00354700" w:rsidP="00F04199">
      <w:pPr>
        <w:jc w:val="both"/>
        <w:rPr>
          <w:rFonts w:ascii="Arial" w:hAnsi="Arial" w:cs="Arial"/>
        </w:rPr>
      </w:pPr>
    </w:p>
    <w:p w:rsidR="00F04199" w:rsidRDefault="00F04199" w:rsidP="00F04199">
      <w:pPr>
        <w:jc w:val="both"/>
        <w:rPr>
          <w:rFonts w:ascii="Arial" w:hAnsi="Arial" w:cs="Arial"/>
        </w:rPr>
      </w:pPr>
      <w:r>
        <w:rPr>
          <w:rFonts w:ascii="Arial" w:hAnsi="Arial" w:cs="Arial"/>
        </w:rPr>
        <w:t xml:space="preserve"> </w:t>
      </w:r>
      <w:r>
        <w:rPr>
          <w:rFonts w:ascii="Arial" w:hAnsi="Arial" w:cs="Arial"/>
          <w:b/>
        </w:rPr>
        <w:t>f)</w:t>
      </w:r>
      <w:r>
        <w:rPr>
          <w:rFonts w:ascii="Arial" w:hAnsi="Arial" w:cs="Arial"/>
        </w:rPr>
        <w:t xml:space="preserve"> Estructura organizacional básica.</w:t>
      </w:r>
    </w:p>
    <w:p w:rsidR="00F04199" w:rsidRDefault="004C2104" w:rsidP="004C2104">
      <w:pPr>
        <w:jc w:val="center"/>
        <w:rPr>
          <w:rFonts w:ascii="Arial" w:hAnsi="Arial" w:cs="Arial"/>
          <w:b/>
        </w:rPr>
      </w:pPr>
      <w:r>
        <w:rPr>
          <w:rFonts w:ascii="Arial" w:hAnsi="Arial" w:cs="Arial"/>
          <w:b/>
          <w:noProof/>
          <w:lang w:eastAsia="es-MX"/>
        </w:rPr>
        <w:drawing>
          <wp:inline distT="0" distB="0" distL="0" distR="0" wp14:anchorId="52CA0231" wp14:editId="2990B4E0">
            <wp:extent cx="6791325" cy="295275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1325" cy="2952750"/>
                    </a:xfrm>
                    <a:prstGeom prst="rect">
                      <a:avLst/>
                    </a:prstGeom>
                    <a:noFill/>
                    <a:ln>
                      <a:noFill/>
                    </a:ln>
                  </pic:spPr>
                </pic:pic>
              </a:graphicData>
            </a:graphic>
          </wp:inline>
        </w:drawing>
      </w:r>
    </w:p>
    <w:p w:rsidR="00F04199" w:rsidRDefault="00F04199" w:rsidP="00F04199">
      <w:pPr>
        <w:jc w:val="both"/>
        <w:rPr>
          <w:rFonts w:ascii="Arial" w:hAnsi="Arial" w:cs="Arial"/>
        </w:rPr>
      </w:pPr>
      <w:r>
        <w:rPr>
          <w:rFonts w:ascii="Arial" w:hAnsi="Arial" w:cs="Arial"/>
          <w:b/>
        </w:rPr>
        <w:t>g)</w:t>
      </w:r>
      <w:r>
        <w:rPr>
          <w:rFonts w:ascii="Arial" w:hAnsi="Arial" w:cs="Arial"/>
        </w:rPr>
        <w:t xml:space="preserve"> Fideicomisos, mandatos y análogos de los cuales es fideicomitente o fiduciario.</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b/>
        </w:rPr>
      </w:pPr>
      <w:r>
        <w:rPr>
          <w:rFonts w:ascii="Arial" w:hAnsi="Arial" w:cs="Arial"/>
          <w:b/>
        </w:rPr>
        <w:t>5. Bases de Preparación de los Estados Financieros:</w:t>
      </w:r>
    </w:p>
    <w:p w:rsidR="00F04199" w:rsidRDefault="00F04199" w:rsidP="00F04199">
      <w:pPr>
        <w:jc w:val="both"/>
        <w:rPr>
          <w:rFonts w:ascii="Arial" w:hAnsi="Arial" w:cs="Arial"/>
        </w:rPr>
      </w:pPr>
      <w:r>
        <w:rPr>
          <w:rFonts w:ascii="Arial" w:hAnsi="Arial" w:cs="Arial"/>
        </w:rPr>
        <w:t>Se informará sobre:</w:t>
      </w:r>
    </w:p>
    <w:p w:rsidR="00F04199" w:rsidRDefault="00F04199" w:rsidP="00F04199">
      <w:pPr>
        <w:jc w:val="both"/>
        <w:rPr>
          <w:rFonts w:ascii="Arial" w:hAnsi="Arial" w:cs="Arial"/>
        </w:rPr>
      </w:pPr>
      <w:r>
        <w:rPr>
          <w:rFonts w:ascii="Arial" w:hAnsi="Arial" w:cs="Arial"/>
          <w:b/>
        </w:rPr>
        <w:t>a)</w:t>
      </w:r>
      <w:r>
        <w:rPr>
          <w:rFonts w:ascii="Arial" w:hAnsi="Arial" w:cs="Arial"/>
        </w:rPr>
        <w:t xml:space="preserve"> Si se ha observado la normatividad emitida por el CONAC y las disposiciones legales aplicables.</w:t>
      </w:r>
    </w:p>
    <w:p w:rsidR="00F04199" w:rsidRDefault="00F04199" w:rsidP="00F04199">
      <w:pPr>
        <w:jc w:val="both"/>
        <w:rPr>
          <w:rFonts w:ascii="Arial" w:hAnsi="Arial" w:cs="Arial"/>
        </w:rPr>
      </w:pPr>
      <w:r>
        <w:rPr>
          <w:rFonts w:ascii="Arial" w:hAnsi="Arial" w:cs="Arial"/>
        </w:rPr>
        <w:t>Los Estados Financieros son emitidos de conformidad con la Ley General de Contabilidad Gubernamental vigente, las reglas de registro, postulados básicos de contabilidad y</w:t>
      </w:r>
      <w:r w:rsidR="00024947">
        <w:rPr>
          <w:rFonts w:ascii="Arial" w:hAnsi="Arial" w:cs="Arial"/>
        </w:rPr>
        <w:t xml:space="preserve"> demás normativa emitida por el </w:t>
      </w:r>
      <w:r>
        <w:rPr>
          <w:rFonts w:ascii="Arial" w:hAnsi="Arial" w:cs="Arial"/>
        </w:rPr>
        <w:t>CONAC y disposiciones legales aplicables.</w:t>
      </w:r>
    </w:p>
    <w:p w:rsidR="00F04199" w:rsidRDefault="00F04199" w:rsidP="00F04199">
      <w:pPr>
        <w:jc w:val="both"/>
        <w:rPr>
          <w:rFonts w:ascii="Arial" w:hAnsi="Arial" w:cs="Arial"/>
        </w:rPr>
      </w:pPr>
      <w:r>
        <w:rPr>
          <w:rFonts w:ascii="Arial" w:hAnsi="Arial" w:cs="Arial"/>
          <w:b/>
        </w:rPr>
        <w:lastRenderedPageBreak/>
        <w:t>b)</w:t>
      </w:r>
      <w:r>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F766D7" w:rsidRPr="00F766D7" w:rsidRDefault="00F766D7" w:rsidP="00354700">
      <w:pPr>
        <w:jc w:val="both"/>
        <w:rPr>
          <w:rFonts w:ascii="Arial" w:hAnsi="Arial" w:cs="Arial"/>
        </w:rPr>
      </w:pPr>
      <w:r w:rsidRPr="00F766D7">
        <w:rPr>
          <w:rFonts w:ascii="Arial" w:hAnsi="Arial" w:cs="Arial"/>
        </w:rPr>
        <w:t xml:space="preserve">El Sistema de Contabilidad Gubernamental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y expresados en términos monetarios, modifican la situación patrimonial de los entes públicos en particular y de las finanzas públicas en general. El SCG, al que </w:t>
      </w:r>
      <w:r w:rsidR="005305C9" w:rsidRPr="00F766D7">
        <w:rPr>
          <w:rFonts w:ascii="Arial" w:hAnsi="Arial" w:cs="Arial"/>
        </w:rPr>
        <w:t>está</w:t>
      </w:r>
      <w:r w:rsidRPr="00F766D7">
        <w:rPr>
          <w:rFonts w:ascii="Arial" w:hAnsi="Arial" w:cs="Arial"/>
        </w:rPr>
        <w:t xml:space="preserve"> sujeto el Instituto, registrará de manera armónica, delimitada y específica las operaciones presupuestarias y contables derivadas de la gestión pública, así como otros flujos económicos. De igual forma, generará periódicamente estados financieros de los entes públicos,</w:t>
      </w:r>
      <w:r w:rsidR="00354700">
        <w:rPr>
          <w:rFonts w:ascii="Arial" w:hAnsi="Arial" w:cs="Arial"/>
        </w:rPr>
        <w:t xml:space="preserve"> </w:t>
      </w:r>
      <w:r w:rsidRPr="00F766D7">
        <w:rPr>
          <w:rFonts w:ascii="Arial" w:hAnsi="Arial" w:cs="Arial"/>
        </w:rPr>
        <w:t xml:space="preserve">confiables, oportunos, comprensibles, periódicos y comparables, expresados en términos monetarios. </w:t>
      </w:r>
    </w:p>
    <w:p w:rsidR="004D5412" w:rsidRDefault="004D5412" w:rsidP="004D5412">
      <w:pPr>
        <w:jc w:val="both"/>
        <w:rPr>
          <w:rFonts w:ascii="Arial" w:hAnsi="Arial" w:cs="Arial"/>
        </w:rPr>
      </w:pPr>
      <w:r>
        <w:rPr>
          <w:rFonts w:ascii="Arial" w:hAnsi="Arial" w:cs="Arial"/>
        </w:rPr>
        <w:t>La normatividad aplicada es la que nos señala el CONAC;</w:t>
      </w:r>
    </w:p>
    <w:p w:rsidR="004D5412" w:rsidRDefault="004D5412" w:rsidP="004D5412">
      <w:pPr>
        <w:jc w:val="both"/>
        <w:rPr>
          <w:rFonts w:ascii="Arial" w:hAnsi="Arial" w:cs="Arial"/>
        </w:rPr>
      </w:pPr>
      <w:r>
        <w:rPr>
          <w:rFonts w:ascii="Arial" w:hAnsi="Arial" w:cs="Arial"/>
        </w:rPr>
        <w:t>- Principales reglas de registro y valoración del patrimonio</w:t>
      </w:r>
    </w:p>
    <w:p w:rsidR="004D5412" w:rsidRDefault="004D5412" w:rsidP="004D5412">
      <w:pPr>
        <w:jc w:val="both"/>
        <w:rPr>
          <w:rFonts w:ascii="Arial" w:hAnsi="Arial" w:cs="Arial"/>
        </w:rPr>
      </w:pPr>
      <w:r>
        <w:rPr>
          <w:rFonts w:ascii="Arial" w:hAnsi="Arial" w:cs="Arial"/>
        </w:rPr>
        <w:t>- Normas y metodología para la determinación de los momentos contables de los ingresos</w:t>
      </w:r>
    </w:p>
    <w:p w:rsidR="004D5412" w:rsidRDefault="004D5412" w:rsidP="004D5412">
      <w:pPr>
        <w:jc w:val="both"/>
        <w:rPr>
          <w:rFonts w:ascii="Arial" w:hAnsi="Arial" w:cs="Arial"/>
        </w:rPr>
      </w:pPr>
      <w:r>
        <w:rPr>
          <w:rFonts w:ascii="Arial" w:hAnsi="Arial" w:cs="Arial"/>
        </w:rPr>
        <w:t>- Normas y metodología para la determinación de los momentos contables de los egresos</w:t>
      </w:r>
    </w:p>
    <w:p w:rsidR="00F766D7" w:rsidRPr="00F766D7" w:rsidRDefault="00F766D7" w:rsidP="00F766D7">
      <w:pPr>
        <w:pStyle w:val="Default"/>
        <w:jc w:val="both"/>
        <w:rPr>
          <w:rFonts w:ascii="Arial" w:hAnsi="Arial" w:cs="Arial"/>
          <w:color w:val="auto"/>
          <w:sz w:val="22"/>
          <w:szCs w:val="22"/>
          <w:lang w:eastAsia="en-US"/>
        </w:rPr>
      </w:pPr>
      <w:r w:rsidRPr="00F766D7">
        <w:rPr>
          <w:rFonts w:ascii="Arial" w:hAnsi="Arial" w:cs="Arial"/>
          <w:color w:val="auto"/>
          <w:sz w:val="22"/>
          <w:szCs w:val="22"/>
          <w:lang w:eastAsia="en-US"/>
        </w:rPr>
        <w:t xml:space="preserve">La Contabilidad Gubernamental aplicada en el Instituto </w:t>
      </w:r>
    </w:p>
    <w:p w:rsidR="00F766D7" w:rsidRPr="00F766D7" w:rsidRDefault="00F766D7" w:rsidP="00F766D7">
      <w:pPr>
        <w:pStyle w:val="Default"/>
        <w:jc w:val="both"/>
        <w:rPr>
          <w:rFonts w:ascii="Arial" w:hAnsi="Arial" w:cs="Arial"/>
          <w:color w:val="auto"/>
          <w:sz w:val="22"/>
          <w:szCs w:val="22"/>
          <w:lang w:eastAsia="en-US"/>
        </w:rPr>
      </w:pPr>
    </w:p>
    <w:p w:rsidR="00F766D7" w:rsidRPr="00F766D7" w:rsidRDefault="00F766D7" w:rsidP="00F766D7">
      <w:pPr>
        <w:pStyle w:val="Default"/>
        <w:jc w:val="both"/>
        <w:rPr>
          <w:rFonts w:ascii="Arial" w:hAnsi="Arial" w:cs="Arial"/>
          <w:color w:val="auto"/>
          <w:sz w:val="22"/>
          <w:szCs w:val="22"/>
          <w:lang w:eastAsia="en-US"/>
        </w:rPr>
      </w:pPr>
      <w:r w:rsidRPr="00F766D7">
        <w:rPr>
          <w:rFonts w:ascii="Arial" w:hAnsi="Arial" w:cs="Arial"/>
          <w:color w:val="auto"/>
          <w:sz w:val="22"/>
          <w:szCs w:val="22"/>
          <w:lang w:eastAsia="en-US"/>
        </w:rPr>
        <w:t xml:space="preserve">La Ley de Contabilidad identifica a los entes públicos de cada orden de gobierno e instituye las normas y responsabilidades de los mismos con respecto a la contabilidad gubernamental. </w:t>
      </w:r>
    </w:p>
    <w:p w:rsidR="00F766D7" w:rsidRPr="00F766D7" w:rsidRDefault="00F766D7" w:rsidP="00F766D7">
      <w:pPr>
        <w:pStyle w:val="Default"/>
        <w:jc w:val="both"/>
        <w:rPr>
          <w:rFonts w:ascii="Arial" w:hAnsi="Arial" w:cs="Arial"/>
          <w:color w:val="auto"/>
          <w:sz w:val="22"/>
          <w:szCs w:val="22"/>
          <w:lang w:eastAsia="en-US"/>
        </w:rPr>
      </w:pPr>
    </w:p>
    <w:p w:rsidR="00F766D7" w:rsidRPr="00F766D7" w:rsidRDefault="00F766D7" w:rsidP="00F766D7">
      <w:pPr>
        <w:pStyle w:val="Default"/>
        <w:jc w:val="both"/>
        <w:rPr>
          <w:rFonts w:ascii="Arial" w:hAnsi="Arial" w:cs="Arial"/>
          <w:color w:val="auto"/>
          <w:sz w:val="22"/>
          <w:szCs w:val="22"/>
          <w:lang w:eastAsia="en-US"/>
        </w:rPr>
      </w:pPr>
      <w:r w:rsidRPr="00F766D7">
        <w:rPr>
          <w:rFonts w:ascii="Arial" w:hAnsi="Arial" w:cs="Arial"/>
          <w:color w:val="auto"/>
          <w:sz w:val="22"/>
          <w:szCs w:val="22"/>
          <w:lang w:eastAsia="en-US"/>
        </w:rPr>
        <w:t xml:space="preserve">El Artículo 4 fracción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rsidR="00354700" w:rsidRDefault="00354700" w:rsidP="00F766D7">
      <w:pPr>
        <w:jc w:val="both"/>
        <w:rPr>
          <w:rFonts w:ascii="Arial" w:hAnsi="Arial" w:cs="Arial"/>
        </w:rPr>
      </w:pPr>
    </w:p>
    <w:p w:rsidR="00F766D7" w:rsidRPr="00F766D7" w:rsidRDefault="00F766D7" w:rsidP="00F766D7">
      <w:pPr>
        <w:jc w:val="both"/>
        <w:rPr>
          <w:rFonts w:ascii="Arial" w:hAnsi="Arial" w:cs="Arial"/>
        </w:rPr>
      </w:pPr>
      <w:r w:rsidRPr="00F766D7">
        <w:rPr>
          <w:rFonts w:ascii="Arial" w:hAnsi="Arial" w:cs="Arial"/>
        </w:rPr>
        <w:t xml:space="preserve">Por su parte, el Artículo 2 dispone que “Los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w:t>
      </w:r>
    </w:p>
    <w:p w:rsidR="00F766D7" w:rsidRPr="00F766D7" w:rsidRDefault="00F766D7" w:rsidP="00F766D7">
      <w:pPr>
        <w:jc w:val="both"/>
        <w:rPr>
          <w:rFonts w:ascii="Arial" w:hAnsi="Arial" w:cs="Arial"/>
        </w:rPr>
      </w:pPr>
    </w:p>
    <w:p w:rsidR="00F766D7" w:rsidRPr="00F766D7" w:rsidRDefault="00F766D7" w:rsidP="00F766D7">
      <w:pPr>
        <w:jc w:val="both"/>
        <w:rPr>
          <w:rFonts w:ascii="Arial" w:hAnsi="Arial" w:cs="Arial"/>
        </w:rPr>
      </w:pPr>
      <w:r w:rsidRPr="00F766D7">
        <w:rPr>
          <w:rFonts w:ascii="Arial" w:hAnsi="Arial" w:cs="Arial"/>
        </w:rPr>
        <w:t>Dicha contabilidad, tal como lo establece la citada Ley, deberá seguir las mejores prácticas contables nacionales e internacionales en apoyo a las tareas de planeación financiera, control de recursos, análisis y fiscalización. Asimismo, dispone en su Artículo 17 que “cada ente público será responsable de su contabilidad, de la operación del sistema; así como del cumplimiento de lo dispuesto por Ley y las decisiones que emita el Consejo”.</w:t>
      </w:r>
    </w:p>
    <w:p w:rsidR="00F766D7" w:rsidRPr="00F766D7" w:rsidRDefault="00F766D7" w:rsidP="00F766D7">
      <w:pPr>
        <w:pStyle w:val="Default"/>
        <w:jc w:val="both"/>
        <w:rPr>
          <w:rFonts w:ascii="Arial" w:hAnsi="Arial" w:cs="Arial"/>
          <w:color w:val="auto"/>
          <w:sz w:val="22"/>
          <w:szCs w:val="22"/>
          <w:lang w:eastAsia="en-US"/>
        </w:rPr>
      </w:pPr>
      <w:r w:rsidRPr="00F766D7">
        <w:rPr>
          <w:rFonts w:ascii="Arial" w:hAnsi="Arial" w:cs="Arial"/>
          <w:color w:val="auto"/>
          <w:sz w:val="22"/>
          <w:szCs w:val="22"/>
          <w:lang w:eastAsia="en-US"/>
        </w:rPr>
        <w:t xml:space="preserve">Finalmente, el Artículo 52 señala que “Los entes públicos deberán elaborar los estados de conformidad con las disposiciones normativas y técnicas que emanen de esta Ley o que emita el consejo”. </w:t>
      </w:r>
    </w:p>
    <w:p w:rsidR="00F766D7" w:rsidRDefault="00F766D7" w:rsidP="00F04199">
      <w:pPr>
        <w:jc w:val="both"/>
        <w:rPr>
          <w:rFonts w:ascii="Arial" w:hAnsi="Arial" w:cs="Arial"/>
        </w:rPr>
      </w:pPr>
    </w:p>
    <w:p w:rsidR="00F04199" w:rsidRDefault="00F04199" w:rsidP="00F04199">
      <w:pPr>
        <w:jc w:val="both"/>
        <w:rPr>
          <w:rFonts w:ascii="Arial" w:hAnsi="Arial" w:cs="Arial"/>
        </w:rPr>
      </w:pPr>
      <w:r>
        <w:rPr>
          <w:rFonts w:ascii="Arial" w:hAnsi="Arial" w:cs="Arial"/>
          <w:b/>
        </w:rPr>
        <w:t>c)</w:t>
      </w:r>
      <w:r>
        <w:rPr>
          <w:rFonts w:ascii="Arial" w:hAnsi="Arial" w:cs="Arial"/>
        </w:rPr>
        <w:t xml:space="preserve"> Postulados básicos.</w:t>
      </w:r>
    </w:p>
    <w:p w:rsidR="005305C9" w:rsidRPr="005305C9" w:rsidRDefault="005305C9" w:rsidP="005305C9">
      <w:pPr>
        <w:pStyle w:val="Textoindependiente"/>
        <w:spacing w:before="138"/>
        <w:ind w:left="0"/>
        <w:jc w:val="both"/>
        <w:rPr>
          <w:rFonts w:eastAsia="Calibri"/>
          <w:sz w:val="22"/>
          <w:szCs w:val="22"/>
          <w:lang w:val="es-MX"/>
        </w:rPr>
      </w:pPr>
      <w:r w:rsidRPr="005305C9">
        <w:rPr>
          <w:rFonts w:eastAsia="Calibri"/>
          <w:sz w:val="22"/>
          <w:szCs w:val="22"/>
          <w:lang w:val="es-MX"/>
        </w:rPr>
        <w:t xml:space="preserve">Los postulados sustentan de manera técnica el registro de las operaciones, la elaboración y presentación de estados financieros; basados en su razonamiento, eficiencia demostrada, respaldo en legislación especializada y aplicación de la Ley General de Contabilidad Gubernamental, con la finalidad de uniformar los métodos, procedimientos y prácticas </w:t>
      </w:r>
      <w:r w:rsidR="00354700">
        <w:rPr>
          <w:rFonts w:eastAsia="Calibri"/>
          <w:sz w:val="22"/>
          <w:szCs w:val="22"/>
          <w:lang w:val="es-MX"/>
        </w:rPr>
        <w:t xml:space="preserve">contables </w:t>
      </w:r>
      <w:r w:rsidR="00354700" w:rsidRPr="005305C9">
        <w:rPr>
          <w:rFonts w:eastAsia="Calibri"/>
          <w:sz w:val="22"/>
          <w:szCs w:val="22"/>
          <w:lang w:val="es-MX"/>
        </w:rPr>
        <w:t>y otros eventos que afectan al INGUDIS</w:t>
      </w:r>
    </w:p>
    <w:p w:rsidR="005305C9" w:rsidRPr="005305C9" w:rsidRDefault="005305C9" w:rsidP="005305C9">
      <w:pPr>
        <w:pStyle w:val="Textoindependiente"/>
        <w:spacing w:before="137"/>
        <w:ind w:left="0"/>
        <w:jc w:val="both"/>
        <w:rPr>
          <w:rFonts w:eastAsia="Calibri"/>
          <w:sz w:val="22"/>
          <w:szCs w:val="22"/>
          <w:lang w:val="es-MX"/>
        </w:rPr>
      </w:pPr>
      <w:r w:rsidRPr="005305C9">
        <w:rPr>
          <w:rFonts w:eastAsia="Calibri"/>
          <w:sz w:val="22"/>
          <w:szCs w:val="22"/>
          <w:lang w:val="es-MX"/>
        </w:rPr>
        <w:t>A continuación, se presentan y explican los Postulados Básicos de Contabilidad Gubernamental:</w:t>
      </w:r>
    </w:p>
    <w:p w:rsidR="005305C9" w:rsidRPr="005305C9" w:rsidRDefault="005305C9" w:rsidP="005305C9">
      <w:pPr>
        <w:pStyle w:val="Textoindependiente"/>
        <w:spacing w:before="137"/>
        <w:ind w:left="0"/>
        <w:jc w:val="both"/>
        <w:rPr>
          <w:rFonts w:eastAsia="Calibri"/>
          <w:sz w:val="22"/>
          <w:szCs w:val="22"/>
          <w:lang w:val="es-MX"/>
        </w:rPr>
      </w:pP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91"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SUSTANCIA ECONÓMICA</w:t>
      </w:r>
    </w:p>
    <w:p w:rsidR="005305C9" w:rsidRPr="005305C9" w:rsidRDefault="005305C9" w:rsidP="005305C9">
      <w:pPr>
        <w:pStyle w:val="Textoindependiente"/>
        <w:spacing w:before="91"/>
        <w:ind w:left="0"/>
        <w:jc w:val="both"/>
        <w:rPr>
          <w:rFonts w:eastAsia="Calibri"/>
          <w:sz w:val="22"/>
          <w:szCs w:val="22"/>
          <w:lang w:val="es-MX"/>
        </w:rPr>
      </w:pPr>
      <w:r w:rsidRPr="005305C9">
        <w:rPr>
          <w:rFonts w:eastAsia="Calibri"/>
          <w:sz w:val="22"/>
          <w:szCs w:val="22"/>
          <w:lang w:val="es-MX"/>
        </w:rPr>
        <w:t>Es el reconocimiento contable de las transacciones, transformaciones internas y otros eventos, que afectan económicamente al ente público y delimitan la operación del Sistema de Contabilidad Gubernamental (SCG).</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92"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ENTES PÚBLICOS</w:t>
      </w:r>
    </w:p>
    <w:p w:rsidR="005305C9" w:rsidRPr="005305C9" w:rsidRDefault="005305C9" w:rsidP="005305C9">
      <w:pPr>
        <w:pStyle w:val="Textoindependiente"/>
        <w:spacing w:before="92"/>
        <w:ind w:left="0"/>
        <w:jc w:val="both"/>
        <w:rPr>
          <w:rFonts w:eastAsia="Calibri"/>
          <w:sz w:val="22"/>
          <w:szCs w:val="22"/>
          <w:lang w:val="es-MX"/>
        </w:rPr>
      </w:pPr>
      <w:r w:rsidRPr="005305C9">
        <w:rPr>
          <w:rFonts w:eastAsia="Calibri"/>
          <w:sz w:val="22"/>
          <w:szCs w:val="22"/>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137"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EXISTENCIA PERMANENTE</w:t>
      </w:r>
    </w:p>
    <w:p w:rsidR="005305C9" w:rsidRPr="005305C9" w:rsidRDefault="005305C9" w:rsidP="005305C9">
      <w:pPr>
        <w:pStyle w:val="Textoindependiente"/>
        <w:spacing w:before="137"/>
        <w:ind w:left="0"/>
        <w:jc w:val="both"/>
        <w:rPr>
          <w:rFonts w:eastAsia="Calibri"/>
          <w:sz w:val="22"/>
          <w:szCs w:val="22"/>
          <w:lang w:val="es-MX"/>
        </w:rPr>
      </w:pPr>
      <w:r w:rsidRPr="005305C9">
        <w:rPr>
          <w:rFonts w:eastAsia="Calibri"/>
          <w:sz w:val="22"/>
          <w:szCs w:val="22"/>
          <w:lang w:val="es-MX"/>
        </w:rPr>
        <w:t>La actividad del ente público se establece por tiempo indefinido, salvo disposición legal en la que se especifique lo contrario.</w:t>
      </w:r>
    </w:p>
    <w:p w:rsidR="005305C9" w:rsidRPr="005305C9" w:rsidRDefault="005305C9" w:rsidP="005305C9">
      <w:pPr>
        <w:pStyle w:val="Ttulo3"/>
        <w:spacing w:before="138"/>
        <w:jc w:val="both"/>
        <w:rPr>
          <w:rFonts w:ascii="Arial" w:eastAsia="Calibri" w:hAnsi="Arial" w:cs="Arial"/>
          <w:color w:val="auto"/>
          <w:sz w:val="22"/>
          <w:szCs w:val="22"/>
        </w:rPr>
      </w:pPr>
      <w:r w:rsidRPr="005305C9">
        <w:rPr>
          <w:rFonts w:ascii="Arial" w:eastAsia="Calibri" w:hAnsi="Arial" w:cs="Arial"/>
          <w:color w:val="auto"/>
          <w:sz w:val="22"/>
          <w:szCs w:val="22"/>
        </w:rPr>
        <w:t>Explicación del postulado</w:t>
      </w:r>
    </w:p>
    <w:p w:rsidR="00BF448B" w:rsidRDefault="005305C9" w:rsidP="005305C9">
      <w:pPr>
        <w:pStyle w:val="Textoindependiente"/>
        <w:spacing w:before="138"/>
        <w:ind w:left="0"/>
        <w:jc w:val="both"/>
        <w:rPr>
          <w:rFonts w:eastAsia="Calibri"/>
          <w:sz w:val="22"/>
          <w:szCs w:val="22"/>
          <w:lang w:val="es-MX"/>
        </w:rPr>
      </w:pPr>
      <w:r w:rsidRPr="005305C9">
        <w:rPr>
          <w:rFonts w:eastAsia="Calibri"/>
          <w:sz w:val="22"/>
          <w:szCs w:val="22"/>
          <w:lang w:val="es-MX"/>
        </w:rPr>
        <w:t>El sistema contable del ente público se establece considerando que el periodo de vida del mismo es indefinido.</w:t>
      </w:r>
    </w:p>
    <w:p w:rsidR="005305C9" w:rsidRPr="00BF448B" w:rsidRDefault="005305C9" w:rsidP="00BF448B">
      <w:pPr>
        <w:jc w:val="center"/>
      </w:pP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138"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lastRenderedPageBreak/>
        <w:t>REVELACIÓN SUFICIENTE</w:t>
      </w:r>
    </w:p>
    <w:p w:rsidR="005305C9" w:rsidRPr="005305C9" w:rsidRDefault="005305C9" w:rsidP="005305C9">
      <w:pPr>
        <w:pStyle w:val="Textoindependiente"/>
        <w:spacing w:before="138"/>
        <w:ind w:left="0"/>
        <w:jc w:val="both"/>
        <w:rPr>
          <w:rFonts w:eastAsia="Calibri"/>
          <w:sz w:val="22"/>
          <w:szCs w:val="22"/>
          <w:lang w:val="es-MX"/>
        </w:rPr>
      </w:pPr>
      <w:r w:rsidRPr="005305C9">
        <w:rPr>
          <w:rFonts w:eastAsia="Calibri"/>
          <w:sz w:val="22"/>
          <w:szCs w:val="22"/>
          <w:lang w:val="es-MX"/>
        </w:rPr>
        <w:t>Los estados y la información financiera deben mostrar amplia y claramente la situación financiera y los resultados del ente público.</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93"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IMPORTANCIA RELATIVA</w:t>
      </w:r>
    </w:p>
    <w:p w:rsidR="005305C9" w:rsidRPr="005305C9" w:rsidRDefault="005305C9" w:rsidP="005305C9">
      <w:pPr>
        <w:pStyle w:val="Textoindependiente"/>
        <w:spacing w:before="91"/>
        <w:ind w:left="0"/>
        <w:jc w:val="both"/>
        <w:rPr>
          <w:rFonts w:eastAsia="Calibri"/>
          <w:sz w:val="22"/>
          <w:szCs w:val="22"/>
          <w:lang w:val="es-MX"/>
        </w:rPr>
      </w:pPr>
      <w:r w:rsidRPr="005305C9">
        <w:rPr>
          <w:rFonts w:eastAsia="Calibri"/>
          <w:sz w:val="22"/>
          <w:szCs w:val="22"/>
          <w:lang w:val="es-MX"/>
        </w:rPr>
        <w:t>La información debe mostrar los aspectos importantes de la entidad que fueron reconocidos contablemente.</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138"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REGISTRO E INTEGRACIÓN PRESUPUESTARIA</w:t>
      </w:r>
    </w:p>
    <w:p w:rsidR="005305C9" w:rsidRPr="005305C9" w:rsidRDefault="005305C9" w:rsidP="005305C9">
      <w:pPr>
        <w:pStyle w:val="Textoindependiente"/>
        <w:ind w:left="0"/>
        <w:jc w:val="both"/>
        <w:rPr>
          <w:rFonts w:eastAsia="Calibri"/>
          <w:sz w:val="22"/>
          <w:szCs w:val="22"/>
          <w:lang w:val="es-MX"/>
        </w:rPr>
      </w:pPr>
      <w:r w:rsidRPr="005305C9">
        <w:rPr>
          <w:rFonts w:eastAsia="Calibri"/>
          <w:sz w:val="22"/>
          <w:szCs w:val="22"/>
          <w:lang w:val="es-MX"/>
        </w:rPr>
        <w:t>La información presupuestaria de los entes públicos se integra en la contabilidad en los mismos términos que se presentan en la ley de Ingresos y en el Decreto del Presupuesto Egresos, de acuerdo a la naturaleza económica que le corresponda.</w:t>
      </w:r>
    </w:p>
    <w:p w:rsidR="005305C9" w:rsidRPr="005305C9" w:rsidRDefault="005305C9" w:rsidP="005305C9">
      <w:pPr>
        <w:pStyle w:val="Textoindependiente"/>
        <w:ind w:left="0"/>
        <w:jc w:val="both"/>
        <w:rPr>
          <w:rFonts w:eastAsia="Calibri"/>
          <w:sz w:val="22"/>
          <w:szCs w:val="22"/>
          <w:lang w:val="es-MX"/>
        </w:rPr>
      </w:pPr>
      <w:r w:rsidRPr="005305C9">
        <w:rPr>
          <w:rFonts w:eastAsia="Calibri"/>
          <w:sz w:val="22"/>
          <w:szCs w:val="22"/>
          <w:lang w:val="es-MX"/>
        </w:rPr>
        <w:t>El registro presupuestario del ingreso y del egreso en los entes públicos se debe reflejar en la contabilidad, considerando sus efectos patrimoniales y su vinculación con las etapas presupuestarias correspondientes.</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92"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CONSOLIDACIÓN DE LA INFORMACIÓN FINANCIERA</w:t>
      </w:r>
    </w:p>
    <w:p w:rsidR="005305C9" w:rsidRPr="005305C9" w:rsidRDefault="005305C9" w:rsidP="005305C9">
      <w:pPr>
        <w:pStyle w:val="Textoindependiente"/>
        <w:spacing w:before="92"/>
        <w:ind w:left="0"/>
        <w:jc w:val="both"/>
        <w:rPr>
          <w:rFonts w:eastAsia="Calibri"/>
          <w:sz w:val="22"/>
          <w:szCs w:val="22"/>
          <w:lang w:val="es-MX"/>
        </w:rPr>
      </w:pPr>
      <w:r w:rsidRPr="005305C9">
        <w:rPr>
          <w:rFonts w:eastAsia="Calibri"/>
          <w:sz w:val="22"/>
          <w:szCs w:val="22"/>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137"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DEVENGO CONTABLE</w:t>
      </w:r>
    </w:p>
    <w:p w:rsidR="005305C9" w:rsidRPr="005305C9" w:rsidRDefault="005305C9" w:rsidP="005305C9">
      <w:pPr>
        <w:pStyle w:val="Textoindependiente"/>
        <w:spacing w:before="137"/>
        <w:ind w:left="0"/>
        <w:jc w:val="both"/>
        <w:rPr>
          <w:rFonts w:eastAsia="Calibri"/>
          <w:sz w:val="22"/>
          <w:szCs w:val="22"/>
          <w:lang w:val="es-MX"/>
        </w:rPr>
      </w:pPr>
      <w:r w:rsidRPr="005305C9">
        <w:rPr>
          <w:rFonts w:eastAsia="Calibri"/>
          <w:sz w:val="22"/>
          <w:szCs w:val="22"/>
          <w:lang w:val="es-MX"/>
        </w:rPr>
        <w:t>Los registros contables de los entes públicos se llevarán con base acumulativa. El ingreso devengado, es el momento contable que se realiza cuando existe jurídicamente el derecho de cobro en los impuestos, cuotas y aportaciones de seguridad social, contribuciones de mejoras, derechos, productos, aprovechamientos, financiamientos internos y externos; así como de la venta de bienes y servicios, además de participaciones, aportaciones, recursos convenios y otros ingresos por parte de los entes públicos. En el caso de resoluciones en firme (definitivas) y pago en parcialidades, respectivamente.  El gasto devengado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5305C9" w:rsidRPr="005305C9" w:rsidRDefault="005305C9" w:rsidP="005305C9">
      <w:pPr>
        <w:pStyle w:val="Ttulo3"/>
        <w:keepNext w:val="0"/>
        <w:keepLines w:val="0"/>
        <w:widowControl w:val="0"/>
        <w:numPr>
          <w:ilvl w:val="0"/>
          <w:numId w:val="15"/>
        </w:numPr>
        <w:tabs>
          <w:tab w:val="left" w:pos="325"/>
        </w:tabs>
        <w:autoSpaceDE w:val="0"/>
        <w:autoSpaceDN w:val="0"/>
        <w:spacing w:before="91"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t>VALUACIÓN</w:t>
      </w:r>
    </w:p>
    <w:p w:rsidR="005305C9" w:rsidRPr="005305C9" w:rsidRDefault="005305C9" w:rsidP="005305C9">
      <w:pPr>
        <w:pStyle w:val="Textoindependiente"/>
        <w:spacing w:before="92"/>
        <w:ind w:left="0"/>
        <w:jc w:val="both"/>
        <w:rPr>
          <w:rFonts w:eastAsia="Calibri"/>
          <w:sz w:val="22"/>
          <w:szCs w:val="22"/>
          <w:lang w:val="es-MX"/>
        </w:rPr>
      </w:pPr>
      <w:r w:rsidRPr="005305C9">
        <w:rPr>
          <w:rFonts w:eastAsia="Calibri"/>
          <w:sz w:val="22"/>
          <w:szCs w:val="22"/>
          <w:lang w:val="es-MX"/>
        </w:rPr>
        <w:t>Todos los eventos que afecten económicamente al ente público deben ser cuantificados en términos monetarios y se registrarán al costo histórico o al valor económico más objetivo registrándose en moneda nacional.</w:t>
      </w:r>
    </w:p>
    <w:p w:rsidR="005305C9" w:rsidRPr="005305C9" w:rsidRDefault="005305C9" w:rsidP="005305C9">
      <w:pPr>
        <w:pStyle w:val="Prrafodelista"/>
        <w:widowControl w:val="0"/>
        <w:numPr>
          <w:ilvl w:val="0"/>
          <w:numId w:val="8"/>
        </w:numPr>
        <w:tabs>
          <w:tab w:val="left" w:pos="284"/>
        </w:tabs>
        <w:autoSpaceDE w:val="0"/>
        <w:autoSpaceDN w:val="0"/>
        <w:spacing w:before="147" w:after="0" w:line="240" w:lineRule="auto"/>
        <w:ind w:left="0" w:firstLine="0"/>
        <w:contextualSpacing w:val="0"/>
        <w:jc w:val="both"/>
        <w:rPr>
          <w:rFonts w:ascii="Arial" w:hAnsi="Arial" w:cs="Arial"/>
        </w:rPr>
      </w:pPr>
      <w:r w:rsidRPr="005305C9">
        <w:rPr>
          <w:rFonts w:ascii="Arial" w:hAnsi="Arial" w:cs="Arial"/>
        </w:rPr>
        <w:t>La información reflejada en los estados financieros deberá ser revaluada aplicando los métodos y lineamientos que para tal efecto emita el CONAC.</w:t>
      </w:r>
    </w:p>
    <w:p w:rsidR="005305C9" w:rsidRPr="005305C9" w:rsidRDefault="00CA2DAA" w:rsidP="005305C9">
      <w:pPr>
        <w:pStyle w:val="Ttulo3"/>
        <w:keepNext w:val="0"/>
        <w:keepLines w:val="0"/>
        <w:widowControl w:val="0"/>
        <w:numPr>
          <w:ilvl w:val="0"/>
          <w:numId w:val="15"/>
        </w:numPr>
        <w:tabs>
          <w:tab w:val="left" w:pos="284"/>
          <w:tab w:val="left" w:pos="425"/>
        </w:tabs>
        <w:autoSpaceDE w:val="0"/>
        <w:autoSpaceDN w:val="0"/>
        <w:spacing w:before="137" w:line="240" w:lineRule="auto"/>
        <w:ind w:left="0" w:firstLine="0"/>
        <w:jc w:val="both"/>
        <w:rPr>
          <w:rFonts w:ascii="Arial" w:eastAsia="Calibri" w:hAnsi="Arial" w:cs="Arial"/>
          <w:color w:val="auto"/>
          <w:sz w:val="22"/>
          <w:szCs w:val="22"/>
        </w:rPr>
      </w:pPr>
      <w:r>
        <w:rPr>
          <w:rFonts w:ascii="Arial" w:eastAsia="Calibri" w:hAnsi="Arial" w:cs="Arial"/>
          <w:color w:val="auto"/>
          <w:sz w:val="22"/>
          <w:szCs w:val="22"/>
        </w:rPr>
        <w:t xml:space="preserve"> </w:t>
      </w:r>
      <w:r w:rsidR="005305C9" w:rsidRPr="005305C9">
        <w:rPr>
          <w:rFonts w:ascii="Arial" w:eastAsia="Calibri" w:hAnsi="Arial" w:cs="Arial"/>
          <w:color w:val="auto"/>
          <w:sz w:val="22"/>
          <w:szCs w:val="22"/>
        </w:rPr>
        <w:t>DUALIDAD ECONÓMICA</w:t>
      </w:r>
    </w:p>
    <w:p w:rsidR="005305C9" w:rsidRPr="005305C9" w:rsidRDefault="005305C9" w:rsidP="005305C9">
      <w:pPr>
        <w:pStyle w:val="Textoindependiente"/>
        <w:tabs>
          <w:tab w:val="left" w:pos="284"/>
        </w:tabs>
        <w:spacing w:before="137"/>
        <w:ind w:left="0"/>
        <w:jc w:val="both"/>
        <w:rPr>
          <w:rFonts w:eastAsia="Calibri"/>
          <w:sz w:val="22"/>
          <w:szCs w:val="22"/>
          <w:lang w:val="es-MX"/>
        </w:rPr>
      </w:pPr>
      <w:r w:rsidRPr="005305C9">
        <w:rPr>
          <w:rFonts w:eastAsia="Calibri"/>
          <w:sz w:val="22"/>
          <w:szCs w:val="22"/>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5305C9" w:rsidRPr="005305C9" w:rsidRDefault="005305C9" w:rsidP="005305C9">
      <w:pPr>
        <w:pStyle w:val="Ttulo3"/>
        <w:keepNext w:val="0"/>
        <w:keepLines w:val="0"/>
        <w:widowControl w:val="0"/>
        <w:numPr>
          <w:ilvl w:val="0"/>
          <w:numId w:val="15"/>
        </w:numPr>
        <w:tabs>
          <w:tab w:val="left" w:pos="425"/>
        </w:tabs>
        <w:autoSpaceDE w:val="0"/>
        <w:autoSpaceDN w:val="0"/>
        <w:spacing w:before="138" w:line="240" w:lineRule="auto"/>
        <w:ind w:left="0" w:firstLine="0"/>
        <w:jc w:val="both"/>
        <w:rPr>
          <w:rFonts w:ascii="Arial" w:eastAsia="Calibri" w:hAnsi="Arial" w:cs="Arial"/>
          <w:color w:val="auto"/>
          <w:sz w:val="22"/>
          <w:szCs w:val="22"/>
        </w:rPr>
      </w:pPr>
      <w:r w:rsidRPr="005305C9">
        <w:rPr>
          <w:rFonts w:ascii="Arial" w:eastAsia="Calibri" w:hAnsi="Arial" w:cs="Arial"/>
          <w:color w:val="auto"/>
          <w:sz w:val="22"/>
          <w:szCs w:val="22"/>
        </w:rPr>
        <w:lastRenderedPageBreak/>
        <w:t>CONSISTENCIA</w:t>
      </w:r>
    </w:p>
    <w:p w:rsidR="005305C9" w:rsidRPr="005305C9" w:rsidRDefault="005305C9" w:rsidP="005305C9">
      <w:pPr>
        <w:pStyle w:val="Textoindependiente"/>
        <w:spacing w:before="137"/>
        <w:ind w:left="0"/>
        <w:jc w:val="both"/>
        <w:rPr>
          <w:rFonts w:eastAsia="Calibri"/>
          <w:sz w:val="22"/>
          <w:szCs w:val="22"/>
          <w:lang w:val="es-MX"/>
        </w:rPr>
      </w:pPr>
      <w:r w:rsidRPr="005305C9">
        <w:rPr>
          <w:rFonts w:eastAsia="Calibri"/>
          <w:sz w:val="22"/>
          <w:szCs w:val="22"/>
          <w:lang w:val="es-MX"/>
        </w:rPr>
        <w:t>Ante la existencia de operaciones similares en un ente público, debe corresponder un mismo tratamiento contable, el cual debe permanecer a través del tiempo, en tanto no cambie la esencia económica de las operaciones.</w:t>
      </w:r>
    </w:p>
    <w:p w:rsidR="005305C9" w:rsidRDefault="005305C9" w:rsidP="005305C9">
      <w:pPr>
        <w:jc w:val="both"/>
        <w:rPr>
          <w:rFonts w:ascii="Arial" w:hAnsi="Arial" w:cs="Arial"/>
          <w:b/>
        </w:rPr>
      </w:pPr>
    </w:p>
    <w:p w:rsidR="00F04199" w:rsidRDefault="00F04199" w:rsidP="005305C9">
      <w:pPr>
        <w:jc w:val="both"/>
        <w:rPr>
          <w:rFonts w:ascii="Arial" w:hAnsi="Arial" w:cs="Arial"/>
        </w:rPr>
      </w:pPr>
      <w:r>
        <w:rPr>
          <w:rFonts w:ascii="Arial" w:hAnsi="Arial" w:cs="Arial"/>
          <w:b/>
        </w:rPr>
        <w:t>d)</w:t>
      </w:r>
      <w:r>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F04199" w:rsidRDefault="00F04199" w:rsidP="00F04199">
      <w:pPr>
        <w:jc w:val="both"/>
        <w:rPr>
          <w:rFonts w:ascii="Arial" w:hAnsi="Arial" w:cs="Arial"/>
        </w:rPr>
      </w:pPr>
      <w:r>
        <w:rPr>
          <w:rFonts w:ascii="Arial" w:hAnsi="Arial" w:cs="Arial"/>
        </w:rPr>
        <w:t>No se aplica supletoriamente ninguna normatividad</w:t>
      </w:r>
    </w:p>
    <w:p w:rsidR="00F04199" w:rsidRDefault="00F04199" w:rsidP="00F04199">
      <w:pPr>
        <w:jc w:val="both"/>
        <w:rPr>
          <w:rFonts w:ascii="Arial" w:hAnsi="Arial" w:cs="Arial"/>
        </w:rPr>
      </w:pPr>
      <w:r>
        <w:rPr>
          <w:rFonts w:ascii="Arial" w:hAnsi="Arial" w:cs="Arial"/>
          <w:b/>
        </w:rPr>
        <w:t>e)</w:t>
      </w:r>
      <w:r>
        <w:rPr>
          <w:rFonts w:ascii="Arial" w:hAnsi="Arial" w:cs="Arial"/>
        </w:rPr>
        <w:t xml:space="preserve"> Para las entidades que por primera vez estén implementando la base del devengado de acuerdo a la Ley de Contabilidad, deberán:</w:t>
      </w:r>
    </w:p>
    <w:p w:rsidR="00F04199" w:rsidRDefault="00F04199" w:rsidP="00F04199">
      <w:pPr>
        <w:jc w:val="both"/>
        <w:rPr>
          <w:rFonts w:ascii="Arial" w:hAnsi="Arial" w:cs="Arial"/>
        </w:rPr>
      </w:pPr>
      <w:r>
        <w:rPr>
          <w:rFonts w:ascii="Arial" w:hAnsi="Arial" w:cs="Arial"/>
        </w:rPr>
        <w:t>*Revelar las nuevas políticas de reconocimiento:</w:t>
      </w:r>
    </w:p>
    <w:p w:rsidR="00F04199" w:rsidRDefault="00F04199" w:rsidP="00F04199">
      <w:pPr>
        <w:jc w:val="both"/>
        <w:rPr>
          <w:rFonts w:ascii="Arial" w:hAnsi="Arial" w:cs="Arial"/>
        </w:rPr>
      </w:pPr>
      <w:r>
        <w:rPr>
          <w:rFonts w:ascii="Arial" w:hAnsi="Arial" w:cs="Arial"/>
        </w:rPr>
        <w:t>El ejercicio de 2018 no es el primer ejercicio donde se aplica el reconocimiento del devengo contable, por lo que no aplica</w:t>
      </w:r>
    </w:p>
    <w:p w:rsidR="00F04199" w:rsidRDefault="00F04199" w:rsidP="00F04199">
      <w:pPr>
        <w:jc w:val="both"/>
        <w:rPr>
          <w:rFonts w:ascii="Arial" w:hAnsi="Arial" w:cs="Arial"/>
          <w:b/>
        </w:rPr>
      </w:pPr>
      <w:r>
        <w:rPr>
          <w:rFonts w:ascii="Arial" w:hAnsi="Arial" w:cs="Arial"/>
          <w:b/>
        </w:rPr>
        <w:t>6. Políticas de Contabilidad Significativas:</w:t>
      </w:r>
    </w:p>
    <w:p w:rsidR="00F04199" w:rsidRDefault="00F04199" w:rsidP="00F04199">
      <w:pPr>
        <w:jc w:val="both"/>
        <w:rPr>
          <w:rFonts w:ascii="Arial" w:hAnsi="Arial" w:cs="Arial"/>
        </w:rPr>
      </w:pPr>
      <w:r>
        <w:rPr>
          <w:rFonts w:ascii="Arial" w:hAnsi="Arial" w:cs="Arial"/>
        </w:rPr>
        <w:t>Se informará sobre:</w:t>
      </w:r>
    </w:p>
    <w:p w:rsidR="00F04199" w:rsidRDefault="00F04199" w:rsidP="00F04199">
      <w:pPr>
        <w:jc w:val="both"/>
        <w:rPr>
          <w:rFonts w:ascii="Arial" w:hAnsi="Arial" w:cs="Arial"/>
        </w:rPr>
      </w:pPr>
      <w:r>
        <w:rPr>
          <w:rFonts w:ascii="Arial" w:hAnsi="Arial" w:cs="Arial"/>
          <w:b/>
        </w:rPr>
        <w:t>a)</w:t>
      </w:r>
      <w:r>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F04199" w:rsidRDefault="00F04199" w:rsidP="00F04199">
      <w:pPr>
        <w:jc w:val="both"/>
        <w:rPr>
          <w:rFonts w:ascii="Arial" w:hAnsi="Arial" w:cs="Arial"/>
        </w:rPr>
      </w:pPr>
      <w:r>
        <w:rPr>
          <w:rFonts w:ascii="Arial" w:hAnsi="Arial" w:cs="Arial"/>
        </w:rPr>
        <w:t>Normatividad emitida por el CONAC y las disposiciones legales aplicables.</w:t>
      </w:r>
    </w:p>
    <w:p w:rsidR="00F04199" w:rsidRDefault="00F04199" w:rsidP="00F04199">
      <w:pPr>
        <w:jc w:val="both"/>
        <w:rPr>
          <w:rFonts w:ascii="Arial" w:hAnsi="Arial" w:cs="Arial"/>
        </w:rPr>
      </w:pPr>
      <w:r>
        <w:rPr>
          <w:rFonts w:ascii="Arial" w:hAnsi="Arial" w:cs="Arial"/>
          <w:b/>
        </w:rPr>
        <w:t>b)</w:t>
      </w:r>
      <w:r>
        <w:rPr>
          <w:rFonts w:ascii="Arial" w:hAnsi="Arial" w:cs="Arial"/>
        </w:rPr>
        <w:t xml:space="preserve"> Informar sobre la realización de operaciones en el extranjero y de sus efectos en la información financiera gubernamental:</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b/>
        </w:rPr>
        <w:t>c)</w:t>
      </w:r>
      <w:r>
        <w:rPr>
          <w:rFonts w:ascii="Arial" w:hAnsi="Arial" w:cs="Arial"/>
        </w:rPr>
        <w:t xml:space="preserve"> Método de valuación de la inversión en acciones de Compañías subsidiarias no consolidadas y asociadas:</w:t>
      </w:r>
    </w:p>
    <w:p w:rsidR="00F04199" w:rsidRDefault="00F04199" w:rsidP="00F04199">
      <w:pPr>
        <w:jc w:val="both"/>
        <w:rPr>
          <w:rFonts w:ascii="Arial" w:hAnsi="Arial" w:cs="Arial"/>
        </w:rPr>
      </w:pPr>
      <w:r>
        <w:rPr>
          <w:rFonts w:ascii="Arial" w:hAnsi="Arial" w:cs="Arial"/>
        </w:rPr>
        <w:t>NO PLICA</w:t>
      </w:r>
    </w:p>
    <w:p w:rsidR="00F04199" w:rsidRDefault="00F04199" w:rsidP="00F04199">
      <w:pPr>
        <w:jc w:val="both"/>
        <w:rPr>
          <w:rFonts w:ascii="Arial" w:hAnsi="Arial" w:cs="Arial"/>
        </w:rPr>
      </w:pPr>
      <w:r>
        <w:rPr>
          <w:rFonts w:ascii="Arial" w:hAnsi="Arial" w:cs="Arial"/>
          <w:b/>
        </w:rPr>
        <w:t>d)</w:t>
      </w:r>
      <w:r>
        <w:rPr>
          <w:rFonts w:ascii="Arial" w:hAnsi="Arial" w:cs="Arial"/>
        </w:rPr>
        <w:t xml:space="preserve"> Sistema y método de valuación de inventarios y costo de lo vendido:</w:t>
      </w:r>
    </w:p>
    <w:p w:rsidR="00F04199" w:rsidRDefault="00F04199" w:rsidP="00F04199">
      <w:pPr>
        <w:jc w:val="both"/>
        <w:rPr>
          <w:rFonts w:ascii="Arial" w:hAnsi="Arial" w:cs="Arial"/>
        </w:rPr>
      </w:pPr>
      <w:r>
        <w:rPr>
          <w:rFonts w:ascii="Arial" w:hAnsi="Arial" w:cs="Arial"/>
        </w:rPr>
        <w:lastRenderedPageBreak/>
        <w:t xml:space="preserve">NO APLICA </w:t>
      </w:r>
    </w:p>
    <w:p w:rsidR="00F04199" w:rsidRDefault="00F04199" w:rsidP="00F04199">
      <w:pPr>
        <w:jc w:val="both"/>
        <w:rPr>
          <w:rFonts w:ascii="Arial" w:hAnsi="Arial" w:cs="Arial"/>
        </w:rPr>
      </w:pPr>
      <w:r>
        <w:rPr>
          <w:rFonts w:ascii="Arial" w:hAnsi="Arial" w:cs="Arial"/>
          <w:b/>
        </w:rPr>
        <w:t>e)</w:t>
      </w:r>
      <w:r>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rsidR="00F04199" w:rsidRDefault="00F04199" w:rsidP="00F04199">
      <w:pPr>
        <w:jc w:val="both"/>
        <w:rPr>
          <w:rFonts w:ascii="Arial" w:hAnsi="Arial" w:cs="Arial"/>
        </w:rPr>
      </w:pPr>
      <w:r>
        <w:rPr>
          <w:rFonts w:ascii="Arial" w:hAnsi="Arial" w:cs="Arial"/>
        </w:rPr>
        <w:t xml:space="preserve">NO APLICA </w:t>
      </w:r>
    </w:p>
    <w:p w:rsidR="00F04199" w:rsidRDefault="00F04199" w:rsidP="00F04199">
      <w:pPr>
        <w:jc w:val="both"/>
        <w:rPr>
          <w:rFonts w:ascii="Arial" w:hAnsi="Arial" w:cs="Arial"/>
        </w:rPr>
      </w:pPr>
      <w:r>
        <w:rPr>
          <w:rFonts w:ascii="Arial" w:hAnsi="Arial" w:cs="Arial"/>
          <w:b/>
        </w:rPr>
        <w:t>f)</w:t>
      </w:r>
      <w:r>
        <w:rPr>
          <w:rFonts w:ascii="Arial" w:hAnsi="Arial" w:cs="Arial"/>
        </w:rPr>
        <w:t xml:space="preserve"> Provisiones: objetivo de su creación, monto y plazo:</w:t>
      </w:r>
    </w:p>
    <w:p w:rsidR="00F04199" w:rsidRDefault="00F04199" w:rsidP="00F04199">
      <w:pPr>
        <w:jc w:val="both"/>
        <w:rPr>
          <w:rFonts w:ascii="Arial" w:hAnsi="Arial" w:cs="Arial"/>
        </w:rPr>
      </w:pPr>
      <w:r>
        <w:rPr>
          <w:rFonts w:ascii="Arial" w:hAnsi="Arial" w:cs="Arial"/>
        </w:rPr>
        <w:t xml:space="preserve">NO APLICA </w:t>
      </w:r>
    </w:p>
    <w:p w:rsidR="00F04199" w:rsidRDefault="00F04199" w:rsidP="00F04199">
      <w:pPr>
        <w:jc w:val="both"/>
        <w:rPr>
          <w:rFonts w:ascii="Arial" w:hAnsi="Arial" w:cs="Arial"/>
        </w:rPr>
      </w:pPr>
      <w:r>
        <w:rPr>
          <w:rFonts w:ascii="Arial" w:hAnsi="Arial" w:cs="Arial"/>
          <w:b/>
        </w:rPr>
        <w:t>g)</w:t>
      </w:r>
      <w:r>
        <w:rPr>
          <w:rFonts w:ascii="Arial" w:hAnsi="Arial" w:cs="Arial"/>
        </w:rPr>
        <w:t xml:space="preserve"> Reservas: objetivo de su creación, monto y plazo:</w:t>
      </w:r>
    </w:p>
    <w:p w:rsidR="00F04199" w:rsidRDefault="008F4B34" w:rsidP="00F04199">
      <w:pPr>
        <w:jc w:val="both"/>
        <w:rPr>
          <w:rFonts w:ascii="Arial" w:hAnsi="Arial" w:cs="Arial"/>
        </w:rPr>
      </w:pPr>
      <w:r>
        <w:rPr>
          <w:rFonts w:ascii="Arial" w:hAnsi="Arial" w:cs="Arial"/>
        </w:rPr>
        <w:t>T</w:t>
      </w:r>
      <w:r w:rsidR="00F04199">
        <w:rPr>
          <w:rFonts w:ascii="Arial" w:hAnsi="Arial" w:cs="Arial"/>
        </w:rPr>
        <w:t>odas l</w:t>
      </w:r>
      <w:r>
        <w:rPr>
          <w:rFonts w:ascii="Arial" w:hAnsi="Arial" w:cs="Arial"/>
        </w:rPr>
        <w:t>as operaciones del gasto cumplen</w:t>
      </w:r>
      <w:r w:rsidR="00F04199">
        <w:rPr>
          <w:rFonts w:ascii="Arial" w:hAnsi="Arial" w:cs="Arial"/>
        </w:rPr>
        <w:t xml:space="preserve">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w:t>
      </w:r>
    </w:p>
    <w:p w:rsidR="00F04199" w:rsidRDefault="00F04199" w:rsidP="00F04199">
      <w:pPr>
        <w:jc w:val="both"/>
        <w:rPr>
          <w:rFonts w:ascii="Arial" w:hAnsi="Arial" w:cs="Arial"/>
        </w:rPr>
      </w:pPr>
      <w:r>
        <w:rPr>
          <w:rFonts w:ascii="Arial" w:hAnsi="Arial" w:cs="Arial"/>
        </w:rPr>
        <w:t>*De acuerdo a la norma establecida por el CONAC.</w:t>
      </w:r>
    </w:p>
    <w:p w:rsidR="00F04199" w:rsidRDefault="00F04199" w:rsidP="00F04199">
      <w:pPr>
        <w:jc w:val="both"/>
        <w:rPr>
          <w:rFonts w:ascii="Arial" w:hAnsi="Arial" w:cs="Arial"/>
        </w:rPr>
      </w:pPr>
      <w:r>
        <w:rPr>
          <w:rFonts w:ascii="Arial" w:hAnsi="Arial" w:cs="Arial"/>
          <w:b/>
        </w:rPr>
        <w:t>h)</w:t>
      </w:r>
      <w:r>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rsidR="00F04199" w:rsidRDefault="00F04199" w:rsidP="00F04199">
      <w:pPr>
        <w:jc w:val="both"/>
        <w:rPr>
          <w:rFonts w:ascii="Arial" w:hAnsi="Arial" w:cs="Arial"/>
        </w:rPr>
      </w:pPr>
      <w:r>
        <w:rPr>
          <w:rFonts w:ascii="Arial" w:hAnsi="Arial" w:cs="Arial"/>
        </w:rPr>
        <w:t>Como organismo descentralizado a su creación se adoptó e implemento conforme se recibieron las capacitaciones al área administrativa la nueva estructura de registro contable presupuestal normada por el CONAC, así mismo guías contabilizadoras, matriz de conversión y los nuevos procesos de registro que de ellas emanan y han sido aplicadas en el SIHP.</w:t>
      </w:r>
    </w:p>
    <w:p w:rsidR="00F04199" w:rsidRDefault="00F04199" w:rsidP="00F04199">
      <w:pPr>
        <w:jc w:val="both"/>
        <w:rPr>
          <w:rFonts w:ascii="Arial" w:hAnsi="Arial" w:cs="Arial"/>
        </w:rPr>
      </w:pPr>
      <w:r>
        <w:rPr>
          <w:rFonts w:ascii="Arial" w:hAnsi="Arial" w:cs="Arial"/>
          <w:b/>
        </w:rPr>
        <w:t>i)</w:t>
      </w:r>
      <w:r>
        <w:rPr>
          <w:rFonts w:ascii="Arial" w:hAnsi="Arial" w:cs="Arial"/>
        </w:rPr>
        <w:t xml:space="preserve"> Reclasificaciones: Se deben revelar todos aquellos movimientos entre cuentas por efectos de cambios en los tipos de operaciones:</w:t>
      </w:r>
    </w:p>
    <w:p w:rsidR="00F04199" w:rsidRDefault="00F04199" w:rsidP="00F04199">
      <w:pPr>
        <w:jc w:val="both"/>
        <w:rPr>
          <w:rFonts w:ascii="Arial" w:hAnsi="Arial" w:cs="Arial"/>
        </w:rPr>
      </w:pPr>
      <w:r>
        <w:rPr>
          <w:rFonts w:ascii="Arial" w:hAnsi="Arial" w:cs="Arial"/>
        </w:rPr>
        <w:t>Las reclasificaciones se detectan para corregir las pólizas tanto a nivel contable como a nivel financiero por medio de los traspasos de esta manera después del previo análisis se procede a realizar el traslado a la otra cuenta y la información contable será la más adecuada posible.</w:t>
      </w:r>
    </w:p>
    <w:p w:rsidR="00F04199" w:rsidRDefault="00F04199" w:rsidP="00F04199">
      <w:pPr>
        <w:jc w:val="both"/>
        <w:rPr>
          <w:rFonts w:ascii="Arial" w:hAnsi="Arial" w:cs="Arial"/>
        </w:rPr>
      </w:pPr>
      <w:r>
        <w:rPr>
          <w:rFonts w:ascii="Arial" w:hAnsi="Arial" w:cs="Arial"/>
        </w:rPr>
        <w:t xml:space="preserve">Por tal razón se da importancia a las conciliaciones para detectar y corregir oportunamente para que los movimientos y el cierre contable sea confiable veraz y oportuno para la toma de decisiones. </w:t>
      </w:r>
    </w:p>
    <w:p w:rsidR="00F04199" w:rsidRDefault="00F04199" w:rsidP="00F04199">
      <w:pPr>
        <w:jc w:val="both"/>
        <w:rPr>
          <w:rFonts w:ascii="Arial" w:hAnsi="Arial" w:cs="Arial"/>
        </w:rPr>
      </w:pPr>
      <w:r>
        <w:rPr>
          <w:rFonts w:ascii="Arial" w:hAnsi="Arial" w:cs="Arial"/>
          <w:b/>
        </w:rPr>
        <w:lastRenderedPageBreak/>
        <w:t>j)</w:t>
      </w:r>
      <w:r>
        <w:rPr>
          <w:rFonts w:ascii="Arial" w:hAnsi="Arial" w:cs="Arial"/>
        </w:rPr>
        <w:t xml:space="preserve"> Depuración y cancelación de saldos:</w:t>
      </w:r>
    </w:p>
    <w:p w:rsidR="00F04199" w:rsidRDefault="00F04199" w:rsidP="00F04199">
      <w:pPr>
        <w:jc w:val="both"/>
        <w:rPr>
          <w:rFonts w:ascii="Arial" w:hAnsi="Arial" w:cs="Arial"/>
        </w:rPr>
      </w:pPr>
      <w:r>
        <w:rPr>
          <w:rFonts w:ascii="Arial" w:hAnsi="Arial" w:cs="Arial"/>
        </w:rPr>
        <w:t>Se realiza este proceso donde se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F04199" w:rsidRDefault="00F04199" w:rsidP="00F04199">
      <w:pPr>
        <w:jc w:val="both"/>
        <w:rPr>
          <w:rFonts w:ascii="Arial" w:hAnsi="Arial" w:cs="Arial"/>
          <w:b/>
        </w:rPr>
      </w:pPr>
      <w:r>
        <w:rPr>
          <w:rFonts w:ascii="Arial" w:hAnsi="Arial" w:cs="Arial"/>
          <w:b/>
        </w:rPr>
        <w:t>7. Posición en Moneda Extranjera y Protección por Riesgo Cambiario:</w:t>
      </w:r>
    </w:p>
    <w:p w:rsidR="00F04199" w:rsidRDefault="00F04199" w:rsidP="00F04199">
      <w:pPr>
        <w:jc w:val="both"/>
        <w:rPr>
          <w:rFonts w:ascii="Arial" w:hAnsi="Arial" w:cs="Arial"/>
        </w:rPr>
      </w:pPr>
      <w:r>
        <w:rPr>
          <w:rFonts w:ascii="Arial" w:hAnsi="Arial" w:cs="Arial"/>
        </w:rPr>
        <w:t>Se informará sobre:</w:t>
      </w:r>
    </w:p>
    <w:p w:rsidR="00F04199" w:rsidRDefault="00F04199" w:rsidP="00F04199">
      <w:pPr>
        <w:jc w:val="both"/>
        <w:rPr>
          <w:rFonts w:ascii="Arial" w:hAnsi="Arial" w:cs="Arial"/>
        </w:rPr>
      </w:pPr>
      <w:r>
        <w:rPr>
          <w:rFonts w:ascii="Arial" w:hAnsi="Arial" w:cs="Arial"/>
          <w:b/>
        </w:rPr>
        <w:t>a)</w:t>
      </w:r>
      <w:r>
        <w:rPr>
          <w:rFonts w:ascii="Arial" w:hAnsi="Arial" w:cs="Arial"/>
        </w:rPr>
        <w:t xml:space="preserve"> Activos en moneda extranjera:</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b/>
        </w:rPr>
        <w:t>b)</w:t>
      </w:r>
      <w:r>
        <w:rPr>
          <w:rFonts w:ascii="Arial" w:hAnsi="Arial" w:cs="Arial"/>
        </w:rPr>
        <w:t xml:space="preserve"> Pasivos en moneda extranjera:</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b/>
        </w:rPr>
        <w:t xml:space="preserve">c) </w:t>
      </w:r>
      <w:r>
        <w:rPr>
          <w:rFonts w:ascii="Arial" w:hAnsi="Arial" w:cs="Arial"/>
        </w:rPr>
        <w:t>Posición en moneda extranjera:</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b/>
        </w:rPr>
        <w:t>d)</w:t>
      </w:r>
      <w:r>
        <w:rPr>
          <w:rFonts w:ascii="Arial" w:hAnsi="Arial" w:cs="Arial"/>
        </w:rPr>
        <w:t xml:space="preserve"> Tipo de cambio:</w:t>
      </w:r>
    </w:p>
    <w:p w:rsidR="00F04199" w:rsidRDefault="00F04199" w:rsidP="00F04199">
      <w:pPr>
        <w:jc w:val="both"/>
        <w:rPr>
          <w:rFonts w:ascii="Arial" w:hAnsi="Arial" w:cs="Arial"/>
        </w:rPr>
      </w:pPr>
      <w:r>
        <w:rPr>
          <w:rFonts w:ascii="Arial" w:hAnsi="Arial" w:cs="Arial"/>
        </w:rPr>
        <w:t>NO APLICA</w:t>
      </w:r>
    </w:p>
    <w:p w:rsidR="00F04199" w:rsidRDefault="00F04199" w:rsidP="00E72895">
      <w:pPr>
        <w:tabs>
          <w:tab w:val="center" w:pos="6644"/>
        </w:tabs>
        <w:jc w:val="both"/>
        <w:rPr>
          <w:rFonts w:ascii="Arial" w:hAnsi="Arial" w:cs="Arial"/>
        </w:rPr>
      </w:pPr>
      <w:r>
        <w:rPr>
          <w:rFonts w:ascii="Arial" w:hAnsi="Arial" w:cs="Arial"/>
          <w:b/>
        </w:rPr>
        <w:t xml:space="preserve">e) </w:t>
      </w:r>
      <w:r>
        <w:rPr>
          <w:rFonts w:ascii="Arial" w:hAnsi="Arial" w:cs="Arial"/>
        </w:rPr>
        <w:t>Equivalente en moneda nacional:</w:t>
      </w:r>
      <w:r w:rsidR="00E72895">
        <w:rPr>
          <w:rFonts w:ascii="Arial" w:hAnsi="Arial" w:cs="Arial"/>
        </w:rPr>
        <w:tab/>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rPr>
        <w:t>Lo anterior por cada tipo de moneda extranjera que se encuentre en los rubros de activo y pasivo.</w:t>
      </w:r>
    </w:p>
    <w:p w:rsidR="00F04199" w:rsidRDefault="00F04199" w:rsidP="00F04199">
      <w:pPr>
        <w:jc w:val="both"/>
        <w:rPr>
          <w:rFonts w:ascii="Arial" w:hAnsi="Arial" w:cs="Arial"/>
        </w:rPr>
      </w:pPr>
      <w:r>
        <w:rPr>
          <w:rFonts w:ascii="Arial" w:hAnsi="Arial" w:cs="Arial"/>
        </w:rPr>
        <w:t>Adicionalmente se informará sobre los métodos de protección de riesgo por variaciones en el tipo de cambio.</w:t>
      </w:r>
    </w:p>
    <w:p w:rsidR="00F04199" w:rsidRDefault="00F04199" w:rsidP="00F04199">
      <w:pPr>
        <w:jc w:val="both"/>
        <w:rPr>
          <w:rFonts w:ascii="Arial" w:hAnsi="Arial" w:cs="Arial"/>
          <w:b/>
        </w:rPr>
      </w:pPr>
      <w:r>
        <w:rPr>
          <w:rFonts w:ascii="Arial" w:hAnsi="Arial" w:cs="Arial"/>
          <w:b/>
        </w:rPr>
        <w:lastRenderedPageBreak/>
        <w:t>8. Reporte Analítico del Activo:</w:t>
      </w:r>
    </w:p>
    <w:p w:rsidR="00F04199" w:rsidRDefault="00F04199" w:rsidP="00F04199">
      <w:pPr>
        <w:jc w:val="both"/>
        <w:rPr>
          <w:rFonts w:ascii="Arial" w:hAnsi="Arial" w:cs="Arial"/>
        </w:rPr>
      </w:pPr>
      <w:r>
        <w:rPr>
          <w:rFonts w:ascii="Arial" w:hAnsi="Arial" w:cs="Arial"/>
        </w:rPr>
        <w:t>Debe mostrar la siguiente información:</w:t>
      </w:r>
    </w:p>
    <w:p w:rsidR="00F04199" w:rsidRDefault="00F04199" w:rsidP="00F04199">
      <w:pPr>
        <w:numPr>
          <w:ilvl w:val="0"/>
          <w:numId w:val="4"/>
        </w:numPr>
        <w:spacing w:after="0" w:line="240" w:lineRule="auto"/>
        <w:jc w:val="both"/>
        <w:rPr>
          <w:rFonts w:ascii="Arial" w:hAnsi="Arial" w:cs="Arial"/>
        </w:rPr>
      </w:pPr>
      <w:r>
        <w:rPr>
          <w:rFonts w:ascii="Arial" w:hAnsi="Arial" w:cs="Arial"/>
        </w:rPr>
        <w:t>Vida útil o porcentajes de depreciación, deterioro o amortización utilizados en los diferentes tipos de activos:</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numPr>
          <w:ilvl w:val="0"/>
          <w:numId w:val="4"/>
        </w:numPr>
        <w:spacing w:after="0" w:line="240" w:lineRule="auto"/>
        <w:jc w:val="both"/>
        <w:rPr>
          <w:rFonts w:ascii="Arial" w:hAnsi="Arial" w:cs="Arial"/>
        </w:rPr>
      </w:pPr>
      <w:r>
        <w:rPr>
          <w:rFonts w:ascii="Arial" w:hAnsi="Arial" w:cs="Arial"/>
        </w:rPr>
        <w:t>Cambios en el porcentaje de depreciación o valor residual de los activos:</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numPr>
          <w:ilvl w:val="0"/>
          <w:numId w:val="4"/>
        </w:numPr>
        <w:spacing w:after="0" w:line="240" w:lineRule="auto"/>
        <w:jc w:val="both"/>
        <w:rPr>
          <w:rFonts w:ascii="Arial" w:hAnsi="Arial" w:cs="Arial"/>
        </w:rPr>
      </w:pPr>
      <w:r>
        <w:rPr>
          <w:rFonts w:ascii="Arial" w:hAnsi="Arial" w:cs="Arial"/>
        </w:rPr>
        <w:t>Importe de los gastos capitalizados en el ejercicio, tanto financieros como de investigación y desarrollo:</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jc w:val="both"/>
        <w:rPr>
          <w:rFonts w:ascii="Arial" w:hAnsi="Arial" w:cs="Arial"/>
        </w:rPr>
      </w:pPr>
      <w:r>
        <w:rPr>
          <w:rFonts w:ascii="Arial" w:hAnsi="Arial" w:cs="Arial"/>
          <w:b/>
        </w:rPr>
        <w:t xml:space="preserve">      d)</w:t>
      </w:r>
      <w:r>
        <w:rPr>
          <w:rFonts w:ascii="Arial" w:hAnsi="Arial" w:cs="Arial"/>
        </w:rPr>
        <w:t xml:space="preserve"> Riegos por tipo de cambio o tipo de interés de las inversiones financieras:</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jc w:val="both"/>
        <w:rPr>
          <w:rFonts w:ascii="Arial" w:hAnsi="Arial" w:cs="Arial"/>
        </w:rPr>
      </w:pPr>
      <w:r>
        <w:rPr>
          <w:rFonts w:ascii="Arial" w:hAnsi="Arial" w:cs="Arial"/>
          <w:b/>
        </w:rPr>
        <w:t xml:space="preserve">      e) </w:t>
      </w:r>
      <w:r>
        <w:rPr>
          <w:rFonts w:ascii="Arial" w:hAnsi="Arial" w:cs="Arial"/>
        </w:rPr>
        <w:t>Valor activado en el ejercicio de los bienes construidos por la entidad:</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jc w:val="both"/>
        <w:rPr>
          <w:rFonts w:ascii="Arial" w:hAnsi="Arial" w:cs="Arial"/>
        </w:rPr>
      </w:pPr>
      <w:r>
        <w:rPr>
          <w:rFonts w:ascii="Arial" w:hAnsi="Arial" w:cs="Arial"/>
          <w:b/>
        </w:rPr>
        <w:t xml:space="preserve">      f)</w:t>
      </w:r>
      <w:r>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g)</w:t>
      </w:r>
      <w:r>
        <w:rPr>
          <w:rFonts w:ascii="Arial" w:hAnsi="Arial" w:cs="Arial"/>
        </w:rPr>
        <w:t xml:space="preserve"> Desmantelamiento de Activos, procedimientos, implicaciones, efectos contables:</w:t>
      </w:r>
    </w:p>
    <w:p w:rsidR="00F04199" w:rsidRDefault="00F04199" w:rsidP="00E72895">
      <w:pPr>
        <w:tabs>
          <w:tab w:val="center" w:pos="6644"/>
        </w:tabs>
        <w:jc w:val="both"/>
        <w:rPr>
          <w:rFonts w:ascii="Arial" w:hAnsi="Arial" w:cs="Arial"/>
        </w:rPr>
      </w:pPr>
      <w:r>
        <w:rPr>
          <w:rFonts w:ascii="Arial" w:hAnsi="Arial" w:cs="Arial"/>
        </w:rPr>
        <w:t xml:space="preserve">      NO APLICA</w:t>
      </w:r>
      <w:r w:rsidR="00E72895">
        <w:rPr>
          <w:rFonts w:ascii="Arial" w:hAnsi="Arial" w:cs="Arial"/>
        </w:rPr>
        <w:tab/>
      </w:r>
    </w:p>
    <w:p w:rsidR="00F04199" w:rsidRDefault="00F04199" w:rsidP="00F04199">
      <w:pPr>
        <w:jc w:val="both"/>
        <w:rPr>
          <w:rFonts w:ascii="Arial" w:hAnsi="Arial" w:cs="Arial"/>
        </w:rPr>
      </w:pPr>
      <w:r>
        <w:rPr>
          <w:rFonts w:ascii="Arial" w:hAnsi="Arial" w:cs="Arial"/>
          <w:b/>
        </w:rPr>
        <w:t xml:space="preserve">      h)</w:t>
      </w:r>
      <w:r>
        <w:rPr>
          <w:rFonts w:ascii="Arial" w:hAnsi="Arial" w:cs="Arial"/>
        </w:rPr>
        <w:t xml:space="preserve"> Administración de activos; planeación con el objetivo de que el ente los utilice de manera más efectiva:</w:t>
      </w:r>
    </w:p>
    <w:p w:rsidR="00F04199" w:rsidRDefault="00F04199" w:rsidP="00F04199">
      <w:pPr>
        <w:jc w:val="both"/>
        <w:rPr>
          <w:rFonts w:ascii="Arial" w:hAnsi="Arial" w:cs="Arial"/>
        </w:rPr>
      </w:pPr>
      <w:r>
        <w:rPr>
          <w:rFonts w:ascii="Arial" w:hAnsi="Arial" w:cs="Arial"/>
        </w:rPr>
        <w:t xml:space="preserve">      NO APLICA </w:t>
      </w:r>
    </w:p>
    <w:p w:rsidR="00F04199" w:rsidRDefault="00F04199" w:rsidP="00F04199">
      <w:pPr>
        <w:jc w:val="both"/>
        <w:rPr>
          <w:rFonts w:ascii="Arial" w:hAnsi="Arial" w:cs="Arial"/>
        </w:rPr>
      </w:pPr>
      <w:r>
        <w:rPr>
          <w:rFonts w:ascii="Arial" w:hAnsi="Arial" w:cs="Arial"/>
        </w:rPr>
        <w:t xml:space="preserve">       Adicionalmente, se deben incluir las explicaciones de las principales variacio</w:t>
      </w:r>
      <w:r w:rsidR="00BF448B">
        <w:rPr>
          <w:rFonts w:ascii="Arial" w:hAnsi="Arial" w:cs="Arial"/>
        </w:rPr>
        <w:t xml:space="preserve">nes en el activo, en cuadros </w:t>
      </w:r>
      <w:r>
        <w:rPr>
          <w:rFonts w:ascii="Arial" w:hAnsi="Arial" w:cs="Arial"/>
        </w:rPr>
        <w:t>comparativos como sigue:</w:t>
      </w:r>
    </w:p>
    <w:p w:rsidR="00F04199" w:rsidRDefault="00F04199" w:rsidP="00F04199">
      <w:pPr>
        <w:jc w:val="both"/>
        <w:rPr>
          <w:rFonts w:ascii="Arial" w:hAnsi="Arial" w:cs="Arial"/>
        </w:rPr>
      </w:pPr>
      <w:r>
        <w:rPr>
          <w:rFonts w:ascii="Arial" w:hAnsi="Arial" w:cs="Arial"/>
          <w:b/>
        </w:rPr>
        <w:lastRenderedPageBreak/>
        <w:t xml:space="preserve">     a)</w:t>
      </w:r>
      <w:r>
        <w:rPr>
          <w:rFonts w:ascii="Arial" w:hAnsi="Arial" w:cs="Arial"/>
        </w:rPr>
        <w:t xml:space="preserve"> Inversiones en valores:</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b)</w:t>
      </w:r>
      <w:r>
        <w:rPr>
          <w:rFonts w:ascii="Arial" w:hAnsi="Arial" w:cs="Arial"/>
        </w:rPr>
        <w:t xml:space="preserve"> Patrimonio de Organismos descentralizados de Control Presupuestario Indirecto:</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c)</w:t>
      </w:r>
      <w:r>
        <w:rPr>
          <w:rFonts w:ascii="Arial" w:hAnsi="Arial" w:cs="Arial"/>
        </w:rPr>
        <w:t xml:space="preserve"> Inversiones en empresas de participación mayoritaria:</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d)</w:t>
      </w:r>
      <w:r>
        <w:rPr>
          <w:rFonts w:ascii="Arial" w:hAnsi="Arial" w:cs="Arial"/>
        </w:rPr>
        <w:t xml:space="preserve"> Inversiones en empresas de participación minoritaria:</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e)</w:t>
      </w:r>
      <w:r>
        <w:rPr>
          <w:rFonts w:ascii="Arial" w:hAnsi="Arial" w:cs="Arial"/>
        </w:rPr>
        <w:t xml:space="preserve"> Patrimonio de organismos descentralizados de control presupuestario directo, según corresponda:</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b/>
          <w:color w:val="1F497D"/>
        </w:rPr>
      </w:pPr>
      <w:r>
        <w:rPr>
          <w:rFonts w:ascii="Arial" w:hAnsi="Arial" w:cs="Arial"/>
          <w:b/>
          <w:color w:val="1F497D"/>
        </w:rPr>
        <w:t xml:space="preserve">       *Se refiere al Estado Analítico de Activo </w:t>
      </w:r>
    </w:p>
    <w:p w:rsidR="00F04199" w:rsidRDefault="00F04199" w:rsidP="00F04199">
      <w:pPr>
        <w:jc w:val="both"/>
        <w:rPr>
          <w:rFonts w:ascii="Arial" w:hAnsi="Arial" w:cs="Arial"/>
          <w:b/>
        </w:rPr>
      </w:pPr>
      <w:r>
        <w:rPr>
          <w:rFonts w:ascii="Arial" w:hAnsi="Arial" w:cs="Arial"/>
          <w:b/>
        </w:rPr>
        <w:t xml:space="preserve">      9. Fideicomisos, Mandatos y Análogos:</w:t>
      </w:r>
    </w:p>
    <w:p w:rsidR="00F04199" w:rsidRDefault="00F04199" w:rsidP="00F04199">
      <w:pPr>
        <w:jc w:val="both"/>
        <w:rPr>
          <w:rFonts w:ascii="Arial" w:hAnsi="Arial" w:cs="Arial"/>
        </w:rPr>
      </w:pPr>
      <w:r>
        <w:rPr>
          <w:rFonts w:ascii="Arial" w:hAnsi="Arial" w:cs="Arial"/>
        </w:rPr>
        <w:t xml:space="preserve">       Se deberá informar:</w:t>
      </w:r>
    </w:p>
    <w:p w:rsidR="00F04199" w:rsidRDefault="00F04199" w:rsidP="00F04199">
      <w:pPr>
        <w:jc w:val="both"/>
        <w:rPr>
          <w:rFonts w:ascii="Arial" w:hAnsi="Arial" w:cs="Arial"/>
        </w:rPr>
      </w:pPr>
      <w:r>
        <w:rPr>
          <w:rFonts w:ascii="Arial" w:hAnsi="Arial" w:cs="Arial"/>
          <w:b/>
        </w:rPr>
        <w:t xml:space="preserve">   a)</w:t>
      </w:r>
      <w:r>
        <w:rPr>
          <w:rFonts w:ascii="Arial" w:hAnsi="Arial" w:cs="Arial"/>
        </w:rPr>
        <w:t xml:space="preserve"> Por ramo administrativo que los reporta:</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r>
        <w:rPr>
          <w:rFonts w:ascii="Arial" w:hAnsi="Arial" w:cs="Arial"/>
          <w:b/>
        </w:rPr>
        <w:t xml:space="preserve">   b)</w:t>
      </w:r>
      <w:r>
        <w:rPr>
          <w:rFonts w:ascii="Arial" w:hAnsi="Arial" w:cs="Arial"/>
        </w:rPr>
        <w:t xml:space="preserve"> Enlistar los de mayor monto de disponibilidad, relacionando aquéllos que conforman el 80% de las disponibilidades:</w:t>
      </w:r>
    </w:p>
    <w:p w:rsidR="00F04199" w:rsidRDefault="00F04199" w:rsidP="00F04199">
      <w:pPr>
        <w:jc w:val="both"/>
        <w:rPr>
          <w:rFonts w:ascii="Arial" w:hAnsi="Arial" w:cs="Arial"/>
        </w:rPr>
      </w:pPr>
      <w:r>
        <w:rPr>
          <w:rFonts w:ascii="Arial" w:hAnsi="Arial" w:cs="Arial"/>
        </w:rPr>
        <w:t xml:space="preserve">        NO APLICA</w:t>
      </w:r>
    </w:p>
    <w:p w:rsidR="00F04199" w:rsidRDefault="00F04199" w:rsidP="00F04199">
      <w:pPr>
        <w:jc w:val="both"/>
        <w:rPr>
          <w:rFonts w:ascii="Arial" w:hAnsi="Arial" w:cs="Arial"/>
        </w:rPr>
      </w:pPr>
    </w:p>
    <w:p w:rsidR="00F04199" w:rsidRPr="00CB74BE" w:rsidRDefault="00F04199" w:rsidP="00F04199">
      <w:pPr>
        <w:jc w:val="both"/>
        <w:rPr>
          <w:rFonts w:ascii="Arial" w:hAnsi="Arial" w:cs="Arial"/>
          <w:b/>
        </w:rPr>
      </w:pPr>
      <w:r w:rsidRPr="00CB74BE">
        <w:rPr>
          <w:rFonts w:ascii="Arial" w:hAnsi="Arial" w:cs="Arial"/>
          <w:b/>
        </w:rPr>
        <w:lastRenderedPageBreak/>
        <w:t>10. Reporte de la Recaudación:</w:t>
      </w:r>
    </w:p>
    <w:p w:rsidR="00F04199" w:rsidRPr="00CB74BE" w:rsidRDefault="00F04199" w:rsidP="00F04199">
      <w:pPr>
        <w:numPr>
          <w:ilvl w:val="0"/>
          <w:numId w:val="5"/>
        </w:numPr>
        <w:spacing w:after="0" w:line="240" w:lineRule="auto"/>
        <w:jc w:val="both"/>
        <w:rPr>
          <w:rFonts w:ascii="Arial" w:hAnsi="Arial" w:cs="Arial"/>
        </w:rPr>
      </w:pPr>
      <w:r w:rsidRPr="00CB74BE">
        <w:rPr>
          <w:rFonts w:ascii="Arial" w:hAnsi="Arial" w:cs="Arial"/>
        </w:rPr>
        <w:t>Análisis del comportamiento de la recaudación correspondiente al ente público o cualquier tipo de ingreso, de forma separada los ingresos locales de los federales:</w:t>
      </w:r>
    </w:p>
    <w:p w:rsidR="00F04199" w:rsidRDefault="00F04199" w:rsidP="00F04199">
      <w:pPr>
        <w:ind w:left="720"/>
        <w:jc w:val="both"/>
        <w:rPr>
          <w:rFonts w:ascii="Arial" w:hAnsi="Arial" w:cs="Arial"/>
        </w:rPr>
      </w:pPr>
    </w:p>
    <w:tbl>
      <w:tblPr>
        <w:tblpPr w:leftFromText="141" w:rightFromText="141" w:vertAnchor="text" w:horzAnchor="page" w:tblpX="3043"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552"/>
      </w:tblGrid>
      <w:tr w:rsidR="00F04199" w:rsidRPr="00854DC8" w:rsidTr="003F77EB">
        <w:tc>
          <w:tcPr>
            <w:tcW w:w="6629" w:type="dxa"/>
            <w:gridSpan w:val="2"/>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 xml:space="preserve">INGRESOS </w:t>
            </w:r>
            <w:r w:rsidR="00BF448B">
              <w:rPr>
                <w:rFonts w:ascii="Arial" w:hAnsi="Arial" w:cs="Arial"/>
                <w:b/>
                <w:color w:val="1F497D"/>
                <w:sz w:val="14"/>
                <w:szCs w:val="14"/>
              </w:rPr>
              <w:t>P</w:t>
            </w:r>
            <w:r w:rsidRPr="005D1345">
              <w:rPr>
                <w:rFonts w:ascii="Arial" w:hAnsi="Arial" w:cs="Arial"/>
                <w:b/>
                <w:color w:val="1F497D"/>
                <w:sz w:val="14"/>
                <w:szCs w:val="14"/>
              </w:rPr>
              <w:t>ROPIOS</w:t>
            </w:r>
          </w:p>
        </w:tc>
      </w:tr>
      <w:tr w:rsidR="00F04199" w:rsidRPr="00854DC8" w:rsidTr="003F77EB">
        <w:tc>
          <w:tcPr>
            <w:tcW w:w="4077" w:type="dxa"/>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FONDO</w:t>
            </w:r>
          </w:p>
        </w:tc>
        <w:tc>
          <w:tcPr>
            <w:tcW w:w="2552" w:type="dxa"/>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IMPORTE RECAUDADO</w:t>
            </w:r>
          </w:p>
        </w:tc>
      </w:tr>
      <w:tr w:rsidR="00F04199" w:rsidRPr="00854DC8" w:rsidTr="003F77EB">
        <w:tc>
          <w:tcPr>
            <w:tcW w:w="4077" w:type="dxa"/>
            <w:shd w:val="clear" w:color="auto" w:fill="auto"/>
          </w:tcPr>
          <w:p w:rsidR="00F04199" w:rsidRPr="005D1345" w:rsidRDefault="004436FD" w:rsidP="003F77EB">
            <w:pPr>
              <w:rPr>
                <w:rFonts w:ascii="Arial" w:hAnsi="Arial" w:cs="Arial"/>
                <w:color w:val="1F497D"/>
                <w:sz w:val="14"/>
                <w:szCs w:val="14"/>
              </w:rPr>
            </w:pPr>
            <w:r>
              <w:rPr>
                <w:rFonts w:ascii="Arial" w:hAnsi="Arial" w:cs="Arial"/>
                <w:color w:val="1F497D"/>
                <w:sz w:val="14"/>
                <w:szCs w:val="14"/>
              </w:rPr>
              <w:t>1419730000 Ingresos por Ventas</w:t>
            </w:r>
          </w:p>
        </w:tc>
        <w:tc>
          <w:tcPr>
            <w:tcW w:w="2552" w:type="dxa"/>
            <w:shd w:val="clear" w:color="auto" w:fill="auto"/>
          </w:tcPr>
          <w:p w:rsidR="00F04199" w:rsidRPr="005D1345" w:rsidRDefault="00F733A2" w:rsidP="004436FD">
            <w:pPr>
              <w:tabs>
                <w:tab w:val="left" w:pos="1305"/>
              </w:tabs>
              <w:jc w:val="right"/>
              <w:rPr>
                <w:rFonts w:ascii="Arial" w:hAnsi="Arial" w:cs="Arial"/>
                <w:color w:val="1F497D"/>
                <w:sz w:val="14"/>
                <w:szCs w:val="14"/>
              </w:rPr>
            </w:pPr>
            <w:r>
              <w:rPr>
                <w:rFonts w:ascii="Arial" w:hAnsi="Arial" w:cs="Arial"/>
                <w:color w:val="1F497D"/>
                <w:sz w:val="14"/>
                <w:szCs w:val="14"/>
              </w:rPr>
              <w:t>6,288,705.03</w:t>
            </w:r>
          </w:p>
        </w:tc>
      </w:tr>
      <w:tr w:rsidR="00F04199" w:rsidRPr="00854DC8" w:rsidTr="003F77EB">
        <w:tc>
          <w:tcPr>
            <w:tcW w:w="4077" w:type="dxa"/>
            <w:shd w:val="clear" w:color="auto" w:fill="auto"/>
          </w:tcPr>
          <w:p w:rsidR="00F04199" w:rsidRPr="005D1345" w:rsidRDefault="004436FD" w:rsidP="003F77EB">
            <w:pPr>
              <w:rPr>
                <w:rFonts w:ascii="Arial" w:hAnsi="Arial" w:cs="Arial"/>
                <w:color w:val="1F497D"/>
                <w:sz w:val="14"/>
                <w:szCs w:val="14"/>
              </w:rPr>
            </w:pPr>
            <w:r>
              <w:rPr>
                <w:rFonts w:ascii="Arial" w:hAnsi="Arial" w:cs="Arial"/>
                <w:color w:val="1F497D"/>
                <w:sz w:val="14"/>
                <w:szCs w:val="14"/>
              </w:rPr>
              <w:t xml:space="preserve">1419790000 Otras Ventas de Bienes </w:t>
            </w:r>
          </w:p>
        </w:tc>
        <w:tc>
          <w:tcPr>
            <w:tcW w:w="2552" w:type="dxa"/>
            <w:shd w:val="clear" w:color="auto" w:fill="auto"/>
          </w:tcPr>
          <w:p w:rsidR="00F04199" w:rsidRPr="005D1345" w:rsidRDefault="00F733A2" w:rsidP="003F77EB">
            <w:pPr>
              <w:jc w:val="right"/>
              <w:rPr>
                <w:rFonts w:ascii="Arial" w:hAnsi="Arial" w:cs="Arial"/>
                <w:color w:val="1F497D"/>
                <w:sz w:val="14"/>
                <w:szCs w:val="14"/>
              </w:rPr>
            </w:pPr>
            <w:r>
              <w:rPr>
                <w:rFonts w:ascii="Arial" w:hAnsi="Arial" w:cs="Arial"/>
                <w:color w:val="1F497D"/>
                <w:sz w:val="14"/>
                <w:szCs w:val="14"/>
              </w:rPr>
              <w:t>11,968.37</w:t>
            </w:r>
          </w:p>
        </w:tc>
      </w:tr>
      <w:tr w:rsidR="00F04199" w:rsidRPr="00854DC8" w:rsidTr="003F77EB">
        <w:tc>
          <w:tcPr>
            <w:tcW w:w="4077" w:type="dxa"/>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SUBTOTAL</w:t>
            </w:r>
          </w:p>
        </w:tc>
        <w:tc>
          <w:tcPr>
            <w:tcW w:w="2552" w:type="dxa"/>
            <w:shd w:val="clear" w:color="auto" w:fill="auto"/>
          </w:tcPr>
          <w:p w:rsidR="00F04199" w:rsidRPr="005D1345" w:rsidRDefault="00F733A2" w:rsidP="003F77EB">
            <w:pPr>
              <w:jc w:val="right"/>
              <w:rPr>
                <w:rFonts w:ascii="Arial" w:hAnsi="Arial" w:cs="Arial"/>
                <w:b/>
                <w:color w:val="1F497D"/>
                <w:sz w:val="14"/>
                <w:szCs w:val="14"/>
              </w:rPr>
            </w:pPr>
            <w:r>
              <w:rPr>
                <w:rFonts w:ascii="Arial" w:hAnsi="Arial" w:cs="Arial"/>
                <w:b/>
                <w:color w:val="1F497D"/>
                <w:sz w:val="14"/>
                <w:szCs w:val="14"/>
              </w:rPr>
              <w:t>6,300,673.40</w:t>
            </w:r>
          </w:p>
        </w:tc>
      </w:tr>
      <w:tr w:rsidR="00F04199" w:rsidRPr="00854DC8" w:rsidTr="003F77EB">
        <w:tc>
          <w:tcPr>
            <w:tcW w:w="6629" w:type="dxa"/>
            <w:gridSpan w:val="2"/>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RECURSOS ESTATALES</w:t>
            </w:r>
          </w:p>
        </w:tc>
      </w:tr>
      <w:tr w:rsidR="00F04199" w:rsidRPr="00854DC8" w:rsidTr="003F77EB">
        <w:tc>
          <w:tcPr>
            <w:tcW w:w="4077" w:type="dxa"/>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FONDO</w:t>
            </w:r>
          </w:p>
        </w:tc>
        <w:tc>
          <w:tcPr>
            <w:tcW w:w="2552" w:type="dxa"/>
            <w:shd w:val="clear" w:color="auto" w:fill="auto"/>
          </w:tcPr>
          <w:p w:rsidR="00F04199" w:rsidRPr="005D1345" w:rsidRDefault="00F04199" w:rsidP="003F77EB">
            <w:pPr>
              <w:jc w:val="center"/>
              <w:rPr>
                <w:rFonts w:ascii="Arial" w:hAnsi="Arial" w:cs="Arial"/>
                <w:b/>
                <w:color w:val="1F497D"/>
                <w:sz w:val="14"/>
                <w:szCs w:val="14"/>
              </w:rPr>
            </w:pPr>
            <w:r w:rsidRPr="005D1345">
              <w:rPr>
                <w:rFonts w:ascii="Arial" w:hAnsi="Arial" w:cs="Arial"/>
                <w:b/>
                <w:color w:val="1F497D"/>
                <w:sz w:val="14"/>
                <w:szCs w:val="14"/>
              </w:rPr>
              <w:t>IMPORTE RECAUDADO</w:t>
            </w:r>
          </w:p>
        </w:tc>
      </w:tr>
      <w:tr w:rsidR="00F04199" w:rsidRPr="00854DC8" w:rsidTr="003F77EB">
        <w:tc>
          <w:tcPr>
            <w:tcW w:w="4077" w:type="dxa"/>
            <w:shd w:val="clear" w:color="auto" w:fill="auto"/>
          </w:tcPr>
          <w:p w:rsidR="00F04199" w:rsidRPr="005D1345" w:rsidRDefault="004436FD" w:rsidP="003F77EB">
            <w:pPr>
              <w:rPr>
                <w:rFonts w:ascii="Arial" w:hAnsi="Arial" w:cs="Arial"/>
                <w:color w:val="1F497D"/>
                <w:sz w:val="14"/>
                <w:szCs w:val="14"/>
              </w:rPr>
            </w:pPr>
            <w:r>
              <w:rPr>
                <w:rFonts w:ascii="Arial" w:hAnsi="Arial" w:cs="Arial"/>
                <w:color w:val="1F497D"/>
                <w:sz w:val="14"/>
                <w:szCs w:val="14"/>
              </w:rPr>
              <w:t>1518811100 80% Fondo General Estatal</w:t>
            </w:r>
          </w:p>
        </w:tc>
        <w:tc>
          <w:tcPr>
            <w:tcW w:w="2552" w:type="dxa"/>
            <w:shd w:val="clear" w:color="auto" w:fill="auto"/>
          </w:tcPr>
          <w:p w:rsidR="00F04199" w:rsidRPr="005D1345" w:rsidRDefault="004436FD" w:rsidP="003F77EB">
            <w:pPr>
              <w:jc w:val="right"/>
              <w:rPr>
                <w:rFonts w:ascii="Arial" w:hAnsi="Arial" w:cs="Arial"/>
                <w:color w:val="1F497D"/>
                <w:sz w:val="14"/>
                <w:szCs w:val="14"/>
              </w:rPr>
            </w:pPr>
            <w:r>
              <w:rPr>
                <w:rFonts w:ascii="Arial" w:hAnsi="Arial" w:cs="Arial"/>
                <w:color w:val="1F497D"/>
                <w:sz w:val="14"/>
                <w:szCs w:val="14"/>
              </w:rPr>
              <w:t>2,242,678.92</w:t>
            </w:r>
          </w:p>
        </w:tc>
      </w:tr>
      <w:tr w:rsidR="00F04199" w:rsidRPr="00854DC8" w:rsidTr="003F77EB">
        <w:tc>
          <w:tcPr>
            <w:tcW w:w="4077" w:type="dxa"/>
            <w:shd w:val="clear" w:color="auto" w:fill="auto"/>
          </w:tcPr>
          <w:p w:rsidR="00F04199" w:rsidRPr="005D1345" w:rsidRDefault="004436FD" w:rsidP="003F77EB">
            <w:pPr>
              <w:rPr>
                <w:rFonts w:ascii="Arial" w:hAnsi="Arial" w:cs="Arial"/>
                <w:color w:val="1F497D"/>
                <w:sz w:val="14"/>
                <w:szCs w:val="14"/>
              </w:rPr>
            </w:pPr>
            <w:r>
              <w:rPr>
                <w:rFonts w:ascii="Arial" w:hAnsi="Arial" w:cs="Arial"/>
                <w:color w:val="1F497D"/>
                <w:sz w:val="14"/>
                <w:szCs w:val="14"/>
              </w:rPr>
              <w:t>1519811100 80% Fondo General Estatal</w:t>
            </w:r>
          </w:p>
        </w:tc>
        <w:tc>
          <w:tcPr>
            <w:tcW w:w="2552" w:type="dxa"/>
            <w:shd w:val="clear" w:color="auto" w:fill="auto"/>
          </w:tcPr>
          <w:p w:rsidR="00F04199" w:rsidRPr="005D1345" w:rsidRDefault="005530A5" w:rsidP="003F77EB">
            <w:pPr>
              <w:jc w:val="right"/>
              <w:rPr>
                <w:rFonts w:ascii="Arial" w:hAnsi="Arial" w:cs="Arial"/>
                <w:color w:val="1F497D"/>
                <w:sz w:val="14"/>
                <w:szCs w:val="14"/>
              </w:rPr>
            </w:pPr>
            <w:r w:rsidRPr="005530A5">
              <w:rPr>
                <w:rFonts w:ascii="Arial" w:hAnsi="Arial" w:cs="Arial"/>
                <w:color w:val="1F497D"/>
                <w:sz w:val="14"/>
                <w:szCs w:val="14"/>
              </w:rPr>
              <w:t xml:space="preserve">  42,768,846.68</w:t>
            </w:r>
          </w:p>
        </w:tc>
      </w:tr>
      <w:tr w:rsidR="004436FD" w:rsidRPr="00854DC8" w:rsidTr="003F77EB">
        <w:tc>
          <w:tcPr>
            <w:tcW w:w="4077" w:type="dxa"/>
            <w:shd w:val="clear" w:color="auto" w:fill="auto"/>
          </w:tcPr>
          <w:p w:rsidR="004436FD" w:rsidRPr="005249E3" w:rsidRDefault="007829D0" w:rsidP="004436FD">
            <w:pPr>
              <w:rPr>
                <w:rFonts w:ascii="Arial" w:hAnsi="Arial" w:cs="Arial"/>
                <w:color w:val="1F497D"/>
                <w:sz w:val="14"/>
                <w:szCs w:val="14"/>
              </w:rPr>
            </w:pPr>
            <w:r>
              <w:rPr>
                <w:rFonts w:ascii="Arial" w:hAnsi="Arial" w:cs="Arial"/>
                <w:b/>
                <w:color w:val="1F497D"/>
                <w:sz w:val="14"/>
                <w:szCs w:val="14"/>
              </w:rPr>
              <w:t>1119151200 100% Impuesto Sobre N.</w:t>
            </w:r>
          </w:p>
        </w:tc>
        <w:tc>
          <w:tcPr>
            <w:tcW w:w="2552" w:type="dxa"/>
            <w:shd w:val="clear" w:color="auto" w:fill="auto"/>
          </w:tcPr>
          <w:p w:rsidR="004436FD" w:rsidRPr="005249E3" w:rsidRDefault="005530A5" w:rsidP="004436FD">
            <w:pPr>
              <w:jc w:val="right"/>
              <w:rPr>
                <w:rFonts w:ascii="Arial" w:hAnsi="Arial" w:cs="Arial"/>
                <w:color w:val="1F497D"/>
                <w:sz w:val="14"/>
                <w:szCs w:val="14"/>
              </w:rPr>
            </w:pPr>
            <w:r w:rsidRPr="005530A5">
              <w:rPr>
                <w:rFonts w:ascii="Arial" w:hAnsi="Arial" w:cs="Arial"/>
                <w:color w:val="1F497D"/>
                <w:sz w:val="14"/>
                <w:szCs w:val="14"/>
              </w:rPr>
              <w:t xml:space="preserve">  12,899,716.15</w:t>
            </w:r>
          </w:p>
        </w:tc>
      </w:tr>
      <w:tr w:rsidR="004436FD" w:rsidRPr="00854DC8" w:rsidTr="003F77EB">
        <w:tc>
          <w:tcPr>
            <w:tcW w:w="4077" w:type="dxa"/>
            <w:shd w:val="clear" w:color="auto" w:fill="auto"/>
          </w:tcPr>
          <w:p w:rsidR="004436FD" w:rsidRPr="005249E3" w:rsidRDefault="007829D0" w:rsidP="004436FD">
            <w:pPr>
              <w:rPr>
                <w:rFonts w:ascii="Arial" w:hAnsi="Arial" w:cs="Arial"/>
                <w:color w:val="1F497D"/>
                <w:sz w:val="14"/>
                <w:szCs w:val="14"/>
              </w:rPr>
            </w:pPr>
            <w:r w:rsidRPr="005D1345">
              <w:rPr>
                <w:rFonts w:ascii="Arial" w:hAnsi="Arial" w:cs="Arial"/>
                <w:b/>
                <w:color w:val="1F497D"/>
                <w:sz w:val="14"/>
                <w:szCs w:val="14"/>
              </w:rPr>
              <w:t>SUBTOTAL</w:t>
            </w:r>
          </w:p>
        </w:tc>
        <w:tc>
          <w:tcPr>
            <w:tcW w:w="2552" w:type="dxa"/>
            <w:shd w:val="clear" w:color="auto" w:fill="auto"/>
          </w:tcPr>
          <w:p w:rsidR="004436FD" w:rsidRPr="00130E5F" w:rsidRDefault="0091556C" w:rsidP="004436FD">
            <w:pPr>
              <w:jc w:val="right"/>
              <w:rPr>
                <w:rFonts w:ascii="Arial" w:hAnsi="Arial" w:cs="Arial"/>
                <w:b/>
                <w:color w:val="1F497D"/>
                <w:sz w:val="14"/>
                <w:szCs w:val="14"/>
              </w:rPr>
            </w:pPr>
            <w:r w:rsidRPr="0091556C">
              <w:rPr>
                <w:rFonts w:ascii="Arial" w:hAnsi="Arial" w:cs="Arial"/>
                <w:b/>
                <w:color w:val="1F497D"/>
                <w:sz w:val="14"/>
                <w:szCs w:val="14"/>
              </w:rPr>
              <w:t>57,911,241.75</w:t>
            </w:r>
          </w:p>
        </w:tc>
      </w:tr>
      <w:tr w:rsidR="004436FD" w:rsidRPr="00854DC8" w:rsidTr="003F77EB">
        <w:tc>
          <w:tcPr>
            <w:tcW w:w="4077" w:type="dxa"/>
            <w:shd w:val="clear" w:color="auto" w:fill="auto"/>
          </w:tcPr>
          <w:p w:rsidR="004436FD" w:rsidRPr="005D1345" w:rsidRDefault="0091556C" w:rsidP="007829D0">
            <w:pPr>
              <w:rPr>
                <w:rFonts w:ascii="Arial" w:hAnsi="Arial" w:cs="Arial"/>
                <w:b/>
                <w:color w:val="1F497D"/>
                <w:sz w:val="14"/>
                <w:szCs w:val="14"/>
              </w:rPr>
            </w:pPr>
            <w:r>
              <w:rPr>
                <w:rFonts w:ascii="Arial" w:hAnsi="Arial" w:cs="Arial"/>
                <w:b/>
                <w:color w:val="1F497D"/>
                <w:sz w:val="14"/>
                <w:szCs w:val="14"/>
              </w:rPr>
              <w:t xml:space="preserve">                      </w:t>
            </w:r>
            <w:r w:rsidR="007829D0">
              <w:rPr>
                <w:rFonts w:ascii="Arial" w:hAnsi="Arial" w:cs="Arial"/>
                <w:b/>
                <w:color w:val="1F497D"/>
                <w:sz w:val="14"/>
                <w:szCs w:val="14"/>
              </w:rPr>
              <w:t>TOTAL</w:t>
            </w:r>
          </w:p>
        </w:tc>
        <w:tc>
          <w:tcPr>
            <w:tcW w:w="2552" w:type="dxa"/>
            <w:shd w:val="clear" w:color="auto" w:fill="auto"/>
          </w:tcPr>
          <w:p w:rsidR="004436FD" w:rsidRPr="0091556C" w:rsidRDefault="0091556C" w:rsidP="004436FD">
            <w:pPr>
              <w:jc w:val="right"/>
              <w:rPr>
                <w:rFonts w:ascii="Arial" w:hAnsi="Arial" w:cs="Arial"/>
                <w:b/>
                <w:color w:val="1F497D"/>
                <w:sz w:val="14"/>
                <w:szCs w:val="14"/>
              </w:rPr>
            </w:pPr>
            <w:r w:rsidRPr="0091556C">
              <w:rPr>
                <w:rFonts w:ascii="Arial" w:hAnsi="Arial" w:cs="Arial"/>
                <w:b/>
                <w:color w:val="44546A" w:themeColor="text2"/>
                <w:sz w:val="14"/>
                <w:szCs w:val="14"/>
              </w:rPr>
              <w:t>64,211,915.15</w:t>
            </w:r>
          </w:p>
        </w:tc>
      </w:tr>
    </w:tbl>
    <w:p w:rsidR="00F04199" w:rsidRDefault="00F04199" w:rsidP="00F04199">
      <w:pPr>
        <w:ind w:left="720"/>
        <w:jc w:val="both"/>
        <w:rPr>
          <w:rFonts w:ascii="Arial" w:hAnsi="Arial" w:cs="Arial"/>
        </w:rPr>
      </w:pPr>
    </w:p>
    <w:p w:rsidR="00F04199" w:rsidRDefault="00F04199" w:rsidP="00F04199">
      <w:pPr>
        <w:ind w:left="720"/>
        <w:jc w:val="both"/>
        <w:rPr>
          <w:rFonts w:ascii="Arial" w:hAnsi="Arial" w:cs="Arial"/>
        </w:rPr>
      </w:pPr>
    </w:p>
    <w:p w:rsidR="00F04199" w:rsidRDefault="00F04199" w:rsidP="00F04199">
      <w:pPr>
        <w:ind w:left="720"/>
        <w:jc w:val="both"/>
        <w:rPr>
          <w:rFonts w:ascii="Arial" w:hAnsi="Arial" w:cs="Arial"/>
        </w:rPr>
      </w:pPr>
    </w:p>
    <w:p w:rsidR="00F04199" w:rsidRDefault="00F04199" w:rsidP="00F04199">
      <w:pPr>
        <w:ind w:left="720"/>
        <w:jc w:val="both"/>
        <w:rPr>
          <w:rFonts w:ascii="Arial" w:hAnsi="Arial" w:cs="Arial"/>
        </w:rPr>
      </w:pPr>
    </w:p>
    <w:p w:rsidR="00F04199" w:rsidRDefault="00F04199" w:rsidP="00F04199">
      <w:pPr>
        <w:ind w:left="720"/>
        <w:jc w:val="both"/>
        <w:rPr>
          <w:rFonts w:ascii="Arial" w:hAnsi="Arial" w:cs="Arial"/>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both"/>
        <w:rPr>
          <w:rFonts w:ascii="Arial" w:hAnsi="Arial" w:cs="Arial"/>
          <w:color w:val="1F497D"/>
        </w:rPr>
      </w:pPr>
    </w:p>
    <w:p w:rsidR="00E72895" w:rsidRDefault="00E72895" w:rsidP="00E72895">
      <w:pPr>
        <w:spacing w:after="0" w:line="240" w:lineRule="auto"/>
        <w:jc w:val="center"/>
        <w:rPr>
          <w:rFonts w:ascii="Arial" w:hAnsi="Arial" w:cs="Arial"/>
          <w:color w:val="1F497D"/>
        </w:rPr>
      </w:pPr>
    </w:p>
    <w:p w:rsidR="00E72895" w:rsidRDefault="00E72895" w:rsidP="00E72895">
      <w:pPr>
        <w:spacing w:after="0" w:line="240" w:lineRule="auto"/>
        <w:jc w:val="both"/>
        <w:rPr>
          <w:rFonts w:ascii="Arial" w:hAnsi="Arial" w:cs="Arial"/>
        </w:rPr>
      </w:pPr>
    </w:p>
    <w:p w:rsidR="00CA2DAA" w:rsidRDefault="00CA2DAA" w:rsidP="00E72895">
      <w:pPr>
        <w:spacing w:after="0" w:line="240" w:lineRule="auto"/>
        <w:jc w:val="both"/>
        <w:rPr>
          <w:rFonts w:ascii="Arial" w:hAnsi="Arial" w:cs="Arial"/>
        </w:rPr>
      </w:pPr>
    </w:p>
    <w:p w:rsidR="00CA2DAA" w:rsidRDefault="00CA2DAA" w:rsidP="00E72895">
      <w:pPr>
        <w:spacing w:after="0" w:line="240" w:lineRule="auto"/>
        <w:jc w:val="both"/>
        <w:rPr>
          <w:rFonts w:ascii="Arial" w:hAnsi="Arial" w:cs="Arial"/>
        </w:rPr>
      </w:pPr>
    </w:p>
    <w:p w:rsidR="00CA2DAA" w:rsidRDefault="00CA2DAA" w:rsidP="00E72895">
      <w:pPr>
        <w:spacing w:after="0" w:line="240" w:lineRule="auto"/>
        <w:jc w:val="both"/>
        <w:rPr>
          <w:rFonts w:ascii="Arial" w:hAnsi="Arial" w:cs="Arial"/>
        </w:rPr>
      </w:pPr>
    </w:p>
    <w:p w:rsidR="00CA2DAA" w:rsidRDefault="00CA2DAA" w:rsidP="00E72895">
      <w:pPr>
        <w:spacing w:after="0" w:line="240" w:lineRule="auto"/>
        <w:jc w:val="both"/>
        <w:rPr>
          <w:rFonts w:ascii="Arial" w:hAnsi="Arial" w:cs="Arial"/>
        </w:rPr>
      </w:pPr>
    </w:p>
    <w:p w:rsidR="00CA2DAA" w:rsidRDefault="00CA2DAA" w:rsidP="00E72895">
      <w:pPr>
        <w:spacing w:after="0" w:line="240" w:lineRule="auto"/>
        <w:jc w:val="both"/>
        <w:rPr>
          <w:rFonts w:ascii="Arial" w:hAnsi="Arial" w:cs="Arial"/>
        </w:rPr>
      </w:pPr>
    </w:p>
    <w:p w:rsidR="00E72895" w:rsidRDefault="00E72895" w:rsidP="00E72895">
      <w:pPr>
        <w:spacing w:after="0" w:line="240" w:lineRule="auto"/>
        <w:ind w:left="720"/>
        <w:jc w:val="both"/>
        <w:rPr>
          <w:rFonts w:ascii="Arial" w:hAnsi="Arial" w:cs="Arial"/>
        </w:rPr>
      </w:pPr>
    </w:p>
    <w:p w:rsidR="00915E77" w:rsidRDefault="00915E77" w:rsidP="00E72895">
      <w:pPr>
        <w:spacing w:after="0" w:line="240" w:lineRule="auto"/>
        <w:ind w:left="720"/>
        <w:jc w:val="both"/>
        <w:rPr>
          <w:rFonts w:ascii="Arial" w:hAnsi="Arial" w:cs="Arial"/>
        </w:rPr>
      </w:pPr>
    </w:p>
    <w:p w:rsidR="00F04199" w:rsidRDefault="00E72895" w:rsidP="00E72895">
      <w:pPr>
        <w:spacing w:after="0" w:line="240" w:lineRule="auto"/>
        <w:ind w:left="720"/>
        <w:jc w:val="both"/>
        <w:rPr>
          <w:rFonts w:ascii="Arial" w:hAnsi="Arial" w:cs="Arial"/>
        </w:rPr>
      </w:pPr>
      <w:r w:rsidRPr="00CB74BE">
        <w:rPr>
          <w:rFonts w:ascii="Arial" w:hAnsi="Arial" w:cs="Arial"/>
        </w:rPr>
        <w:t xml:space="preserve">b) </w:t>
      </w:r>
      <w:r w:rsidR="00F04199" w:rsidRPr="00CB74BE">
        <w:rPr>
          <w:rFonts w:ascii="Arial" w:hAnsi="Arial" w:cs="Arial"/>
        </w:rPr>
        <w:t>Proyección de la recaudación de ingresos en el mediano plazo:</w:t>
      </w:r>
    </w:p>
    <w:p w:rsidR="00F04199" w:rsidRDefault="00F04199" w:rsidP="00F04199">
      <w:pPr>
        <w:ind w:left="720"/>
        <w:jc w:val="both"/>
        <w:rPr>
          <w:rFonts w:ascii="Arial" w:hAnsi="Arial" w:cs="Arial"/>
        </w:rPr>
      </w:pPr>
    </w:p>
    <w:tbl>
      <w:tblPr>
        <w:tblpPr w:leftFromText="141" w:rightFromText="141" w:vertAnchor="text" w:horzAnchor="page" w:tblpX="3762" w:tblpY="-26"/>
        <w:tblOverlap w:val="never"/>
        <w:tblW w:w="4000" w:type="dxa"/>
        <w:tblCellMar>
          <w:left w:w="70" w:type="dxa"/>
          <w:right w:w="70" w:type="dxa"/>
        </w:tblCellMar>
        <w:tblLook w:val="04A0" w:firstRow="1" w:lastRow="0" w:firstColumn="1" w:lastColumn="0" w:noHBand="0" w:noVBand="1"/>
      </w:tblPr>
      <w:tblGrid>
        <w:gridCol w:w="1897"/>
        <w:gridCol w:w="2103"/>
      </w:tblGrid>
      <w:tr w:rsidR="00F04199" w:rsidTr="003F77EB">
        <w:trPr>
          <w:trHeight w:val="300"/>
        </w:trPr>
        <w:tc>
          <w:tcPr>
            <w:tcW w:w="4000" w:type="dxa"/>
            <w:gridSpan w:val="2"/>
            <w:tcBorders>
              <w:top w:val="single" w:sz="4" w:space="0" w:color="auto"/>
              <w:left w:val="single" w:sz="4" w:space="0" w:color="auto"/>
              <w:bottom w:val="single" w:sz="4" w:space="0" w:color="auto"/>
              <w:right w:val="single" w:sz="4" w:space="0" w:color="auto"/>
            </w:tcBorders>
            <w:shd w:val="clear" w:color="auto" w:fill="F2F2F2"/>
            <w:vAlign w:val="bottom"/>
            <w:hideMark/>
          </w:tcPr>
          <w:p w:rsidR="00F04199" w:rsidRDefault="00F04199" w:rsidP="00CB74BE">
            <w:pPr>
              <w:jc w:val="center"/>
              <w:rPr>
                <w:rFonts w:ascii="Arial" w:hAnsi="Arial" w:cs="Arial"/>
                <w:b/>
                <w:bCs/>
                <w:color w:val="1F497D"/>
                <w:sz w:val="15"/>
                <w:szCs w:val="15"/>
                <w:lang w:eastAsia="es-MX"/>
              </w:rPr>
            </w:pPr>
            <w:r>
              <w:rPr>
                <w:rFonts w:ascii="Arial" w:hAnsi="Arial" w:cs="Arial"/>
                <w:b/>
                <w:bCs/>
                <w:color w:val="1F497D"/>
                <w:sz w:val="15"/>
                <w:szCs w:val="15"/>
                <w:lang w:eastAsia="es-MX"/>
              </w:rPr>
              <w:t>INGRESOS 2019</w:t>
            </w:r>
          </w:p>
        </w:tc>
      </w:tr>
      <w:tr w:rsidR="00F04199" w:rsidTr="003F77EB">
        <w:trPr>
          <w:trHeight w:val="372"/>
        </w:trPr>
        <w:tc>
          <w:tcPr>
            <w:tcW w:w="1897" w:type="dxa"/>
            <w:tcBorders>
              <w:top w:val="nil"/>
              <w:left w:val="single" w:sz="4" w:space="0" w:color="auto"/>
              <w:bottom w:val="single" w:sz="4" w:space="0" w:color="auto"/>
              <w:right w:val="single" w:sz="4" w:space="0" w:color="auto"/>
            </w:tcBorders>
            <w:shd w:val="clear" w:color="auto" w:fill="F2F2F2"/>
            <w:noWrap/>
            <w:vAlign w:val="bottom"/>
            <w:hideMark/>
          </w:tcPr>
          <w:p w:rsidR="00F04199" w:rsidRDefault="00F04199" w:rsidP="003F77EB">
            <w:pPr>
              <w:jc w:val="center"/>
              <w:rPr>
                <w:rFonts w:ascii="Arial" w:hAnsi="Arial" w:cs="Arial"/>
                <w:b/>
                <w:bCs/>
                <w:color w:val="1F497D"/>
                <w:sz w:val="15"/>
                <w:szCs w:val="15"/>
                <w:lang w:eastAsia="es-MX"/>
              </w:rPr>
            </w:pPr>
            <w:r>
              <w:rPr>
                <w:rFonts w:ascii="Arial" w:hAnsi="Arial" w:cs="Arial"/>
                <w:b/>
                <w:bCs/>
                <w:color w:val="1F497D"/>
                <w:sz w:val="15"/>
                <w:szCs w:val="15"/>
                <w:lang w:eastAsia="es-MX"/>
              </w:rPr>
              <w:t>INGRESOS PROPIOS</w:t>
            </w:r>
          </w:p>
        </w:tc>
        <w:tc>
          <w:tcPr>
            <w:tcW w:w="2103" w:type="dxa"/>
            <w:tcBorders>
              <w:top w:val="nil"/>
              <w:left w:val="nil"/>
              <w:bottom w:val="single" w:sz="4" w:space="0" w:color="auto"/>
              <w:right w:val="single" w:sz="4" w:space="0" w:color="auto"/>
            </w:tcBorders>
            <w:shd w:val="clear" w:color="auto" w:fill="F2F2F2"/>
            <w:noWrap/>
            <w:vAlign w:val="bottom"/>
            <w:hideMark/>
          </w:tcPr>
          <w:p w:rsidR="00F04199" w:rsidRDefault="00F04199" w:rsidP="003F77EB">
            <w:pPr>
              <w:jc w:val="center"/>
              <w:rPr>
                <w:rFonts w:ascii="Arial" w:hAnsi="Arial" w:cs="Arial"/>
                <w:b/>
                <w:bCs/>
                <w:color w:val="1F497D"/>
                <w:sz w:val="15"/>
                <w:szCs w:val="15"/>
                <w:lang w:eastAsia="es-MX"/>
              </w:rPr>
            </w:pPr>
            <w:r>
              <w:rPr>
                <w:rFonts w:ascii="Arial" w:hAnsi="Arial" w:cs="Arial"/>
                <w:b/>
                <w:bCs/>
                <w:color w:val="1F497D"/>
                <w:sz w:val="15"/>
                <w:szCs w:val="15"/>
                <w:lang w:eastAsia="es-MX"/>
              </w:rPr>
              <w:t>INGRESOS FEDERALES</w:t>
            </w:r>
          </w:p>
        </w:tc>
      </w:tr>
      <w:tr w:rsidR="00F04199" w:rsidTr="003F77EB">
        <w:trPr>
          <w:trHeight w:val="300"/>
        </w:trPr>
        <w:tc>
          <w:tcPr>
            <w:tcW w:w="1897" w:type="dxa"/>
            <w:tcBorders>
              <w:top w:val="nil"/>
              <w:left w:val="single" w:sz="4" w:space="0" w:color="auto"/>
              <w:bottom w:val="single" w:sz="4" w:space="0" w:color="auto"/>
              <w:right w:val="single" w:sz="4" w:space="0" w:color="auto"/>
            </w:tcBorders>
            <w:noWrap/>
            <w:vAlign w:val="bottom"/>
            <w:hideMark/>
          </w:tcPr>
          <w:p w:rsidR="00F04199" w:rsidRDefault="00032659" w:rsidP="003F77EB">
            <w:pPr>
              <w:jc w:val="center"/>
              <w:rPr>
                <w:rFonts w:ascii="Arial" w:hAnsi="Arial" w:cs="Arial"/>
                <w:color w:val="1F497D"/>
                <w:sz w:val="15"/>
                <w:szCs w:val="15"/>
                <w:lang w:eastAsia="es-MX"/>
              </w:rPr>
            </w:pPr>
            <w:r>
              <w:rPr>
                <w:rFonts w:ascii="Arial" w:hAnsi="Arial" w:cs="Arial"/>
                <w:color w:val="1F497D"/>
                <w:sz w:val="15"/>
                <w:szCs w:val="15"/>
                <w:lang w:eastAsia="es-MX"/>
              </w:rPr>
              <w:t>939,249.98</w:t>
            </w:r>
          </w:p>
        </w:tc>
        <w:tc>
          <w:tcPr>
            <w:tcW w:w="2103" w:type="dxa"/>
            <w:tcBorders>
              <w:top w:val="nil"/>
              <w:left w:val="nil"/>
              <w:bottom w:val="single" w:sz="4" w:space="0" w:color="auto"/>
              <w:right w:val="single" w:sz="4" w:space="0" w:color="auto"/>
            </w:tcBorders>
            <w:noWrap/>
            <w:vAlign w:val="bottom"/>
            <w:hideMark/>
          </w:tcPr>
          <w:p w:rsidR="00F04199" w:rsidRDefault="00032659" w:rsidP="003F77EB">
            <w:pPr>
              <w:jc w:val="center"/>
              <w:rPr>
                <w:rFonts w:ascii="Arial" w:hAnsi="Arial" w:cs="Arial"/>
                <w:color w:val="1F497D"/>
                <w:sz w:val="15"/>
                <w:szCs w:val="15"/>
                <w:lang w:eastAsia="es-MX"/>
              </w:rPr>
            </w:pPr>
            <w:r w:rsidRPr="00032659">
              <w:rPr>
                <w:rFonts w:ascii="Arial" w:hAnsi="Arial" w:cs="Arial"/>
                <w:color w:val="1F497D"/>
                <w:sz w:val="15"/>
                <w:szCs w:val="15"/>
                <w:lang w:eastAsia="es-MX"/>
              </w:rPr>
              <w:t>18,103,465.00</w:t>
            </w:r>
          </w:p>
        </w:tc>
      </w:tr>
    </w:tbl>
    <w:p w:rsidR="00F04199" w:rsidRDefault="00F04199" w:rsidP="00F04199">
      <w:pPr>
        <w:jc w:val="center"/>
        <w:rPr>
          <w:rFonts w:ascii="Arial" w:hAnsi="Arial" w:cs="Arial"/>
          <w:sz w:val="15"/>
          <w:szCs w:val="15"/>
        </w:rPr>
      </w:pPr>
    </w:p>
    <w:p w:rsidR="00F04199" w:rsidRDefault="00F04199" w:rsidP="00F04199">
      <w:pPr>
        <w:jc w:val="center"/>
        <w:rPr>
          <w:rFonts w:ascii="Arial" w:hAnsi="Arial" w:cs="Arial"/>
          <w:sz w:val="15"/>
          <w:szCs w:val="15"/>
        </w:rPr>
      </w:pPr>
    </w:p>
    <w:p w:rsidR="00F04199" w:rsidRDefault="00F04199" w:rsidP="00E72895">
      <w:pPr>
        <w:jc w:val="center"/>
        <w:rPr>
          <w:rFonts w:ascii="Arial" w:hAnsi="Arial" w:cs="Arial"/>
          <w:sz w:val="15"/>
          <w:szCs w:val="15"/>
        </w:rPr>
      </w:pPr>
    </w:p>
    <w:p w:rsidR="00F04199" w:rsidRDefault="00F04199" w:rsidP="00F04199">
      <w:pPr>
        <w:jc w:val="center"/>
        <w:rPr>
          <w:rFonts w:ascii="Arial" w:hAnsi="Arial" w:cs="Arial"/>
          <w:sz w:val="15"/>
          <w:szCs w:val="15"/>
        </w:rPr>
      </w:pPr>
    </w:p>
    <w:p w:rsidR="00F04199" w:rsidRDefault="00F04199" w:rsidP="00F04199">
      <w:pPr>
        <w:jc w:val="both"/>
        <w:rPr>
          <w:rFonts w:ascii="Arial" w:hAnsi="Arial" w:cs="Arial"/>
          <w:b/>
        </w:rPr>
      </w:pPr>
      <w:r>
        <w:rPr>
          <w:rFonts w:ascii="Arial" w:hAnsi="Arial" w:cs="Arial"/>
          <w:b/>
        </w:rPr>
        <w:t>11. Información sobre la Deuda y el Reporte Analítico de la Deuda:</w:t>
      </w:r>
    </w:p>
    <w:p w:rsidR="00F04199" w:rsidRDefault="00F04199" w:rsidP="00F04199">
      <w:pPr>
        <w:jc w:val="both"/>
        <w:rPr>
          <w:rFonts w:ascii="Arial" w:hAnsi="Arial" w:cs="Arial"/>
        </w:rPr>
      </w:pPr>
      <w:r>
        <w:rPr>
          <w:rFonts w:ascii="Arial" w:hAnsi="Arial" w:cs="Arial"/>
        </w:rPr>
        <w:t>Se informará lo siguiente:</w:t>
      </w:r>
    </w:p>
    <w:p w:rsidR="00F04199" w:rsidRDefault="00F04199" w:rsidP="00F04199">
      <w:pPr>
        <w:jc w:val="both"/>
        <w:rPr>
          <w:rFonts w:ascii="Arial" w:hAnsi="Arial" w:cs="Arial"/>
        </w:rPr>
      </w:pPr>
      <w:r>
        <w:rPr>
          <w:rFonts w:ascii="Arial" w:hAnsi="Arial" w:cs="Arial"/>
          <w:b/>
        </w:rPr>
        <w:t>a)</w:t>
      </w:r>
      <w:r>
        <w:rPr>
          <w:rFonts w:ascii="Arial" w:hAnsi="Arial" w:cs="Arial"/>
        </w:rPr>
        <w:t xml:space="preserve"> Utilizar al menos los siguientes indicadores: deuda respecto al PIB y deuda respecto a la recaudación tomando, como mínimo, un período igual o menor a 5 años.</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rPr>
      </w:pPr>
      <w:r>
        <w:rPr>
          <w:rFonts w:ascii="Arial" w:hAnsi="Arial" w:cs="Arial"/>
          <w:b/>
        </w:rPr>
        <w:t>b)</w:t>
      </w:r>
      <w:r>
        <w:rPr>
          <w:rFonts w:ascii="Arial" w:hAnsi="Arial" w:cs="Arial"/>
        </w:rPr>
        <w:t xml:space="preserve"> Información de manera agrupada por tipo de valor gubernamental o instrumento financiero en la que se considere intereses, comisiones, tasa, perfil de vencimiento y otros gastos de la deuda.</w:t>
      </w:r>
    </w:p>
    <w:p w:rsidR="00F04199" w:rsidRDefault="00F04199" w:rsidP="00F04199">
      <w:pPr>
        <w:jc w:val="both"/>
        <w:rPr>
          <w:rFonts w:ascii="Arial" w:hAnsi="Arial" w:cs="Arial"/>
          <w:b/>
        </w:rPr>
      </w:pPr>
      <w:r>
        <w:rPr>
          <w:rFonts w:ascii="Arial" w:hAnsi="Arial" w:cs="Arial"/>
          <w:b/>
          <w:color w:val="1F497D"/>
        </w:rPr>
        <w:t>* Se anexa la información en las notas de desglose y se refiere al Estado Analítico de Deuda y Otros Pasivos</w:t>
      </w:r>
      <w:r>
        <w:rPr>
          <w:rFonts w:ascii="Arial" w:hAnsi="Arial" w:cs="Arial"/>
          <w:b/>
        </w:rPr>
        <w:t>.</w:t>
      </w:r>
    </w:p>
    <w:p w:rsidR="00F04199" w:rsidRDefault="00F04199" w:rsidP="00F04199">
      <w:pPr>
        <w:jc w:val="both"/>
        <w:rPr>
          <w:rFonts w:ascii="Arial" w:hAnsi="Arial" w:cs="Arial"/>
          <w:b/>
        </w:rPr>
      </w:pPr>
      <w:r>
        <w:rPr>
          <w:rFonts w:ascii="Arial" w:hAnsi="Arial" w:cs="Arial"/>
          <w:b/>
        </w:rPr>
        <w:t>12. Calificaciones otorgadas:</w:t>
      </w:r>
    </w:p>
    <w:p w:rsidR="00F04199" w:rsidRDefault="00F04199" w:rsidP="00F04199">
      <w:pPr>
        <w:jc w:val="both"/>
        <w:rPr>
          <w:rFonts w:ascii="Arial" w:hAnsi="Arial" w:cs="Arial"/>
        </w:rPr>
      </w:pPr>
      <w:r>
        <w:rPr>
          <w:rFonts w:ascii="Arial" w:hAnsi="Arial" w:cs="Arial"/>
        </w:rPr>
        <w:t>Informar, tanto del ente público como cualquier transacción realizada, que haya sido sujeta a una calificación crediticia:</w:t>
      </w:r>
    </w:p>
    <w:p w:rsidR="00F04199" w:rsidRDefault="00F04199" w:rsidP="00F04199">
      <w:pPr>
        <w:jc w:val="both"/>
        <w:rPr>
          <w:rFonts w:ascii="Arial" w:hAnsi="Arial" w:cs="Arial"/>
        </w:rPr>
      </w:pPr>
      <w:r>
        <w:rPr>
          <w:rFonts w:ascii="Arial" w:hAnsi="Arial" w:cs="Arial"/>
        </w:rPr>
        <w:t>NO APLICA</w:t>
      </w:r>
    </w:p>
    <w:p w:rsidR="00F04199" w:rsidRDefault="00F04199" w:rsidP="00F04199">
      <w:pPr>
        <w:jc w:val="both"/>
        <w:rPr>
          <w:rFonts w:ascii="Arial" w:hAnsi="Arial" w:cs="Arial"/>
          <w:b/>
        </w:rPr>
      </w:pPr>
      <w:r>
        <w:rPr>
          <w:rFonts w:ascii="Arial" w:hAnsi="Arial" w:cs="Arial"/>
          <w:b/>
        </w:rPr>
        <w:t>13. Proceso de Mejora:</w:t>
      </w:r>
    </w:p>
    <w:p w:rsidR="00F04199" w:rsidRDefault="00F04199" w:rsidP="00F04199">
      <w:pPr>
        <w:jc w:val="both"/>
        <w:rPr>
          <w:rFonts w:ascii="Arial" w:hAnsi="Arial" w:cs="Arial"/>
        </w:rPr>
      </w:pPr>
      <w:r>
        <w:rPr>
          <w:rFonts w:ascii="Arial" w:hAnsi="Arial" w:cs="Arial"/>
        </w:rPr>
        <w:t>Se informará de:</w:t>
      </w:r>
    </w:p>
    <w:p w:rsidR="00F04199" w:rsidRDefault="00F04199" w:rsidP="0024692E">
      <w:pPr>
        <w:tabs>
          <w:tab w:val="center" w:pos="6644"/>
        </w:tabs>
        <w:jc w:val="both"/>
        <w:rPr>
          <w:rFonts w:ascii="Arial" w:hAnsi="Arial" w:cs="Arial"/>
        </w:rPr>
      </w:pPr>
      <w:r>
        <w:rPr>
          <w:rFonts w:ascii="Arial" w:hAnsi="Arial" w:cs="Arial"/>
          <w:b/>
        </w:rPr>
        <w:t>a)</w:t>
      </w:r>
      <w:r>
        <w:rPr>
          <w:rFonts w:ascii="Arial" w:hAnsi="Arial" w:cs="Arial"/>
        </w:rPr>
        <w:t xml:space="preserve"> Principales Políticas de control interno:</w:t>
      </w:r>
      <w:r w:rsidR="0024692E">
        <w:rPr>
          <w:rFonts w:ascii="Arial" w:hAnsi="Arial" w:cs="Arial"/>
        </w:rPr>
        <w:tab/>
      </w:r>
    </w:p>
    <w:p w:rsidR="00F04199" w:rsidRDefault="00F04199" w:rsidP="00F04199">
      <w:pPr>
        <w:jc w:val="both"/>
        <w:rPr>
          <w:rFonts w:ascii="Arial" w:hAnsi="Arial" w:cs="Arial"/>
        </w:rPr>
      </w:pPr>
      <w:r>
        <w:rPr>
          <w:rFonts w:ascii="Arial" w:hAnsi="Arial" w:cs="Arial"/>
        </w:rPr>
        <w:lastRenderedPageBreak/>
        <w:t>Se fortalece el control de los ingresos propios mediante arqueos de caja diarios y aleatorios.</w:t>
      </w:r>
    </w:p>
    <w:p w:rsidR="00F04199" w:rsidRDefault="00F04199" w:rsidP="00F04199">
      <w:pPr>
        <w:jc w:val="both"/>
        <w:rPr>
          <w:rFonts w:ascii="Arial" w:hAnsi="Arial" w:cs="Arial"/>
        </w:rPr>
      </w:pPr>
      <w:r>
        <w:rPr>
          <w:rFonts w:ascii="Arial" w:hAnsi="Arial" w:cs="Arial"/>
        </w:rPr>
        <w:t>Cabe mencionar que las medidas anteriormente mencionadas son generadas con base al análisis arrojado por la matriz de riesgos</w:t>
      </w:r>
    </w:p>
    <w:p w:rsidR="00F04199" w:rsidRDefault="00F04199" w:rsidP="00F04199">
      <w:pPr>
        <w:jc w:val="both"/>
        <w:rPr>
          <w:rFonts w:ascii="Arial" w:hAnsi="Arial" w:cs="Arial"/>
        </w:rPr>
      </w:pPr>
      <w:r>
        <w:rPr>
          <w:rFonts w:ascii="Arial" w:hAnsi="Arial" w:cs="Arial"/>
          <w:b/>
        </w:rPr>
        <w:t>b)</w:t>
      </w:r>
      <w:r>
        <w:rPr>
          <w:rFonts w:ascii="Arial" w:hAnsi="Arial" w:cs="Arial"/>
        </w:rPr>
        <w:t xml:space="preserve"> Medidas de desempeño financiero, metas y alcance:</w:t>
      </w:r>
    </w:p>
    <w:p w:rsidR="00F04199" w:rsidRDefault="00F04199" w:rsidP="00F04199">
      <w:pPr>
        <w:jc w:val="both"/>
        <w:rPr>
          <w:rFonts w:ascii="Arial" w:hAnsi="Arial" w:cs="Arial"/>
        </w:rPr>
      </w:pPr>
      <w:r>
        <w:rPr>
          <w:rFonts w:ascii="Arial" w:hAnsi="Arial" w:cs="Arial"/>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F04199" w:rsidRDefault="00F04199" w:rsidP="00F04199">
      <w:pPr>
        <w:jc w:val="both"/>
        <w:rPr>
          <w:rFonts w:ascii="Arial" w:hAnsi="Arial" w:cs="Arial"/>
          <w:b/>
        </w:rPr>
      </w:pPr>
      <w:r>
        <w:rPr>
          <w:rFonts w:ascii="Arial" w:hAnsi="Arial" w:cs="Arial"/>
          <w:b/>
        </w:rPr>
        <w:t>14. Información por Segmentos:</w:t>
      </w:r>
    </w:p>
    <w:p w:rsidR="00F04199" w:rsidRDefault="00F04199" w:rsidP="00F04199">
      <w:pPr>
        <w:jc w:val="both"/>
        <w:rPr>
          <w:rFonts w:ascii="Arial" w:hAnsi="Arial" w:cs="Arial"/>
        </w:rPr>
      </w:pPr>
      <w:r>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F04199" w:rsidRDefault="00F04199" w:rsidP="00F04199">
      <w:pPr>
        <w:jc w:val="both"/>
        <w:rPr>
          <w:rFonts w:ascii="Arial" w:hAnsi="Arial" w:cs="Arial"/>
        </w:rPr>
      </w:pPr>
      <w:r>
        <w:rPr>
          <w:rFonts w:ascii="Arial" w:hAnsi="Arial" w:cs="Arial"/>
        </w:rPr>
        <w:t>Consecuentemente, esta información contribuye al análisis más preciso de la situación financiera, grados y fuentes de riesgo y crecimiento potencial de negocio.</w:t>
      </w:r>
    </w:p>
    <w:p w:rsidR="00F04199" w:rsidRDefault="00F04199" w:rsidP="00F04199">
      <w:pPr>
        <w:jc w:val="both"/>
        <w:rPr>
          <w:rFonts w:ascii="Arial" w:hAnsi="Arial" w:cs="Arial"/>
          <w:b/>
        </w:rPr>
      </w:pPr>
      <w:r>
        <w:rPr>
          <w:rFonts w:ascii="Arial" w:hAnsi="Arial" w:cs="Arial"/>
          <w:b/>
        </w:rPr>
        <w:t>15. Eventos Posteriores al Cierre:</w:t>
      </w:r>
    </w:p>
    <w:p w:rsidR="00F04199" w:rsidRDefault="00F04199" w:rsidP="00F04199">
      <w:pPr>
        <w:tabs>
          <w:tab w:val="left" w:pos="1245"/>
        </w:tabs>
        <w:jc w:val="both"/>
        <w:rPr>
          <w:rFonts w:ascii="Arial" w:hAnsi="Arial" w:cs="Arial"/>
        </w:rPr>
      </w:pPr>
      <w:r>
        <w:rPr>
          <w:rFonts w:ascii="Arial" w:hAnsi="Arial" w:cs="Arial"/>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F04199" w:rsidRDefault="00F04199" w:rsidP="00F04199">
      <w:pPr>
        <w:jc w:val="both"/>
        <w:rPr>
          <w:rFonts w:ascii="Arial" w:hAnsi="Arial" w:cs="Arial"/>
          <w:b/>
        </w:rPr>
      </w:pPr>
      <w:r>
        <w:rPr>
          <w:rFonts w:ascii="Arial" w:hAnsi="Arial" w:cs="Arial"/>
          <w:b/>
        </w:rPr>
        <w:t>16. Partes Relacionadas:</w:t>
      </w:r>
    </w:p>
    <w:p w:rsidR="00F04199" w:rsidRDefault="00F04199" w:rsidP="00F04199">
      <w:pPr>
        <w:jc w:val="both"/>
        <w:rPr>
          <w:rFonts w:ascii="Arial" w:hAnsi="Arial" w:cs="Arial"/>
        </w:rPr>
      </w:pPr>
      <w:r>
        <w:rPr>
          <w:rFonts w:ascii="Arial" w:hAnsi="Arial" w:cs="Arial"/>
        </w:rPr>
        <w:t>Se debe establecer por escrito que no existen partes relacionadas que pudieran ejercer influencia significativa sobre la toma de decisiones financieras y operativas:</w:t>
      </w:r>
    </w:p>
    <w:p w:rsidR="00D82BCF" w:rsidRDefault="00D82BCF" w:rsidP="00F04199">
      <w:pPr>
        <w:jc w:val="both"/>
        <w:rPr>
          <w:rFonts w:ascii="Arial" w:hAnsi="Arial" w:cs="Arial"/>
          <w:b/>
        </w:rPr>
      </w:pPr>
    </w:p>
    <w:p w:rsidR="00D82BCF" w:rsidRDefault="00D82BCF" w:rsidP="0024692E">
      <w:pPr>
        <w:jc w:val="center"/>
        <w:rPr>
          <w:rFonts w:ascii="Arial" w:hAnsi="Arial" w:cs="Arial"/>
          <w:b/>
        </w:rPr>
      </w:pPr>
    </w:p>
    <w:p w:rsidR="00CA2DAA" w:rsidRDefault="00CA2DAA" w:rsidP="00F04199">
      <w:pPr>
        <w:jc w:val="both"/>
        <w:rPr>
          <w:rFonts w:ascii="Arial" w:hAnsi="Arial" w:cs="Arial"/>
          <w:b/>
        </w:rPr>
      </w:pPr>
    </w:p>
    <w:p w:rsidR="00F04199" w:rsidRDefault="00F04199" w:rsidP="00F04199">
      <w:pPr>
        <w:jc w:val="both"/>
        <w:rPr>
          <w:rFonts w:ascii="Arial" w:hAnsi="Arial" w:cs="Arial"/>
          <w:b/>
        </w:rPr>
      </w:pPr>
      <w:r>
        <w:rPr>
          <w:rFonts w:ascii="Arial" w:hAnsi="Arial" w:cs="Arial"/>
          <w:b/>
        </w:rPr>
        <w:t>17. Responsabilidad sobre la presentación razonable de los Estados Financieros:</w:t>
      </w:r>
    </w:p>
    <w:p w:rsidR="00F04199" w:rsidRDefault="00F04199" w:rsidP="00F04199">
      <w:pPr>
        <w:jc w:val="both"/>
        <w:rPr>
          <w:rFonts w:ascii="Arial" w:hAnsi="Arial" w:cs="Arial"/>
        </w:rPr>
      </w:pPr>
      <w:r>
        <w:rPr>
          <w:rFonts w:ascii="Arial" w:hAnsi="Arial" w:cs="Arial"/>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rsidR="00F04199" w:rsidRPr="007022BA" w:rsidRDefault="00F04199" w:rsidP="00F04199">
      <w:pPr>
        <w:jc w:val="both"/>
        <w:rPr>
          <w:rFonts w:ascii="Arial" w:hAnsi="Arial" w:cs="Arial"/>
          <w:b/>
        </w:rPr>
      </w:pPr>
      <w:r>
        <w:rPr>
          <w:rFonts w:ascii="Arial" w:hAnsi="Arial" w:cs="Arial"/>
          <w:i/>
        </w:rPr>
        <w:t>“Bajo protesta de decir verdad declaramos que los Estados Financieros y sus notas, son razonablemente correctos y son responsabilidad del emisor”.</w:t>
      </w:r>
    </w:p>
    <w:p w:rsidR="00F04199" w:rsidRDefault="00F04199" w:rsidP="00F04199">
      <w:pPr>
        <w:jc w:val="both"/>
        <w:rPr>
          <w:b/>
          <w:i/>
        </w:rPr>
      </w:pPr>
    </w:p>
    <w:p w:rsidR="00F04199" w:rsidRDefault="00F04199" w:rsidP="00F04199">
      <w:pPr>
        <w:jc w:val="both"/>
      </w:pPr>
    </w:p>
    <w:p w:rsidR="00F04199" w:rsidRPr="000D6585" w:rsidRDefault="00F04199" w:rsidP="00F04199">
      <w:pPr>
        <w:jc w:val="both"/>
        <w:rPr>
          <w:rFonts w:asciiTheme="minorHAnsi" w:hAnsiTheme="minorHAnsi" w:cstheme="minorHAnsi"/>
          <w:b/>
          <w:sz w:val="20"/>
          <w:szCs w:val="20"/>
        </w:rPr>
      </w:pPr>
    </w:p>
    <w:p w:rsidR="00F04199" w:rsidRDefault="00F04199" w:rsidP="00F04199">
      <w:pPr>
        <w:jc w:val="center"/>
        <w:rPr>
          <w:rFonts w:ascii="Arial" w:hAnsi="Arial" w:cs="Arial"/>
          <w:b/>
          <w:sz w:val="20"/>
          <w:szCs w:val="20"/>
        </w:rPr>
      </w:pPr>
      <w:bookmarkStart w:id="0" w:name="_GoBack"/>
      <w:bookmarkEnd w:id="0"/>
    </w:p>
    <w:p w:rsidR="00F04199" w:rsidRDefault="00F04199" w:rsidP="00F04199">
      <w:pPr>
        <w:jc w:val="center"/>
        <w:rPr>
          <w:rFonts w:ascii="Arial" w:hAnsi="Arial" w:cs="Arial"/>
          <w:b/>
          <w:sz w:val="20"/>
          <w:szCs w:val="20"/>
        </w:rPr>
      </w:pPr>
    </w:p>
    <w:p w:rsidR="00F04199" w:rsidRDefault="00F04199" w:rsidP="00F04199">
      <w:pPr>
        <w:jc w:val="center"/>
        <w:rPr>
          <w:rFonts w:ascii="Arial" w:hAnsi="Arial" w:cs="Arial"/>
          <w:b/>
          <w:sz w:val="20"/>
          <w:szCs w:val="20"/>
        </w:rPr>
      </w:pPr>
    </w:p>
    <w:p w:rsidR="00F04199" w:rsidRDefault="00F04199" w:rsidP="00F04199">
      <w:pPr>
        <w:jc w:val="center"/>
        <w:rPr>
          <w:rFonts w:ascii="Arial" w:hAnsi="Arial" w:cs="Arial"/>
          <w:b/>
          <w:sz w:val="20"/>
          <w:szCs w:val="20"/>
        </w:rPr>
      </w:pPr>
    </w:p>
    <w:p w:rsidR="007D1E76" w:rsidRPr="00E74967" w:rsidRDefault="007D1E76" w:rsidP="00CB41C4">
      <w:pPr>
        <w:tabs>
          <w:tab w:val="left" w:leader="underscore" w:pos="9639"/>
        </w:tabs>
        <w:spacing w:after="0" w:line="240" w:lineRule="auto"/>
        <w:jc w:val="both"/>
        <w:rPr>
          <w:rFonts w:cs="Calibri"/>
        </w:rPr>
      </w:pPr>
    </w:p>
    <w:sectPr w:rsidR="007D1E76" w:rsidRPr="00E74967" w:rsidSect="00403610">
      <w:headerReference w:type="default" r:id="rId14"/>
      <w:footerReference w:type="default" r:id="rId15"/>
      <w:pgSz w:w="15840" w:h="12240" w:orient="landscape" w:code="1"/>
      <w:pgMar w:top="1701"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C2" w:rsidRDefault="00BC3AC2" w:rsidP="00E00323">
      <w:pPr>
        <w:spacing w:after="0" w:line="240" w:lineRule="auto"/>
      </w:pPr>
      <w:r>
        <w:separator/>
      </w:r>
    </w:p>
  </w:endnote>
  <w:endnote w:type="continuationSeparator" w:id="0">
    <w:p w:rsidR="00BC3AC2" w:rsidRDefault="00BC3AC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rsidR="0012405A" w:rsidRDefault="0024692E" w:rsidP="00E72895">
        <w:pPr>
          <w:pStyle w:val="Piedepgina"/>
          <w:jc w:val="center"/>
        </w:pPr>
        <w:r>
          <w:t>41</w:t>
        </w:r>
      </w:p>
    </w:sdtContent>
  </w:sdt>
  <w:p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C2" w:rsidRDefault="00BC3AC2" w:rsidP="00E00323">
      <w:pPr>
        <w:spacing w:after="0" w:line="240" w:lineRule="auto"/>
      </w:pPr>
      <w:r>
        <w:separator/>
      </w:r>
    </w:p>
  </w:footnote>
  <w:footnote w:type="continuationSeparator" w:id="0">
    <w:p w:rsidR="00BC3AC2" w:rsidRDefault="00BC3AC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A3" w:rsidRDefault="00F04199" w:rsidP="00A4610E">
    <w:pPr>
      <w:pStyle w:val="Encabezado"/>
      <w:spacing w:after="0" w:line="240" w:lineRule="auto"/>
      <w:jc w:val="center"/>
    </w:pPr>
    <w:r>
      <w:t>INSTITUTO GUANAJUATENSE PARA LAS PERSONAS CON DISCAPACIDAD</w:t>
    </w:r>
  </w:p>
  <w:p w:rsidR="00A4610E" w:rsidRDefault="004436FD" w:rsidP="00A4610E">
    <w:pPr>
      <w:pStyle w:val="Encabezado"/>
      <w:spacing w:after="0" w:line="240" w:lineRule="auto"/>
      <w:jc w:val="center"/>
    </w:pPr>
    <w:r>
      <w:t xml:space="preserve">CORRESPONDIENTES AL </w:t>
    </w:r>
    <w:r w:rsidR="00E00DE1">
      <w:t>TERCER</w:t>
    </w:r>
    <w:r>
      <w:t xml:space="preserve"> TRIMESTRE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56AC17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B62AE"/>
    <w:multiLevelType w:val="hybridMultilevel"/>
    <w:tmpl w:val="E788C85A"/>
    <w:lvl w:ilvl="0" w:tplc="B7025EF2">
      <w:start w:val="1"/>
      <w:numFmt w:val="lowerLetter"/>
      <w:lvlText w:val="%1)"/>
      <w:lvlJc w:val="left"/>
      <w:pPr>
        <w:ind w:left="114" w:hanging="708"/>
      </w:pPr>
      <w:rPr>
        <w:rFonts w:ascii="Arial" w:eastAsia="Arial" w:hAnsi="Arial" w:cs="Arial" w:hint="default"/>
        <w:w w:val="99"/>
        <w:sz w:val="18"/>
        <w:szCs w:val="18"/>
      </w:rPr>
    </w:lvl>
    <w:lvl w:ilvl="1" w:tplc="C6C89134">
      <w:numFmt w:val="bullet"/>
      <w:lvlText w:val="•"/>
      <w:lvlJc w:val="left"/>
      <w:pPr>
        <w:ind w:left="1128" w:hanging="708"/>
      </w:pPr>
      <w:rPr>
        <w:rFonts w:hint="default"/>
      </w:rPr>
    </w:lvl>
    <w:lvl w:ilvl="2" w:tplc="15E8D050">
      <w:numFmt w:val="bullet"/>
      <w:lvlText w:val="•"/>
      <w:lvlJc w:val="left"/>
      <w:pPr>
        <w:ind w:left="2136" w:hanging="708"/>
      </w:pPr>
      <w:rPr>
        <w:rFonts w:hint="default"/>
      </w:rPr>
    </w:lvl>
    <w:lvl w:ilvl="3" w:tplc="330CB7B2">
      <w:numFmt w:val="bullet"/>
      <w:lvlText w:val="•"/>
      <w:lvlJc w:val="left"/>
      <w:pPr>
        <w:ind w:left="3144" w:hanging="708"/>
      </w:pPr>
      <w:rPr>
        <w:rFonts w:hint="default"/>
      </w:rPr>
    </w:lvl>
    <w:lvl w:ilvl="4" w:tplc="9E7EF7F6">
      <w:numFmt w:val="bullet"/>
      <w:lvlText w:val="•"/>
      <w:lvlJc w:val="left"/>
      <w:pPr>
        <w:ind w:left="4152" w:hanging="708"/>
      </w:pPr>
      <w:rPr>
        <w:rFonts w:hint="default"/>
      </w:rPr>
    </w:lvl>
    <w:lvl w:ilvl="5" w:tplc="1AD23E6C">
      <w:numFmt w:val="bullet"/>
      <w:lvlText w:val="•"/>
      <w:lvlJc w:val="left"/>
      <w:pPr>
        <w:ind w:left="5160" w:hanging="708"/>
      </w:pPr>
      <w:rPr>
        <w:rFonts w:hint="default"/>
      </w:rPr>
    </w:lvl>
    <w:lvl w:ilvl="6" w:tplc="14682038">
      <w:numFmt w:val="bullet"/>
      <w:lvlText w:val="•"/>
      <w:lvlJc w:val="left"/>
      <w:pPr>
        <w:ind w:left="6169" w:hanging="708"/>
      </w:pPr>
      <w:rPr>
        <w:rFonts w:hint="default"/>
      </w:rPr>
    </w:lvl>
    <w:lvl w:ilvl="7" w:tplc="65A25AD6">
      <w:numFmt w:val="bullet"/>
      <w:lvlText w:val="•"/>
      <w:lvlJc w:val="left"/>
      <w:pPr>
        <w:ind w:left="7177" w:hanging="708"/>
      </w:pPr>
      <w:rPr>
        <w:rFonts w:hint="default"/>
      </w:rPr>
    </w:lvl>
    <w:lvl w:ilvl="8" w:tplc="40E29AE8">
      <w:numFmt w:val="bullet"/>
      <w:lvlText w:val="•"/>
      <w:lvlJc w:val="left"/>
      <w:pPr>
        <w:ind w:left="8185" w:hanging="708"/>
      </w:pPr>
      <w:rPr>
        <w:rFonts w:hint="default"/>
      </w:rPr>
    </w:lvl>
  </w:abstractNum>
  <w:abstractNum w:abstractNumId="2" w15:restartNumberingAfterBreak="0">
    <w:nsid w:val="0C08344A"/>
    <w:multiLevelType w:val="hybridMultilevel"/>
    <w:tmpl w:val="7B9A2420"/>
    <w:lvl w:ilvl="0" w:tplc="50123E9E">
      <w:start w:val="1"/>
      <w:numFmt w:val="lowerLetter"/>
      <w:lvlText w:val="%1)"/>
      <w:lvlJc w:val="left"/>
      <w:pPr>
        <w:ind w:left="114" w:hanging="708"/>
      </w:pPr>
      <w:rPr>
        <w:rFonts w:ascii="Arial" w:eastAsia="Arial" w:hAnsi="Arial" w:cs="Arial" w:hint="default"/>
        <w:w w:val="99"/>
        <w:sz w:val="18"/>
        <w:szCs w:val="18"/>
      </w:rPr>
    </w:lvl>
    <w:lvl w:ilvl="1" w:tplc="9DB6E122">
      <w:numFmt w:val="bullet"/>
      <w:lvlText w:val="•"/>
      <w:lvlJc w:val="left"/>
      <w:pPr>
        <w:ind w:left="1128" w:hanging="708"/>
      </w:pPr>
      <w:rPr>
        <w:rFonts w:hint="default"/>
      </w:rPr>
    </w:lvl>
    <w:lvl w:ilvl="2" w:tplc="98DE1A10">
      <w:numFmt w:val="bullet"/>
      <w:lvlText w:val="•"/>
      <w:lvlJc w:val="left"/>
      <w:pPr>
        <w:ind w:left="2136" w:hanging="708"/>
      </w:pPr>
      <w:rPr>
        <w:rFonts w:hint="default"/>
      </w:rPr>
    </w:lvl>
    <w:lvl w:ilvl="3" w:tplc="54B03D3A">
      <w:numFmt w:val="bullet"/>
      <w:lvlText w:val="•"/>
      <w:lvlJc w:val="left"/>
      <w:pPr>
        <w:ind w:left="3144" w:hanging="708"/>
      </w:pPr>
      <w:rPr>
        <w:rFonts w:hint="default"/>
      </w:rPr>
    </w:lvl>
    <w:lvl w:ilvl="4" w:tplc="42669402">
      <w:numFmt w:val="bullet"/>
      <w:lvlText w:val="•"/>
      <w:lvlJc w:val="left"/>
      <w:pPr>
        <w:ind w:left="4152" w:hanging="708"/>
      </w:pPr>
      <w:rPr>
        <w:rFonts w:hint="default"/>
      </w:rPr>
    </w:lvl>
    <w:lvl w:ilvl="5" w:tplc="907691D4">
      <w:numFmt w:val="bullet"/>
      <w:lvlText w:val="•"/>
      <w:lvlJc w:val="left"/>
      <w:pPr>
        <w:ind w:left="5160" w:hanging="708"/>
      </w:pPr>
      <w:rPr>
        <w:rFonts w:hint="default"/>
      </w:rPr>
    </w:lvl>
    <w:lvl w:ilvl="6" w:tplc="FFCCEE64">
      <w:numFmt w:val="bullet"/>
      <w:lvlText w:val="•"/>
      <w:lvlJc w:val="left"/>
      <w:pPr>
        <w:ind w:left="6169" w:hanging="708"/>
      </w:pPr>
      <w:rPr>
        <w:rFonts w:hint="default"/>
      </w:rPr>
    </w:lvl>
    <w:lvl w:ilvl="7" w:tplc="2A30D06A">
      <w:numFmt w:val="bullet"/>
      <w:lvlText w:val="•"/>
      <w:lvlJc w:val="left"/>
      <w:pPr>
        <w:ind w:left="7177" w:hanging="708"/>
      </w:pPr>
      <w:rPr>
        <w:rFonts w:hint="default"/>
      </w:rPr>
    </w:lvl>
    <w:lvl w:ilvl="8" w:tplc="03529864">
      <w:numFmt w:val="bullet"/>
      <w:lvlText w:val="•"/>
      <w:lvlJc w:val="left"/>
      <w:pPr>
        <w:ind w:left="8185" w:hanging="708"/>
      </w:pPr>
      <w:rPr>
        <w:rFonts w:hint="default"/>
      </w:rPr>
    </w:lvl>
  </w:abstractNum>
  <w:abstractNum w:abstractNumId="3"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745578"/>
    <w:multiLevelType w:val="hybridMultilevel"/>
    <w:tmpl w:val="C9E6197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98E01C5"/>
    <w:multiLevelType w:val="hybridMultilevel"/>
    <w:tmpl w:val="3C285A6E"/>
    <w:lvl w:ilvl="0" w:tplc="8654E18A">
      <w:start w:val="1"/>
      <w:numFmt w:val="lowerLetter"/>
      <w:lvlText w:val="%1)"/>
      <w:lvlJc w:val="left"/>
      <w:pPr>
        <w:ind w:left="114" w:hanging="708"/>
      </w:pPr>
      <w:rPr>
        <w:rFonts w:ascii="Arial" w:eastAsia="Arial" w:hAnsi="Arial" w:cs="Arial" w:hint="default"/>
        <w:w w:val="99"/>
        <w:sz w:val="18"/>
        <w:szCs w:val="18"/>
      </w:rPr>
    </w:lvl>
    <w:lvl w:ilvl="1" w:tplc="076C376E">
      <w:numFmt w:val="bullet"/>
      <w:lvlText w:val="•"/>
      <w:lvlJc w:val="left"/>
      <w:pPr>
        <w:ind w:left="1128" w:hanging="708"/>
      </w:pPr>
      <w:rPr>
        <w:rFonts w:hint="default"/>
      </w:rPr>
    </w:lvl>
    <w:lvl w:ilvl="2" w:tplc="F9643476">
      <w:numFmt w:val="bullet"/>
      <w:lvlText w:val="•"/>
      <w:lvlJc w:val="left"/>
      <w:pPr>
        <w:ind w:left="2136" w:hanging="708"/>
      </w:pPr>
      <w:rPr>
        <w:rFonts w:hint="default"/>
      </w:rPr>
    </w:lvl>
    <w:lvl w:ilvl="3" w:tplc="F64E9EA2">
      <w:numFmt w:val="bullet"/>
      <w:lvlText w:val="•"/>
      <w:lvlJc w:val="left"/>
      <w:pPr>
        <w:ind w:left="3144" w:hanging="708"/>
      </w:pPr>
      <w:rPr>
        <w:rFonts w:hint="default"/>
      </w:rPr>
    </w:lvl>
    <w:lvl w:ilvl="4" w:tplc="4D0C470C">
      <w:numFmt w:val="bullet"/>
      <w:lvlText w:val="•"/>
      <w:lvlJc w:val="left"/>
      <w:pPr>
        <w:ind w:left="4152" w:hanging="708"/>
      </w:pPr>
      <w:rPr>
        <w:rFonts w:hint="default"/>
      </w:rPr>
    </w:lvl>
    <w:lvl w:ilvl="5" w:tplc="EBD84418">
      <w:numFmt w:val="bullet"/>
      <w:lvlText w:val="•"/>
      <w:lvlJc w:val="left"/>
      <w:pPr>
        <w:ind w:left="5160" w:hanging="708"/>
      </w:pPr>
      <w:rPr>
        <w:rFonts w:hint="default"/>
      </w:rPr>
    </w:lvl>
    <w:lvl w:ilvl="6" w:tplc="B51C9E18">
      <w:numFmt w:val="bullet"/>
      <w:lvlText w:val="•"/>
      <w:lvlJc w:val="left"/>
      <w:pPr>
        <w:ind w:left="6169" w:hanging="708"/>
      </w:pPr>
      <w:rPr>
        <w:rFonts w:hint="default"/>
      </w:rPr>
    </w:lvl>
    <w:lvl w:ilvl="7" w:tplc="6E96FD4E">
      <w:numFmt w:val="bullet"/>
      <w:lvlText w:val="•"/>
      <w:lvlJc w:val="left"/>
      <w:pPr>
        <w:ind w:left="7177" w:hanging="708"/>
      </w:pPr>
      <w:rPr>
        <w:rFonts w:hint="default"/>
      </w:rPr>
    </w:lvl>
    <w:lvl w:ilvl="8" w:tplc="3B0EF754">
      <w:numFmt w:val="bullet"/>
      <w:lvlText w:val="•"/>
      <w:lvlJc w:val="left"/>
      <w:pPr>
        <w:ind w:left="8185" w:hanging="708"/>
      </w:pPr>
      <w:rPr>
        <w:rFonts w:hint="default"/>
      </w:rPr>
    </w:lvl>
  </w:abstractNum>
  <w:abstractNum w:abstractNumId="6"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7" w15:restartNumberingAfterBreak="0">
    <w:nsid w:val="26997E4F"/>
    <w:multiLevelType w:val="hybridMultilevel"/>
    <w:tmpl w:val="F3CEC1BE"/>
    <w:lvl w:ilvl="0" w:tplc="3318AA58">
      <w:start w:val="1"/>
      <w:numFmt w:val="lowerLetter"/>
      <w:lvlText w:val="%1)"/>
      <w:lvlJc w:val="left"/>
      <w:pPr>
        <w:ind w:left="114" w:hanging="708"/>
      </w:pPr>
      <w:rPr>
        <w:rFonts w:ascii="Arial" w:eastAsia="Arial" w:hAnsi="Arial" w:cs="Arial" w:hint="default"/>
        <w:w w:val="99"/>
        <w:sz w:val="18"/>
        <w:szCs w:val="18"/>
      </w:rPr>
    </w:lvl>
    <w:lvl w:ilvl="1" w:tplc="68C00FC2">
      <w:numFmt w:val="bullet"/>
      <w:lvlText w:val="•"/>
      <w:lvlJc w:val="left"/>
      <w:pPr>
        <w:ind w:left="1128" w:hanging="708"/>
      </w:pPr>
      <w:rPr>
        <w:rFonts w:hint="default"/>
      </w:rPr>
    </w:lvl>
    <w:lvl w:ilvl="2" w:tplc="FFDAF21A">
      <w:numFmt w:val="bullet"/>
      <w:lvlText w:val="•"/>
      <w:lvlJc w:val="left"/>
      <w:pPr>
        <w:ind w:left="2136" w:hanging="708"/>
      </w:pPr>
      <w:rPr>
        <w:rFonts w:hint="default"/>
      </w:rPr>
    </w:lvl>
    <w:lvl w:ilvl="3" w:tplc="98CEB182">
      <w:numFmt w:val="bullet"/>
      <w:lvlText w:val="•"/>
      <w:lvlJc w:val="left"/>
      <w:pPr>
        <w:ind w:left="3144" w:hanging="708"/>
      </w:pPr>
      <w:rPr>
        <w:rFonts w:hint="default"/>
      </w:rPr>
    </w:lvl>
    <w:lvl w:ilvl="4" w:tplc="5008A236">
      <w:numFmt w:val="bullet"/>
      <w:lvlText w:val="•"/>
      <w:lvlJc w:val="left"/>
      <w:pPr>
        <w:ind w:left="4152" w:hanging="708"/>
      </w:pPr>
      <w:rPr>
        <w:rFonts w:hint="default"/>
      </w:rPr>
    </w:lvl>
    <w:lvl w:ilvl="5" w:tplc="8F6ED56C">
      <w:numFmt w:val="bullet"/>
      <w:lvlText w:val="•"/>
      <w:lvlJc w:val="left"/>
      <w:pPr>
        <w:ind w:left="5160" w:hanging="708"/>
      </w:pPr>
      <w:rPr>
        <w:rFonts w:hint="default"/>
      </w:rPr>
    </w:lvl>
    <w:lvl w:ilvl="6" w:tplc="515A4BE0">
      <w:numFmt w:val="bullet"/>
      <w:lvlText w:val="•"/>
      <w:lvlJc w:val="left"/>
      <w:pPr>
        <w:ind w:left="6169" w:hanging="708"/>
      </w:pPr>
      <w:rPr>
        <w:rFonts w:hint="default"/>
      </w:rPr>
    </w:lvl>
    <w:lvl w:ilvl="7" w:tplc="4A6A359A">
      <w:numFmt w:val="bullet"/>
      <w:lvlText w:val="•"/>
      <w:lvlJc w:val="left"/>
      <w:pPr>
        <w:ind w:left="7177" w:hanging="708"/>
      </w:pPr>
      <w:rPr>
        <w:rFonts w:hint="default"/>
      </w:rPr>
    </w:lvl>
    <w:lvl w:ilvl="8" w:tplc="AA26170A">
      <w:numFmt w:val="bullet"/>
      <w:lvlText w:val="•"/>
      <w:lvlJc w:val="left"/>
      <w:pPr>
        <w:ind w:left="8185" w:hanging="708"/>
      </w:pPr>
      <w:rPr>
        <w:rFonts w:hint="default"/>
      </w:rPr>
    </w:lvl>
  </w:abstractNum>
  <w:abstractNum w:abstractNumId="8"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5524748"/>
    <w:multiLevelType w:val="hybridMultilevel"/>
    <w:tmpl w:val="C83401C4"/>
    <w:lvl w:ilvl="0" w:tplc="F3B0279A">
      <w:start w:val="1"/>
      <w:numFmt w:val="lowerLetter"/>
      <w:lvlText w:val="%1)"/>
      <w:lvlJc w:val="left"/>
      <w:pPr>
        <w:ind w:left="114" w:hanging="708"/>
      </w:pPr>
      <w:rPr>
        <w:rFonts w:ascii="Arial" w:eastAsia="Arial" w:hAnsi="Arial" w:cs="Arial" w:hint="default"/>
        <w:w w:val="99"/>
        <w:sz w:val="18"/>
        <w:szCs w:val="18"/>
      </w:rPr>
    </w:lvl>
    <w:lvl w:ilvl="1" w:tplc="965EFAE2">
      <w:numFmt w:val="bullet"/>
      <w:lvlText w:val="•"/>
      <w:lvlJc w:val="left"/>
      <w:pPr>
        <w:ind w:left="1128" w:hanging="708"/>
      </w:pPr>
      <w:rPr>
        <w:rFonts w:hint="default"/>
      </w:rPr>
    </w:lvl>
    <w:lvl w:ilvl="2" w:tplc="64B015E4">
      <w:numFmt w:val="bullet"/>
      <w:lvlText w:val="•"/>
      <w:lvlJc w:val="left"/>
      <w:pPr>
        <w:ind w:left="2136" w:hanging="708"/>
      </w:pPr>
      <w:rPr>
        <w:rFonts w:hint="default"/>
      </w:rPr>
    </w:lvl>
    <w:lvl w:ilvl="3" w:tplc="4F9A2B5E">
      <w:numFmt w:val="bullet"/>
      <w:lvlText w:val="•"/>
      <w:lvlJc w:val="left"/>
      <w:pPr>
        <w:ind w:left="3144" w:hanging="708"/>
      </w:pPr>
      <w:rPr>
        <w:rFonts w:hint="default"/>
      </w:rPr>
    </w:lvl>
    <w:lvl w:ilvl="4" w:tplc="3FAACF48">
      <w:numFmt w:val="bullet"/>
      <w:lvlText w:val="•"/>
      <w:lvlJc w:val="left"/>
      <w:pPr>
        <w:ind w:left="4152" w:hanging="708"/>
      </w:pPr>
      <w:rPr>
        <w:rFonts w:hint="default"/>
      </w:rPr>
    </w:lvl>
    <w:lvl w:ilvl="5" w:tplc="7FE88068">
      <w:numFmt w:val="bullet"/>
      <w:lvlText w:val="•"/>
      <w:lvlJc w:val="left"/>
      <w:pPr>
        <w:ind w:left="5160" w:hanging="708"/>
      </w:pPr>
      <w:rPr>
        <w:rFonts w:hint="default"/>
      </w:rPr>
    </w:lvl>
    <w:lvl w:ilvl="6" w:tplc="73CA7A10">
      <w:numFmt w:val="bullet"/>
      <w:lvlText w:val="•"/>
      <w:lvlJc w:val="left"/>
      <w:pPr>
        <w:ind w:left="6169" w:hanging="708"/>
      </w:pPr>
      <w:rPr>
        <w:rFonts w:hint="default"/>
      </w:rPr>
    </w:lvl>
    <w:lvl w:ilvl="7" w:tplc="1C36A708">
      <w:numFmt w:val="bullet"/>
      <w:lvlText w:val="•"/>
      <w:lvlJc w:val="left"/>
      <w:pPr>
        <w:ind w:left="7177" w:hanging="708"/>
      </w:pPr>
      <w:rPr>
        <w:rFonts w:hint="default"/>
      </w:rPr>
    </w:lvl>
    <w:lvl w:ilvl="8" w:tplc="4B42AD3C">
      <w:numFmt w:val="bullet"/>
      <w:lvlText w:val="•"/>
      <w:lvlJc w:val="left"/>
      <w:pPr>
        <w:ind w:left="8185" w:hanging="708"/>
      </w:pPr>
      <w:rPr>
        <w:rFonts w:hint="default"/>
      </w:rPr>
    </w:lvl>
  </w:abstractNum>
  <w:abstractNum w:abstractNumId="10" w15:restartNumberingAfterBreak="0">
    <w:nsid w:val="440B0EC0"/>
    <w:multiLevelType w:val="hybridMultilevel"/>
    <w:tmpl w:val="2DD4A9F2"/>
    <w:lvl w:ilvl="0" w:tplc="24067EFC">
      <w:start w:val="1"/>
      <w:numFmt w:val="lowerLetter"/>
      <w:lvlText w:val="%1)"/>
      <w:lvlJc w:val="left"/>
      <w:pPr>
        <w:ind w:left="114" w:hanging="708"/>
      </w:pPr>
      <w:rPr>
        <w:rFonts w:ascii="Arial" w:eastAsia="Arial" w:hAnsi="Arial" w:cs="Arial" w:hint="default"/>
        <w:w w:val="99"/>
        <w:sz w:val="18"/>
        <w:szCs w:val="18"/>
      </w:rPr>
    </w:lvl>
    <w:lvl w:ilvl="1" w:tplc="E60E55C8">
      <w:numFmt w:val="bullet"/>
      <w:lvlText w:val="•"/>
      <w:lvlJc w:val="left"/>
      <w:pPr>
        <w:ind w:left="1128" w:hanging="708"/>
      </w:pPr>
      <w:rPr>
        <w:rFonts w:hint="default"/>
      </w:rPr>
    </w:lvl>
    <w:lvl w:ilvl="2" w:tplc="5EEE3600">
      <w:numFmt w:val="bullet"/>
      <w:lvlText w:val="•"/>
      <w:lvlJc w:val="left"/>
      <w:pPr>
        <w:ind w:left="2136" w:hanging="708"/>
      </w:pPr>
      <w:rPr>
        <w:rFonts w:hint="default"/>
      </w:rPr>
    </w:lvl>
    <w:lvl w:ilvl="3" w:tplc="255A6A1A">
      <w:numFmt w:val="bullet"/>
      <w:lvlText w:val="•"/>
      <w:lvlJc w:val="left"/>
      <w:pPr>
        <w:ind w:left="3144" w:hanging="708"/>
      </w:pPr>
      <w:rPr>
        <w:rFonts w:hint="default"/>
      </w:rPr>
    </w:lvl>
    <w:lvl w:ilvl="4" w:tplc="F81024AA">
      <w:numFmt w:val="bullet"/>
      <w:lvlText w:val="•"/>
      <w:lvlJc w:val="left"/>
      <w:pPr>
        <w:ind w:left="4152" w:hanging="708"/>
      </w:pPr>
      <w:rPr>
        <w:rFonts w:hint="default"/>
      </w:rPr>
    </w:lvl>
    <w:lvl w:ilvl="5" w:tplc="0C568BD2">
      <w:numFmt w:val="bullet"/>
      <w:lvlText w:val="•"/>
      <w:lvlJc w:val="left"/>
      <w:pPr>
        <w:ind w:left="5160" w:hanging="708"/>
      </w:pPr>
      <w:rPr>
        <w:rFonts w:hint="default"/>
      </w:rPr>
    </w:lvl>
    <w:lvl w:ilvl="6" w:tplc="7DD6E994">
      <w:numFmt w:val="bullet"/>
      <w:lvlText w:val="•"/>
      <w:lvlJc w:val="left"/>
      <w:pPr>
        <w:ind w:left="6169" w:hanging="708"/>
      </w:pPr>
      <w:rPr>
        <w:rFonts w:hint="default"/>
      </w:rPr>
    </w:lvl>
    <w:lvl w:ilvl="7" w:tplc="7CEAAF1C">
      <w:numFmt w:val="bullet"/>
      <w:lvlText w:val="•"/>
      <w:lvlJc w:val="left"/>
      <w:pPr>
        <w:ind w:left="7177" w:hanging="708"/>
      </w:pPr>
      <w:rPr>
        <w:rFonts w:hint="default"/>
      </w:rPr>
    </w:lvl>
    <w:lvl w:ilvl="8" w:tplc="505C2C84">
      <w:numFmt w:val="bullet"/>
      <w:lvlText w:val="•"/>
      <w:lvlJc w:val="left"/>
      <w:pPr>
        <w:ind w:left="8185" w:hanging="708"/>
      </w:pPr>
      <w:rPr>
        <w:rFonts w:hint="default"/>
      </w:rPr>
    </w:lvl>
  </w:abstractNum>
  <w:abstractNum w:abstractNumId="11" w15:restartNumberingAfterBreak="0">
    <w:nsid w:val="4F0239E5"/>
    <w:multiLevelType w:val="hybridMultilevel"/>
    <w:tmpl w:val="866A2136"/>
    <w:lvl w:ilvl="0" w:tplc="748E0F50">
      <w:start w:val="1"/>
      <w:numFmt w:val="lowerLetter"/>
      <w:lvlText w:val="%1)"/>
      <w:lvlJc w:val="left"/>
      <w:pPr>
        <w:ind w:left="114" w:hanging="708"/>
      </w:pPr>
      <w:rPr>
        <w:rFonts w:ascii="Arial" w:eastAsia="Arial" w:hAnsi="Arial" w:cs="Arial" w:hint="default"/>
        <w:w w:val="99"/>
        <w:sz w:val="18"/>
        <w:szCs w:val="18"/>
      </w:rPr>
    </w:lvl>
    <w:lvl w:ilvl="1" w:tplc="DB3C1968">
      <w:numFmt w:val="bullet"/>
      <w:lvlText w:val="•"/>
      <w:lvlJc w:val="left"/>
      <w:pPr>
        <w:ind w:left="1128" w:hanging="708"/>
      </w:pPr>
      <w:rPr>
        <w:rFonts w:hint="default"/>
      </w:rPr>
    </w:lvl>
    <w:lvl w:ilvl="2" w:tplc="2C1C924C">
      <w:numFmt w:val="bullet"/>
      <w:lvlText w:val="•"/>
      <w:lvlJc w:val="left"/>
      <w:pPr>
        <w:ind w:left="2136" w:hanging="708"/>
      </w:pPr>
      <w:rPr>
        <w:rFonts w:hint="default"/>
      </w:rPr>
    </w:lvl>
    <w:lvl w:ilvl="3" w:tplc="1460F8F8">
      <w:numFmt w:val="bullet"/>
      <w:lvlText w:val="•"/>
      <w:lvlJc w:val="left"/>
      <w:pPr>
        <w:ind w:left="3144" w:hanging="708"/>
      </w:pPr>
      <w:rPr>
        <w:rFonts w:hint="default"/>
      </w:rPr>
    </w:lvl>
    <w:lvl w:ilvl="4" w:tplc="F7202774">
      <w:numFmt w:val="bullet"/>
      <w:lvlText w:val="•"/>
      <w:lvlJc w:val="left"/>
      <w:pPr>
        <w:ind w:left="4152" w:hanging="708"/>
      </w:pPr>
      <w:rPr>
        <w:rFonts w:hint="default"/>
      </w:rPr>
    </w:lvl>
    <w:lvl w:ilvl="5" w:tplc="0D6081CE">
      <w:numFmt w:val="bullet"/>
      <w:lvlText w:val="•"/>
      <w:lvlJc w:val="left"/>
      <w:pPr>
        <w:ind w:left="5160" w:hanging="708"/>
      </w:pPr>
      <w:rPr>
        <w:rFonts w:hint="default"/>
      </w:rPr>
    </w:lvl>
    <w:lvl w:ilvl="6" w:tplc="1D76A4D8">
      <w:numFmt w:val="bullet"/>
      <w:lvlText w:val="•"/>
      <w:lvlJc w:val="left"/>
      <w:pPr>
        <w:ind w:left="6169" w:hanging="708"/>
      </w:pPr>
      <w:rPr>
        <w:rFonts w:hint="default"/>
      </w:rPr>
    </w:lvl>
    <w:lvl w:ilvl="7" w:tplc="A3F68972">
      <w:numFmt w:val="bullet"/>
      <w:lvlText w:val="•"/>
      <w:lvlJc w:val="left"/>
      <w:pPr>
        <w:ind w:left="7177" w:hanging="708"/>
      </w:pPr>
      <w:rPr>
        <w:rFonts w:hint="default"/>
      </w:rPr>
    </w:lvl>
    <w:lvl w:ilvl="8" w:tplc="763EBAC4">
      <w:numFmt w:val="bullet"/>
      <w:lvlText w:val="•"/>
      <w:lvlJc w:val="left"/>
      <w:pPr>
        <w:ind w:left="8185" w:hanging="708"/>
      </w:pPr>
      <w:rPr>
        <w:rFonts w:hint="default"/>
      </w:rPr>
    </w:lvl>
  </w:abstractNum>
  <w:abstractNum w:abstractNumId="12" w15:restartNumberingAfterBreak="0">
    <w:nsid w:val="51377904"/>
    <w:multiLevelType w:val="hybridMultilevel"/>
    <w:tmpl w:val="D0422EC0"/>
    <w:lvl w:ilvl="0" w:tplc="C2DAD82E">
      <w:start w:val="1"/>
      <w:numFmt w:val="lowerLetter"/>
      <w:lvlText w:val="%1)"/>
      <w:lvlJc w:val="left"/>
      <w:pPr>
        <w:ind w:left="114" w:hanging="708"/>
      </w:pPr>
      <w:rPr>
        <w:rFonts w:ascii="Arial" w:eastAsia="Arial" w:hAnsi="Arial" w:cs="Arial" w:hint="default"/>
        <w:w w:val="99"/>
        <w:sz w:val="18"/>
        <w:szCs w:val="18"/>
      </w:rPr>
    </w:lvl>
    <w:lvl w:ilvl="1" w:tplc="D8D4C008">
      <w:numFmt w:val="bullet"/>
      <w:lvlText w:val="•"/>
      <w:lvlJc w:val="left"/>
      <w:pPr>
        <w:ind w:left="1128" w:hanging="708"/>
      </w:pPr>
      <w:rPr>
        <w:rFonts w:hint="default"/>
      </w:rPr>
    </w:lvl>
    <w:lvl w:ilvl="2" w:tplc="80523784">
      <w:numFmt w:val="bullet"/>
      <w:lvlText w:val="•"/>
      <w:lvlJc w:val="left"/>
      <w:pPr>
        <w:ind w:left="2136" w:hanging="708"/>
      </w:pPr>
      <w:rPr>
        <w:rFonts w:hint="default"/>
      </w:rPr>
    </w:lvl>
    <w:lvl w:ilvl="3" w:tplc="29FC2F3C">
      <w:numFmt w:val="bullet"/>
      <w:lvlText w:val="•"/>
      <w:lvlJc w:val="left"/>
      <w:pPr>
        <w:ind w:left="3144" w:hanging="708"/>
      </w:pPr>
      <w:rPr>
        <w:rFonts w:hint="default"/>
      </w:rPr>
    </w:lvl>
    <w:lvl w:ilvl="4" w:tplc="7818C5E6">
      <w:numFmt w:val="bullet"/>
      <w:lvlText w:val="•"/>
      <w:lvlJc w:val="left"/>
      <w:pPr>
        <w:ind w:left="4152" w:hanging="708"/>
      </w:pPr>
      <w:rPr>
        <w:rFonts w:hint="default"/>
      </w:rPr>
    </w:lvl>
    <w:lvl w:ilvl="5" w:tplc="A8A2D0F6">
      <w:numFmt w:val="bullet"/>
      <w:lvlText w:val="•"/>
      <w:lvlJc w:val="left"/>
      <w:pPr>
        <w:ind w:left="5160" w:hanging="708"/>
      </w:pPr>
      <w:rPr>
        <w:rFonts w:hint="default"/>
      </w:rPr>
    </w:lvl>
    <w:lvl w:ilvl="6" w:tplc="F236AB68">
      <w:numFmt w:val="bullet"/>
      <w:lvlText w:val="•"/>
      <w:lvlJc w:val="left"/>
      <w:pPr>
        <w:ind w:left="6169" w:hanging="708"/>
      </w:pPr>
      <w:rPr>
        <w:rFonts w:hint="default"/>
      </w:rPr>
    </w:lvl>
    <w:lvl w:ilvl="7" w:tplc="20DCF344">
      <w:numFmt w:val="bullet"/>
      <w:lvlText w:val="•"/>
      <w:lvlJc w:val="left"/>
      <w:pPr>
        <w:ind w:left="7177" w:hanging="708"/>
      </w:pPr>
      <w:rPr>
        <w:rFonts w:hint="default"/>
      </w:rPr>
    </w:lvl>
    <w:lvl w:ilvl="8" w:tplc="172A0668">
      <w:numFmt w:val="bullet"/>
      <w:lvlText w:val="•"/>
      <w:lvlJc w:val="left"/>
      <w:pPr>
        <w:ind w:left="8185" w:hanging="708"/>
      </w:pPr>
      <w:rPr>
        <w:rFonts w:hint="default"/>
      </w:r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15"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6"/>
  </w:num>
  <w:num w:numId="9">
    <w:abstractNumId w:val="7"/>
  </w:num>
  <w:num w:numId="10">
    <w:abstractNumId w:val="2"/>
  </w:num>
  <w:num w:numId="11">
    <w:abstractNumId w:val="11"/>
  </w:num>
  <w:num w:numId="12">
    <w:abstractNumId w:val="12"/>
  </w:num>
  <w:num w:numId="13">
    <w:abstractNumId w:val="1"/>
  </w:num>
  <w:num w:numId="14">
    <w:abstractNumId w:val="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4947"/>
    <w:rsid w:val="00032659"/>
    <w:rsid w:val="00040D4F"/>
    <w:rsid w:val="00084EAE"/>
    <w:rsid w:val="00091CE6"/>
    <w:rsid w:val="000A579C"/>
    <w:rsid w:val="000B7810"/>
    <w:rsid w:val="000C3365"/>
    <w:rsid w:val="00116939"/>
    <w:rsid w:val="0012405A"/>
    <w:rsid w:val="00130E5F"/>
    <w:rsid w:val="00154BA3"/>
    <w:rsid w:val="001973A2"/>
    <w:rsid w:val="001C75F2"/>
    <w:rsid w:val="001D2063"/>
    <w:rsid w:val="001D43E9"/>
    <w:rsid w:val="00220E37"/>
    <w:rsid w:val="002233BE"/>
    <w:rsid w:val="0024692E"/>
    <w:rsid w:val="002475CA"/>
    <w:rsid w:val="003453CA"/>
    <w:rsid w:val="00354700"/>
    <w:rsid w:val="003959CA"/>
    <w:rsid w:val="003A0D40"/>
    <w:rsid w:val="003B4198"/>
    <w:rsid w:val="00403610"/>
    <w:rsid w:val="00435A87"/>
    <w:rsid w:val="004436FD"/>
    <w:rsid w:val="00443A48"/>
    <w:rsid w:val="004A58C8"/>
    <w:rsid w:val="004B66A1"/>
    <w:rsid w:val="004C2104"/>
    <w:rsid w:val="004D5412"/>
    <w:rsid w:val="005305C9"/>
    <w:rsid w:val="0054701E"/>
    <w:rsid w:val="005530A5"/>
    <w:rsid w:val="005D13E0"/>
    <w:rsid w:val="005D3E43"/>
    <w:rsid w:val="005E231E"/>
    <w:rsid w:val="00657009"/>
    <w:rsid w:val="00681C79"/>
    <w:rsid w:val="006A5629"/>
    <w:rsid w:val="00707E7A"/>
    <w:rsid w:val="0072256B"/>
    <w:rsid w:val="007610BC"/>
    <w:rsid w:val="007714AB"/>
    <w:rsid w:val="007829D0"/>
    <w:rsid w:val="007D1E76"/>
    <w:rsid w:val="007D4484"/>
    <w:rsid w:val="0086459F"/>
    <w:rsid w:val="008C3BB8"/>
    <w:rsid w:val="008E076C"/>
    <w:rsid w:val="008F4B34"/>
    <w:rsid w:val="0091556C"/>
    <w:rsid w:val="00915E77"/>
    <w:rsid w:val="0092765C"/>
    <w:rsid w:val="009572CC"/>
    <w:rsid w:val="00A4610E"/>
    <w:rsid w:val="00A730E0"/>
    <w:rsid w:val="00AA41E5"/>
    <w:rsid w:val="00AB722B"/>
    <w:rsid w:val="00AE1F6A"/>
    <w:rsid w:val="00B04EB4"/>
    <w:rsid w:val="00B821BC"/>
    <w:rsid w:val="00BC3AC2"/>
    <w:rsid w:val="00BF3754"/>
    <w:rsid w:val="00BF448B"/>
    <w:rsid w:val="00C167C7"/>
    <w:rsid w:val="00C97E1E"/>
    <w:rsid w:val="00CA2DAA"/>
    <w:rsid w:val="00CB41C4"/>
    <w:rsid w:val="00CB74BE"/>
    <w:rsid w:val="00CF1316"/>
    <w:rsid w:val="00D13C44"/>
    <w:rsid w:val="00D33853"/>
    <w:rsid w:val="00D82BCF"/>
    <w:rsid w:val="00D975B1"/>
    <w:rsid w:val="00E00323"/>
    <w:rsid w:val="00E00DE1"/>
    <w:rsid w:val="00E72895"/>
    <w:rsid w:val="00E74967"/>
    <w:rsid w:val="00E90BA7"/>
    <w:rsid w:val="00EA37F5"/>
    <w:rsid w:val="00EA7915"/>
    <w:rsid w:val="00F04199"/>
    <w:rsid w:val="00F46719"/>
    <w:rsid w:val="00F54F6F"/>
    <w:rsid w:val="00F7187D"/>
    <w:rsid w:val="00F733A2"/>
    <w:rsid w:val="00F76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77C5F"/>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30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BF3754"/>
    <w:pPr>
      <w:autoSpaceDE w:val="0"/>
      <w:autoSpaceDN w:val="0"/>
      <w:adjustRightInd w:val="0"/>
    </w:pPr>
    <w:rPr>
      <w:rFonts w:ascii="Candara" w:hAnsi="Candara" w:cs="Candara"/>
      <w:color w:val="000000"/>
      <w:sz w:val="24"/>
      <w:szCs w:val="24"/>
    </w:rPr>
  </w:style>
  <w:style w:type="character" w:customStyle="1" w:styleId="Ttulo3Car">
    <w:name w:val="Título 3 Car"/>
    <w:basedOn w:val="Fuentedeprrafopredeter"/>
    <w:link w:val="Ttulo3"/>
    <w:uiPriority w:val="9"/>
    <w:semiHidden/>
    <w:rsid w:val="005305C9"/>
    <w:rPr>
      <w:rFonts w:asciiTheme="majorHAnsi" w:eastAsiaTheme="majorEastAsia" w:hAnsiTheme="majorHAnsi" w:cstheme="majorBidi"/>
      <w:color w:val="1F4D78" w:themeColor="accent1" w:themeShade="7F"/>
      <w:sz w:val="24"/>
      <w:szCs w:val="24"/>
      <w:lang w:eastAsia="en-US"/>
    </w:rPr>
  </w:style>
  <w:style w:type="paragraph" w:styleId="Textoindependiente">
    <w:name w:val="Body Text"/>
    <w:basedOn w:val="Normal"/>
    <w:link w:val="TextoindependienteCar"/>
    <w:uiPriority w:val="1"/>
    <w:qFormat/>
    <w:rsid w:val="005305C9"/>
    <w:pPr>
      <w:widowControl w:val="0"/>
      <w:autoSpaceDE w:val="0"/>
      <w:autoSpaceDN w:val="0"/>
      <w:spacing w:after="0" w:line="240" w:lineRule="auto"/>
      <w:ind w:left="114"/>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5305C9"/>
    <w:rPr>
      <w:rFonts w:ascii="Arial" w:eastAsia="Arial" w:hAnsi="Arial" w:cs="Arial"/>
      <w:sz w:val="18"/>
      <w:szCs w:val="18"/>
      <w:lang w:val="en-US" w:eastAsia="en-US"/>
    </w:rPr>
  </w:style>
  <w:style w:type="paragraph" w:styleId="Lista">
    <w:name w:val="List"/>
    <w:basedOn w:val="Normal"/>
    <w:uiPriority w:val="99"/>
    <w:unhideWhenUsed/>
    <w:rsid w:val="0024692E"/>
    <w:pPr>
      <w:ind w:left="283" w:hanging="283"/>
      <w:contextualSpacing/>
    </w:pPr>
  </w:style>
  <w:style w:type="paragraph" w:styleId="Lista2">
    <w:name w:val="List 2"/>
    <w:basedOn w:val="Normal"/>
    <w:uiPriority w:val="99"/>
    <w:unhideWhenUsed/>
    <w:rsid w:val="0024692E"/>
    <w:pPr>
      <w:ind w:left="566" w:hanging="283"/>
      <w:contextualSpacing/>
    </w:pPr>
  </w:style>
  <w:style w:type="paragraph" w:styleId="Saludo">
    <w:name w:val="Salutation"/>
    <w:basedOn w:val="Normal"/>
    <w:next w:val="Normal"/>
    <w:link w:val="SaludoCar"/>
    <w:uiPriority w:val="99"/>
    <w:unhideWhenUsed/>
    <w:rsid w:val="0024692E"/>
  </w:style>
  <w:style w:type="character" w:customStyle="1" w:styleId="SaludoCar">
    <w:name w:val="Saludo Car"/>
    <w:basedOn w:val="Fuentedeprrafopredeter"/>
    <w:link w:val="Saludo"/>
    <w:uiPriority w:val="99"/>
    <w:rsid w:val="0024692E"/>
    <w:rPr>
      <w:sz w:val="22"/>
      <w:szCs w:val="22"/>
      <w:lang w:eastAsia="en-US"/>
    </w:rPr>
  </w:style>
  <w:style w:type="paragraph" w:styleId="Listaconvietas2">
    <w:name w:val="List Bullet 2"/>
    <w:basedOn w:val="Normal"/>
    <w:uiPriority w:val="99"/>
    <w:unhideWhenUsed/>
    <w:rsid w:val="0024692E"/>
    <w:pPr>
      <w:numPr>
        <w:numId w:val="16"/>
      </w:numPr>
      <w:contextualSpacing/>
    </w:pPr>
  </w:style>
  <w:style w:type="paragraph" w:styleId="Continuarlista">
    <w:name w:val="List Continue"/>
    <w:basedOn w:val="Normal"/>
    <w:uiPriority w:val="99"/>
    <w:unhideWhenUsed/>
    <w:rsid w:val="0024692E"/>
    <w:pPr>
      <w:spacing w:after="120"/>
      <w:ind w:left="283"/>
      <w:contextualSpacing/>
    </w:pPr>
  </w:style>
  <w:style w:type="paragraph" w:styleId="Continuarlista2">
    <w:name w:val="List Continue 2"/>
    <w:basedOn w:val="Normal"/>
    <w:uiPriority w:val="99"/>
    <w:unhideWhenUsed/>
    <w:rsid w:val="0024692E"/>
    <w:pPr>
      <w:spacing w:after="120"/>
      <w:ind w:left="566"/>
      <w:contextualSpacing/>
    </w:pPr>
  </w:style>
  <w:style w:type="paragraph" w:styleId="Sangradetextonormal">
    <w:name w:val="Body Text Indent"/>
    <w:basedOn w:val="Normal"/>
    <w:link w:val="SangradetextonormalCar"/>
    <w:uiPriority w:val="99"/>
    <w:unhideWhenUsed/>
    <w:rsid w:val="0024692E"/>
    <w:pPr>
      <w:spacing w:after="120"/>
      <w:ind w:left="283"/>
    </w:pPr>
  </w:style>
  <w:style w:type="character" w:customStyle="1" w:styleId="SangradetextonormalCar">
    <w:name w:val="Sangría de texto normal Car"/>
    <w:basedOn w:val="Fuentedeprrafopredeter"/>
    <w:link w:val="Sangradetextonormal"/>
    <w:uiPriority w:val="99"/>
    <w:rsid w:val="0024692E"/>
    <w:rPr>
      <w:sz w:val="22"/>
      <w:szCs w:val="22"/>
      <w:lang w:eastAsia="en-US"/>
    </w:rPr>
  </w:style>
  <w:style w:type="paragraph" w:styleId="Textoindependienteprimerasangra">
    <w:name w:val="Body Text First Indent"/>
    <w:basedOn w:val="Textoindependiente"/>
    <w:link w:val="TextoindependienteprimerasangraCar"/>
    <w:uiPriority w:val="99"/>
    <w:unhideWhenUsed/>
    <w:rsid w:val="0024692E"/>
    <w:pPr>
      <w:widowControl/>
      <w:autoSpaceDE/>
      <w:autoSpaceDN/>
      <w:spacing w:after="200" w:line="276" w:lineRule="auto"/>
      <w:ind w:left="0" w:firstLine="360"/>
    </w:pPr>
    <w:rPr>
      <w:rFonts w:ascii="Calibri" w:eastAsia="Calibri" w:hAnsi="Calibri" w:cs="Times New Roman"/>
      <w:sz w:val="22"/>
      <w:szCs w:val="22"/>
      <w:lang w:val="es-MX"/>
    </w:rPr>
  </w:style>
  <w:style w:type="character" w:customStyle="1" w:styleId="TextoindependienteprimerasangraCar">
    <w:name w:val="Texto independiente primera sangría Car"/>
    <w:basedOn w:val="TextoindependienteCar"/>
    <w:link w:val="Textoindependienteprimerasangra"/>
    <w:uiPriority w:val="99"/>
    <w:rsid w:val="0024692E"/>
    <w:rPr>
      <w:rFonts w:ascii="Arial" w:eastAsia="Arial" w:hAnsi="Arial" w:cs="Arial"/>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24692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469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gudis.guanajuato.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B3B54E3-BC24-4061-923D-1B6E4464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4419</Words>
  <Characters>24307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28669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cp:lastModifiedBy>Maleni</cp:lastModifiedBy>
  <cp:revision>5</cp:revision>
  <cp:lastPrinted>2019-10-15T18:09:00Z</cp:lastPrinted>
  <dcterms:created xsi:type="dcterms:W3CDTF">2019-07-16T17:10:00Z</dcterms:created>
  <dcterms:modified xsi:type="dcterms:W3CDTF">2019-10-15T18:10:00Z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