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E7B" w:rsidRPr="00690E7B" w:rsidRDefault="00690E7B" w:rsidP="00690E7B">
      <w:pPr>
        <w:pStyle w:val="Texto"/>
        <w:spacing w:after="0" w:line="240" w:lineRule="exact"/>
        <w:ind w:firstLine="0"/>
        <w:jc w:val="center"/>
        <w:rPr>
          <w:b/>
          <w:sz w:val="20"/>
          <w:lang w:val="es-MX"/>
        </w:rPr>
      </w:pPr>
      <w:r w:rsidRPr="00690E7B">
        <w:rPr>
          <w:b/>
          <w:sz w:val="20"/>
          <w:lang w:val="es-MX"/>
        </w:rPr>
        <w:t>c) NOTAS DE GESTIÓN ADMINISTRATIVA</w:t>
      </w:r>
    </w:p>
    <w:p w:rsidR="00690E7B" w:rsidRPr="00690E7B" w:rsidRDefault="00690E7B" w:rsidP="00690E7B">
      <w:pPr>
        <w:pStyle w:val="Texto"/>
        <w:spacing w:after="0" w:line="240" w:lineRule="exact"/>
        <w:ind w:firstLine="0"/>
        <w:jc w:val="left"/>
        <w:rPr>
          <w:b/>
          <w:sz w:val="20"/>
          <w:lang w:val="es-MX"/>
        </w:rPr>
      </w:pPr>
    </w:p>
    <w:p w:rsidR="00690E7B" w:rsidRPr="00690E7B" w:rsidRDefault="00690E7B" w:rsidP="00690E7B">
      <w:pPr>
        <w:jc w:val="both"/>
        <w:rPr>
          <w:rFonts w:ascii="Arial" w:hAnsi="Arial" w:cs="Arial"/>
          <w:sz w:val="20"/>
          <w:szCs w:val="20"/>
        </w:rPr>
      </w:pPr>
      <w:r w:rsidRPr="00690E7B">
        <w:rPr>
          <w:rFonts w:ascii="Arial" w:hAnsi="Arial" w:cs="Arial"/>
          <w:b/>
          <w:sz w:val="20"/>
          <w:szCs w:val="20"/>
        </w:rPr>
        <w:t>1. Introducción:</w:t>
      </w:r>
      <w:r w:rsidRPr="00690E7B">
        <w:rPr>
          <w:rFonts w:ascii="Arial" w:hAnsi="Arial" w:cs="Arial"/>
          <w:sz w:val="20"/>
          <w:szCs w:val="20"/>
        </w:rPr>
        <w:tab/>
      </w:r>
    </w:p>
    <w:p w:rsidR="00690E7B" w:rsidRPr="00690E7B" w:rsidRDefault="00690E7B" w:rsidP="00690E7B">
      <w:pPr>
        <w:jc w:val="both"/>
        <w:rPr>
          <w:rFonts w:ascii="Arial" w:hAnsi="Arial" w:cs="Arial"/>
          <w:sz w:val="20"/>
          <w:szCs w:val="20"/>
        </w:rPr>
      </w:pPr>
      <w:r w:rsidRPr="00690E7B">
        <w:rPr>
          <w:rFonts w:ascii="Arial" w:hAnsi="Arial" w:cs="Arial"/>
          <w:sz w:val="20"/>
          <w:szCs w:val="20"/>
        </w:rPr>
        <w:t>El Instituto Guanajuatense para las Personas con Discapacidad es el organismo descentralizado del poder ejecutivo del Estado, con personalidad jurídica y patrimonio propios, responsable de la ejecución, promoción e impulso de las acciones en materia de atención, protección, rehabilitación e inclusión de las personas con discapacidad.</w:t>
      </w:r>
    </w:p>
    <w:p w:rsidR="00690E7B" w:rsidRPr="00690E7B" w:rsidRDefault="00690E7B" w:rsidP="00690E7B">
      <w:pPr>
        <w:jc w:val="both"/>
        <w:rPr>
          <w:rFonts w:ascii="Arial" w:hAnsi="Arial" w:cs="Arial"/>
          <w:sz w:val="20"/>
          <w:szCs w:val="20"/>
        </w:rPr>
      </w:pPr>
      <w:r w:rsidRPr="00690E7B">
        <w:rPr>
          <w:rFonts w:ascii="Arial" w:hAnsi="Arial" w:cs="Arial"/>
          <w:sz w:val="20"/>
          <w:szCs w:val="20"/>
        </w:rPr>
        <w:t>El Sistema de Contabilidad Gubernamental que se aplica en el INGUDIS está conformado por el conjunto de registros, procedimientos, criterios e informes estructurados sobre la base de principios técnicos comunes destinados a captar, valuar, registrar, procesar, exponer e interpretar en forma sistemática, las transacciones, transformaciones y eventos identificables y cuantificables que, derivados de la actividad económica del INGUDIS y expresados en términos monetarios, modifican su situación patrimonial y de finanzas públicas. El Sistema de Contabilidad Gubernamental, al que está sujeto el INGUDIS, registra de manera armónica, delimitada y específica las operaciones presupuestarias y contables derivadas de la gestión pública, así como otros flujos económicos. De igual forma, generamos trimestralmente estados financieros, confiables, oportunos, comprensibles, periódicos y comparables, expresados en términos monetarios y publicados en la página de Internet del INGUDIS (</w:t>
      </w:r>
      <w:hyperlink r:id="rId7" w:history="1">
        <w:r w:rsidRPr="00690E7B">
          <w:rPr>
            <w:rFonts w:ascii="Arial" w:hAnsi="Arial" w:cs="Arial"/>
            <w:sz w:val="20"/>
            <w:szCs w:val="20"/>
          </w:rPr>
          <w:t>www.ingudis.guanajuato.gob.mx</w:t>
        </w:r>
      </w:hyperlink>
      <w:r w:rsidRPr="00690E7B">
        <w:rPr>
          <w:rFonts w:ascii="Arial" w:hAnsi="Arial" w:cs="Arial"/>
          <w:sz w:val="20"/>
          <w:szCs w:val="20"/>
        </w:rPr>
        <w:t xml:space="preserve">), </w:t>
      </w:r>
      <w:r w:rsidRPr="00690E7B">
        <w:rPr>
          <w:rFonts w:ascii="Arial" w:hAnsi="Arial" w:cs="Arial"/>
          <w:b/>
          <w:i/>
          <w:sz w:val="20"/>
          <w:szCs w:val="20"/>
        </w:rPr>
        <w:t>sección Información Financiera</w:t>
      </w:r>
      <w:r w:rsidRPr="00690E7B">
        <w:rPr>
          <w:rFonts w:ascii="Arial" w:hAnsi="Arial" w:cs="Arial"/>
          <w:sz w:val="20"/>
          <w:szCs w:val="20"/>
        </w:rPr>
        <w:t xml:space="preserve">. </w:t>
      </w:r>
    </w:p>
    <w:p w:rsidR="00690E7B" w:rsidRPr="00690E7B" w:rsidRDefault="00690E7B" w:rsidP="00690E7B">
      <w:pPr>
        <w:pStyle w:val="Default"/>
        <w:jc w:val="both"/>
        <w:rPr>
          <w:color w:val="auto"/>
          <w:sz w:val="20"/>
          <w:szCs w:val="20"/>
          <w:lang w:eastAsia="en-US"/>
        </w:rPr>
      </w:pPr>
      <w:r w:rsidRPr="00690E7B">
        <w:rPr>
          <w:color w:val="auto"/>
          <w:sz w:val="20"/>
          <w:szCs w:val="20"/>
          <w:lang w:eastAsia="en-US"/>
        </w:rPr>
        <w:t xml:space="preserve">El Artículo 34 de la Ley de Contabilidad establece que “Los registros contables de los entes públicos se llevarán con base acumulativa”; es decir que, “la contabilización de las transacciones de gasto se hará conforme a la fecha de su realización, independientemente de la de su pago, y la del ingreso se registrará cuando exista jurídicamente el derecho de cobro”. </w:t>
      </w:r>
    </w:p>
    <w:p w:rsidR="00690E7B" w:rsidRPr="00690E7B" w:rsidRDefault="00690E7B" w:rsidP="00690E7B">
      <w:pPr>
        <w:pStyle w:val="Default"/>
        <w:jc w:val="both"/>
        <w:rPr>
          <w:color w:val="auto"/>
          <w:sz w:val="20"/>
          <w:szCs w:val="20"/>
          <w:lang w:eastAsia="en-US"/>
        </w:rPr>
      </w:pPr>
    </w:p>
    <w:p w:rsidR="00690E7B" w:rsidRPr="00690E7B" w:rsidRDefault="00690E7B" w:rsidP="00690E7B">
      <w:pPr>
        <w:pStyle w:val="Default"/>
        <w:jc w:val="both"/>
        <w:rPr>
          <w:color w:val="auto"/>
          <w:sz w:val="20"/>
          <w:szCs w:val="20"/>
          <w:lang w:eastAsia="en-US"/>
        </w:rPr>
      </w:pPr>
      <w:r w:rsidRPr="00690E7B">
        <w:rPr>
          <w:color w:val="auto"/>
          <w:sz w:val="20"/>
          <w:szCs w:val="20"/>
          <w:lang w:eastAsia="en-US"/>
        </w:rPr>
        <w:t>Los postulados básicos de contabilidad Gubernamental están armonizados del acuerdo por el que se emite el marco conceptual de contabilidad gubernamental, así como las normas de carácter general que se aplican al interior del INGUDIS, políticas de registro. La lista de cuentas e instructivo de cuentas la guía contabilizadora que contiene la descripción detallada de las principales operaciones; los documentos fuente que respaldan cada operación, señalando su periodicidad durante un ejercicio e incluye las cuentas a afectar tanto contable como presupuestalmente.</w:t>
      </w:r>
    </w:p>
    <w:p w:rsidR="00690E7B" w:rsidRPr="00690E7B" w:rsidRDefault="00690E7B" w:rsidP="00690E7B">
      <w:pPr>
        <w:pStyle w:val="Textoindependiente"/>
        <w:spacing w:before="137"/>
        <w:jc w:val="both"/>
        <w:rPr>
          <w:rFonts w:ascii="Arial" w:eastAsia="Calibri" w:hAnsi="Arial" w:cs="Arial"/>
          <w:sz w:val="20"/>
          <w:szCs w:val="20"/>
          <w:lang w:val="es-MX"/>
        </w:rPr>
      </w:pPr>
      <w:r w:rsidRPr="00690E7B">
        <w:rPr>
          <w:rFonts w:ascii="Arial" w:eastAsia="Calibri" w:hAnsi="Arial" w:cs="Arial"/>
          <w:sz w:val="20"/>
          <w:szCs w:val="20"/>
          <w:lang w:val="es-MX"/>
        </w:rPr>
        <w:t>Finalmente, los principales reportes que genera el Sistema Integral de Hacienda SAP R3 y que responden a las necesidades de información del INGUDIS para cuenta pública que incluye los registros contables, presupuestales y programáticos, indicadores, conciliaciones entre ingreso gasto, tanto presupuestales como contables y finalizando con los formatos de la ley de disciplina financiera.</w:t>
      </w:r>
    </w:p>
    <w:p w:rsidR="00690E7B" w:rsidRPr="00690E7B" w:rsidRDefault="00690E7B" w:rsidP="00690E7B">
      <w:pPr>
        <w:jc w:val="center"/>
        <w:rPr>
          <w:rFonts w:ascii="Arial" w:hAnsi="Arial" w:cs="Arial"/>
          <w:b/>
          <w:sz w:val="20"/>
          <w:szCs w:val="20"/>
        </w:rPr>
      </w:pPr>
    </w:p>
    <w:p w:rsidR="00690E7B" w:rsidRPr="00690E7B" w:rsidRDefault="00690E7B" w:rsidP="00690E7B">
      <w:pPr>
        <w:jc w:val="both"/>
        <w:rPr>
          <w:rFonts w:ascii="Arial" w:hAnsi="Arial" w:cs="Arial"/>
          <w:b/>
          <w:sz w:val="20"/>
          <w:szCs w:val="20"/>
        </w:rPr>
      </w:pPr>
      <w:r w:rsidRPr="00690E7B">
        <w:rPr>
          <w:rFonts w:ascii="Arial" w:hAnsi="Arial" w:cs="Arial"/>
          <w:b/>
          <w:sz w:val="20"/>
          <w:szCs w:val="20"/>
        </w:rPr>
        <w:t>2. Describir el panorama Económico y Financiero:</w:t>
      </w:r>
    </w:p>
    <w:p w:rsidR="00690E7B" w:rsidRPr="00690E7B" w:rsidRDefault="00690E7B" w:rsidP="00690E7B">
      <w:pPr>
        <w:jc w:val="both"/>
        <w:rPr>
          <w:rFonts w:ascii="Arial" w:hAnsi="Arial" w:cs="Arial"/>
          <w:sz w:val="20"/>
          <w:szCs w:val="20"/>
        </w:rPr>
      </w:pPr>
      <w:r w:rsidRPr="00690E7B">
        <w:rPr>
          <w:rFonts w:ascii="Arial" w:hAnsi="Arial" w:cs="Arial"/>
          <w:sz w:val="20"/>
          <w:szCs w:val="20"/>
        </w:rPr>
        <w:t>De acuerdo a información del INEGI 2010 en nuestro país hay 1 millón 795 mil personas con algún tipo de discapacidad física o mental, o con un problema de salud de largo plazo, que les impide realizar con plenitud algunas actividades que llevarían a cabo en condiciones normales. Este volumen representa 1.8% de la población total del país. En el estado de Guanajuato existen aproximadamente 75,000 personas con discapacidad motora.</w:t>
      </w:r>
    </w:p>
    <w:p w:rsidR="00690E7B" w:rsidRPr="00690E7B" w:rsidRDefault="00690E7B" w:rsidP="00690E7B">
      <w:pPr>
        <w:jc w:val="both"/>
        <w:rPr>
          <w:rFonts w:ascii="Arial" w:hAnsi="Arial" w:cs="Arial"/>
          <w:sz w:val="20"/>
          <w:szCs w:val="20"/>
        </w:rPr>
      </w:pPr>
      <w:r w:rsidRPr="00690E7B">
        <w:rPr>
          <w:rFonts w:ascii="Arial" w:hAnsi="Arial" w:cs="Arial"/>
          <w:sz w:val="20"/>
          <w:szCs w:val="20"/>
        </w:rPr>
        <w:t>El porcentaje de personas con algún tipo de discapacidad, según la OMS, es del 10%, lo que corresponde a 585,367 personas en el estado de Guanajuato. De acuerdo a dichas cifras, la discapacidad visual representa el 26% y ello equivale aproximadamente a 152,195 personas con esta discapacidad. En términos mundiales los errores de refracción no corregidos (miopía, hipermetropía, astigmatismo y presbicia) constituyen la causa más importante de la discapacidad visual. En los países de ingresos medios y bajos la catarata sigue siendo la principal causa de ceguera. En la mayoría de los casos se tendrían visión normal con anteojos. Se estima que el 43.24% de la población requiere de servicios optométricos en México. Dicho déficit se incrementará anualmente conforme al crecimiento poblacional.</w:t>
      </w:r>
    </w:p>
    <w:p w:rsidR="00690E7B" w:rsidRPr="00690E7B" w:rsidRDefault="00690E7B" w:rsidP="00690E7B">
      <w:pPr>
        <w:jc w:val="both"/>
        <w:rPr>
          <w:rFonts w:ascii="Arial" w:hAnsi="Arial" w:cs="Arial"/>
          <w:sz w:val="20"/>
          <w:szCs w:val="20"/>
        </w:rPr>
      </w:pPr>
      <w:r w:rsidRPr="00690E7B">
        <w:rPr>
          <w:rFonts w:ascii="Arial" w:hAnsi="Arial" w:cs="Arial"/>
          <w:sz w:val="20"/>
          <w:szCs w:val="20"/>
        </w:rPr>
        <w:t>De acuerdo con la Organización Internacional del Trabajo (OIT), en la actualidad existen en el mundo aproximadamente 386 millones de personas con discapacidad en edad de trabajar, lo cual representa cerca del 60% del total de las personas con discapacidad que se estima hay en el mundo. Sin embargo, un gran porcentaje de este grupo de la población está desempleada y en algunos países, este indicador es superior a 80%.</w:t>
      </w:r>
    </w:p>
    <w:p w:rsidR="00690E7B" w:rsidRPr="00690E7B" w:rsidRDefault="00690E7B" w:rsidP="00690E7B">
      <w:pPr>
        <w:jc w:val="both"/>
        <w:rPr>
          <w:rFonts w:ascii="Arial" w:hAnsi="Arial" w:cs="Arial"/>
          <w:sz w:val="20"/>
          <w:szCs w:val="20"/>
        </w:rPr>
      </w:pPr>
      <w:r w:rsidRPr="00690E7B">
        <w:rPr>
          <w:rFonts w:ascii="Arial" w:hAnsi="Arial" w:cs="Arial"/>
          <w:sz w:val="20"/>
          <w:szCs w:val="20"/>
        </w:rPr>
        <w:t>El Gobierno Estatal ha establecido como estrategias, el referente a la rehabilitación e integración social de personas con discapacidad mediante la atención Integral para las Personas con Discapacidad y el Impulso a las alternativas de Inclusión, rehabilitación, ingreso, empleo para el fortalecimiento familiar, esto a través del Instituto Guanajuatense para las Personas con Discapacidad.</w:t>
      </w:r>
    </w:p>
    <w:p w:rsidR="002A36FF" w:rsidRPr="00202E6E" w:rsidRDefault="00690E7B" w:rsidP="00690E7B">
      <w:pPr>
        <w:jc w:val="both"/>
        <w:rPr>
          <w:rFonts w:ascii="Arial" w:hAnsi="Arial" w:cs="Arial"/>
          <w:sz w:val="20"/>
          <w:szCs w:val="20"/>
        </w:rPr>
      </w:pPr>
      <w:r w:rsidRPr="00202E6E">
        <w:rPr>
          <w:rFonts w:ascii="Arial" w:hAnsi="Arial" w:cs="Arial"/>
          <w:sz w:val="20"/>
          <w:szCs w:val="20"/>
        </w:rPr>
        <w:lastRenderedPageBreak/>
        <w:t>Para la operación y atención de estos grupos vulnerables de conformidad con la información en supra líneas, el instituto opera bajo un presupuesto asignado distribuido en programas de Gestión, Programas operativos y Proyectos de inversión, los recursos son administrados presupuestalmente en el Sistema Integral de Hacienda Pública (SAP R3), para su aplicación los programas presupuestales  y de inversión, cuentan con reglas de operación donde se establecen los procedimientos de otorgamiento de los servicios, cuotas de recuperación, a través de tabuladores y un sistema estructurado de trabajo social que determina el grado de vulnerabilidad del beneficiario a efecto de otorgar igualdad de condiciones en el otorgamiento de los servicios y apoyos, siguiendo el principio de publicidad y difusión en el periódico oficial del Gobierno del Estado, las reglas de operación y los tabuladores son autorizados por el consejo Directivo del Instituto cada año presupuestal para su aplicación</w:t>
      </w:r>
      <w:r w:rsidR="002A36FF" w:rsidRPr="00202E6E">
        <w:rPr>
          <w:rFonts w:ascii="Arial" w:hAnsi="Arial" w:cs="Arial"/>
          <w:sz w:val="20"/>
          <w:szCs w:val="20"/>
        </w:rPr>
        <w:t>.</w:t>
      </w:r>
    </w:p>
    <w:p w:rsidR="00690E7B" w:rsidRPr="00202E6E" w:rsidRDefault="00690E7B" w:rsidP="00690E7B">
      <w:pPr>
        <w:jc w:val="both"/>
        <w:rPr>
          <w:rFonts w:ascii="Arial" w:hAnsi="Arial" w:cs="Arial"/>
          <w:sz w:val="20"/>
          <w:szCs w:val="20"/>
        </w:rPr>
      </w:pPr>
      <w:r w:rsidRPr="00202E6E">
        <w:rPr>
          <w:rFonts w:ascii="Arial" w:hAnsi="Arial" w:cs="Arial"/>
          <w:sz w:val="20"/>
          <w:szCs w:val="20"/>
        </w:rPr>
        <w:t>Los programas presupuestales son evaluados anualmente para determinar su permanencia, corrección, alineación, e integración en un banco de iniciativas de programas, cumpliendo con el proceso de planeación a fin de implementar las mejores políticas públicas y de atención.</w:t>
      </w:r>
    </w:p>
    <w:p w:rsidR="00690E7B" w:rsidRPr="00202E6E" w:rsidRDefault="00690E7B" w:rsidP="00690E7B">
      <w:pPr>
        <w:jc w:val="both"/>
        <w:rPr>
          <w:rFonts w:ascii="Arial" w:hAnsi="Arial" w:cs="Arial"/>
          <w:sz w:val="20"/>
          <w:szCs w:val="20"/>
        </w:rPr>
      </w:pPr>
      <w:r w:rsidRPr="00202E6E">
        <w:rPr>
          <w:rFonts w:ascii="Arial" w:hAnsi="Arial" w:cs="Arial"/>
          <w:sz w:val="20"/>
          <w:szCs w:val="20"/>
        </w:rPr>
        <w:t>Se aclara que los ingresos por cuotas de recuperación de los programas presupuestales asignados a los centros de atención y proyectos de Inversión, se aplican dentro del gasto para la operación y pago de servicios básicos en lo</w:t>
      </w:r>
      <w:r w:rsidR="002A36FF" w:rsidRPr="00202E6E">
        <w:rPr>
          <w:rFonts w:ascii="Arial" w:hAnsi="Arial" w:cs="Arial"/>
          <w:sz w:val="20"/>
          <w:szCs w:val="20"/>
        </w:rPr>
        <w:t>s mismos centros en atención (</w:t>
      </w:r>
      <w:r w:rsidRPr="00202E6E">
        <w:rPr>
          <w:rFonts w:ascii="Arial" w:hAnsi="Arial" w:cs="Arial"/>
          <w:sz w:val="20"/>
          <w:szCs w:val="20"/>
        </w:rPr>
        <w:t>artículo 12 del re</w:t>
      </w:r>
      <w:r w:rsidR="002A36FF" w:rsidRPr="00202E6E">
        <w:rPr>
          <w:rFonts w:ascii="Arial" w:hAnsi="Arial" w:cs="Arial"/>
          <w:sz w:val="20"/>
          <w:szCs w:val="20"/>
        </w:rPr>
        <w:t>glamento Interior del Instituto)</w:t>
      </w:r>
    </w:p>
    <w:p w:rsidR="002A36FF" w:rsidRPr="00202E6E" w:rsidRDefault="002A36FF" w:rsidP="00690E7B">
      <w:pPr>
        <w:jc w:val="both"/>
        <w:rPr>
          <w:rFonts w:ascii="Arial" w:hAnsi="Arial" w:cs="Arial"/>
          <w:b/>
          <w:sz w:val="20"/>
          <w:szCs w:val="20"/>
        </w:rPr>
      </w:pPr>
    </w:p>
    <w:p w:rsidR="00690E7B" w:rsidRPr="00202E6E" w:rsidRDefault="00690E7B" w:rsidP="00690E7B">
      <w:pPr>
        <w:jc w:val="both"/>
        <w:rPr>
          <w:rFonts w:ascii="Arial" w:hAnsi="Arial" w:cs="Arial"/>
          <w:b/>
          <w:sz w:val="20"/>
          <w:szCs w:val="20"/>
        </w:rPr>
      </w:pPr>
      <w:r w:rsidRPr="00202E6E">
        <w:rPr>
          <w:rFonts w:ascii="Arial" w:hAnsi="Arial" w:cs="Arial"/>
          <w:b/>
          <w:sz w:val="20"/>
          <w:szCs w:val="20"/>
        </w:rPr>
        <w:t>3. Autorización e Historia:</w:t>
      </w:r>
    </w:p>
    <w:p w:rsidR="00690E7B" w:rsidRPr="00202E6E" w:rsidRDefault="00690E7B" w:rsidP="00690E7B">
      <w:pPr>
        <w:jc w:val="both"/>
        <w:rPr>
          <w:rFonts w:ascii="Arial" w:hAnsi="Arial" w:cs="Arial"/>
          <w:sz w:val="20"/>
          <w:szCs w:val="20"/>
        </w:rPr>
      </w:pPr>
    </w:p>
    <w:p w:rsidR="00690E7B" w:rsidRPr="00202E6E" w:rsidRDefault="00690E7B" w:rsidP="00690E7B">
      <w:pPr>
        <w:jc w:val="both"/>
        <w:rPr>
          <w:rFonts w:ascii="Arial" w:hAnsi="Arial" w:cs="Arial"/>
          <w:sz w:val="20"/>
          <w:szCs w:val="20"/>
        </w:rPr>
      </w:pPr>
      <w:r w:rsidRPr="00202E6E">
        <w:rPr>
          <w:rFonts w:ascii="Arial" w:hAnsi="Arial" w:cs="Arial"/>
          <w:b/>
          <w:sz w:val="20"/>
          <w:szCs w:val="20"/>
        </w:rPr>
        <w:t>a)</w:t>
      </w:r>
      <w:r w:rsidRPr="00202E6E">
        <w:rPr>
          <w:rFonts w:ascii="Arial" w:hAnsi="Arial" w:cs="Arial"/>
          <w:sz w:val="20"/>
          <w:szCs w:val="20"/>
        </w:rPr>
        <w:t xml:space="preserve"> Fecha de creación del ente.</w:t>
      </w:r>
    </w:p>
    <w:p w:rsidR="00690E7B" w:rsidRPr="00202E6E" w:rsidRDefault="00690E7B" w:rsidP="00690E7B">
      <w:pPr>
        <w:pStyle w:val="Default"/>
        <w:jc w:val="both"/>
        <w:rPr>
          <w:color w:val="auto"/>
          <w:sz w:val="20"/>
          <w:szCs w:val="20"/>
          <w:lang w:eastAsia="en-US"/>
        </w:rPr>
      </w:pPr>
      <w:r w:rsidRPr="00202E6E">
        <w:rPr>
          <w:color w:val="auto"/>
          <w:sz w:val="20"/>
          <w:szCs w:val="20"/>
          <w:lang w:eastAsia="en-US"/>
        </w:rPr>
        <w:t>El 14 de septiembre de 2012, se publicó la Ley de Inclusión</w:t>
      </w:r>
      <w:r w:rsidR="00A03B21" w:rsidRPr="00202E6E">
        <w:rPr>
          <w:color w:val="auto"/>
          <w:sz w:val="20"/>
          <w:szCs w:val="20"/>
          <w:lang w:eastAsia="en-US"/>
        </w:rPr>
        <w:t xml:space="preserve"> para Personas con Discapacidad y</w:t>
      </w:r>
      <w:r w:rsidRPr="00202E6E">
        <w:rPr>
          <w:color w:val="auto"/>
          <w:sz w:val="20"/>
          <w:szCs w:val="20"/>
          <w:lang w:eastAsia="en-US"/>
        </w:rPr>
        <w:t xml:space="preserve"> de acuerdo con el artículo 10 se crea el Instituto Guanajuatense para personas con Discapacidad, Ingudis (Decreto Legislativo 289). </w:t>
      </w:r>
    </w:p>
    <w:p w:rsidR="00690E7B" w:rsidRPr="00202E6E" w:rsidRDefault="00690E7B" w:rsidP="00690E7B">
      <w:pPr>
        <w:pStyle w:val="Default"/>
        <w:jc w:val="both"/>
        <w:rPr>
          <w:color w:val="auto"/>
          <w:sz w:val="20"/>
          <w:szCs w:val="20"/>
          <w:lang w:eastAsia="en-US"/>
        </w:rPr>
      </w:pPr>
    </w:p>
    <w:p w:rsidR="00690E7B" w:rsidRPr="00202E6E" w:rsidRDefault="00690E7B" w:rsidP="00690E7B">
      <w:pPr>
        <w:pStyle w:val="Default"/>
        <w:jc w:val="both"/>
        <w:rPr>
          <w:color w:val="auto"/>
          <w:sz w:val="20"/>
          <w:szCs w:val="20"/>
          <w:lang w:eastAsia="en-US"/>
        </w:rPr>
      </w:pPr>
      <w:r w:rsidRPr="00202E6E">
        <w:rPr>
          <w:color w:val="auto"/>
          <w:sz w:val="20"/>
          <w:szCs w:val="20"/>
          <w:lang w:eastAsia="en-US"/>
        </w:rPr>
        <w:t xml:space="preserve">La Ley dispone que: Los recursos humanos, materiales y financieros del Sistema para el Desarrollo Integral de la Familia, DIF del Estado, destinados para la operación y funcionamiento de la Dirección de Asistencia para Personas con Discapacidad, se reasignen al Instituto Guanajuatense para personas con Discapacidad (artículo 4 transitorio). </w:t>
      </w:r>
    </w:p>
    <w:p w:rsidR="00690E7B" w:rsidRPr="00202E6E" w:rsidRDefault="00690E7B" w:rsidP="00690E7B">
      <w:pPr>
        <w:pStyle w:val="Default"/>
        <w:jc w:val="both"/>
        <w:rPr>
          <w:color w:val="auto"/>
          <w:sz w:val="20"/>
          <w:szCs w:val="20"/>
          <w:lang w:eastAsia="en-US"/>
        </w:rPr>
      </w:pPr>
    </w:p>
    <w:p w:rsidR="00690E7B" w:rsidRPr="00202E6E" w:rsidRDefault="00690E7B" w:rsidP="00690E7B">
      <w:pPr>
        <w:pStyle w:val="Default"/>
        <w:jc w:val="both"/>
        <w:rPr>
          <w:color w:val="auto"/>
          <w:sz w:val="20"/>
          <w:szCs w:val="20"/>
          <w:lang w:eastAsia="en-US"/>
        </w:rPr>
      </w:pPr>
      <w:r w:rsidRPr="00202E6E">
        <w:rPr>
          <w:color w:val="auto"/>
          <w:sz w:val="20"/>
          <w:szCs w:val="20"/>
          <w:lang w:eastAsia="en-US"/>
        </w:rPr>
        <w:t xml:space="preserve">De igual manera dispone que la estructura orgánica y las funciones de la Dirección de Rehabilitación e Inclusión Social de Personas con Discapacidad del DIF, Estatal, se integre como plantilla inicial de 109 plazas y 30 de honorarios. </w:t>
      </w:r>
    </w:p>
    <w:p w:rsidR="00690E7B" w:rsidRPr="00202E6E" w:rsidRDefault="00690E7B" w:rsidP="00690E7B">
      <w:pPr>
        <w:jc w:val="both"/>
        <w:rPr>
          <w:rFonts w:ascii="Arial" w:hAnsi="Arial" w:cs="Arial"/>
          <w:sz w:val="20"/>
          <w:szCs w:val="20"/>
        </w:rPr>
      </w:pPr>
    </w:p>
    <w:p w:rsidR="00690E7B" w:rsidRDefault="00690E7B" w:rsidP="00690E7B">
      <w:pPr>
        <w:jc w:val="both"/>
        <w:rPr>
          <w:rFonts w:ascii="Arial" w:hAnsi="Arial" w:cs="Arial"/>
          <w:sz w:val="20"/>
          <w:szCs w:val="20"/>
        </w:rPr>
      </w:pPr>
      <w:r w:rsidRPr="00202E6E">
        <w:rPr>
          <w:rFonts w:ascii="Arial" w:hAnsi="Arial" w:cs="Arial"/>
          <w:sz w:val="20"/>
          <w:szCs w:val="20"/>
        </w:rPr>
        <w:t>El día 3 de diciembre del 2012 toma protesta el director general del Instituto y se crea el Instituto Guanajuatense para las Personas con Discapacidad y es a partir del 01 de enero del 2013 que el Instituto entra en operaciones, en las instalaciones del DIF estatal ubicadas en paseo de la Presa 73, a partir 26 de noviembre del 2015 inaugura instalaciones en la Cd. De Silao de la Victoria, siendo hasta la fecha las oficinas de la Dirección General y Administrativas, con domicilio en calle hacienda Silao No. 900, Colonia Hacienda. C.P. 36100.</w:t>
      </w:r>
    </w:p>
    <w:p w:rsidR="001555CE" w:rsidRDefault="001555CE" w:rsidP="00690E7B">
      <w:pPr>
        <w:jc w:val="both"/>
        <w:rPr>
          <w:rFonts w:ascii="Arial" w:hAnsi="Arial" w:cs="Arial"/>
          <w:sz w:val="20"/>
          <w:szCs w:val="20"/>
        </w:rPr>
      </w:pPr>
    </w:p>
    <w:p w:rsidR="00690E7B" w:rsidRPr="00202E6E" w:rsidRDefault="00690E7B" w:rsidP="00690E7B">
      <w:pPr>
        <w:jc w:val="both"/>
        <w:rPr>
          <w:rFonts w:ascii="Arial" w:hAnsi="Arial" w:cs="Arial"/>
          <w:sz w:val="20"/>
          <w:szCs w:val="20"/>
        </w:rPr>
      </w:pPr>
      <w:r w:rsidRPr="00202E6E">
        <w:rPr>
          <w:rFonts w:ascii="Arial" w:hAnsi="Arial" w:cs="Arial"/>
          <w:b/>
          <w:sz w:val="20"/>
          <w:szCs w:val="20"/>
        </w:rPr>
        <w:t>b)</w:t>
      </w:r>
      <w:r w:rsidRPr="00202E6E">
        <w:rPr>
          <w:rFonts w:ascii="Arial" w:hAnsi="Arial" w:cs="Arial"/>
          <w:sz w:val="20"/>
          <w:szCs w:val="20"/>
        </w:rPr>
        <w:t xml:space="preserve"> Principales cambios en su estructura (interna históricamente).</w:t>
      </w:r>
    </w:p>
    <w:p w:rsidR="00690E7B" w:rsidRPr="00202E6E" w:rsidRDefault="00690E7B" w:rsidP="00690E7B">
      <w:pPr>
        <w:jc w:val="both"/>
        <w:rPr>
          <w:rFonts w:ascii="Arial" w:hAnsi="Arial" w:cs="Arial"/>
          <w:sz w:val="20"/>
          <w:szCs w:val="20"/>
        </w:rPr>
      </w:pPr>
      <w:r w:rsidRPr="00202E6E">
        <w:rPr>
          <w:rFonts w:ascii="Arial" w:hAnsi="Arial" w:cs="Arial"/>
          <w:sz w:val="20"/>
          <w:szCs w:val="20"/>
        </w:rPr>
        <w:t>El día 3 de diciembre del 2013 se publica el reglamento interior del instituto en el periódico oficial del Gobierno del Estado, número 193 tercera parte, donde se aprueba la estructura orgánica y atribuciones de las áreas que conforman al ente.</w:t>
      </w:r>
    </w:p>
    <w:p w:rsidR="00690E7B" w:rsidRPr="00202E6E" w:rsidRDefault="00690E7B" w:rsidP="00690E7B">
      <w:pPr>
        <w:jc w:val="both"/>
        <w:rPr>
          <w:rFonts w:ascii="Arial" w:hAnsi="Arial" w:cs="Arial"/>
          <w:sz w:val="20"/>
          <w:szCs w:val="20"/>
        </w:rPr>
      </w:pPr>
      <w:r w:rsidRPr="00202E6E">
        <w:rPr>
          <w:rFonts w:ascii="Arial" w:hAnsi="Arial" w:cs="Arial"/>
          <w:sz w:val="20"/>
          <w:szCs w:val="20"/>
        </w:rPr>
        <w:t>Y el 5 de marzo de 2018 en el periódico oficial del gobierno en su tercera parte, se publica el nuevo reglamento del INGUDIS teniendo por objeto regular la estructura, organización, funcionamiento y atribuciones de las unidades administrativas del Instituto, iniciando su vigencia a partir del 6 de marzo del 2018.</w:t>
      </w:r>
    </w:p>
    <w:p w:rsidR="00925E40" w:rsidRDefault="00925E40" w:rsidP="00925E40">
      <w:pPr>
        <w:jc w:val="both"/>
        <w:rPr>
          <w:rFonts w:ascii="Arial" w:hAnsi="Arial" w:cs="Arial"/>
          <w:sz w:val="20"/>
          <w:szCs w:val="20"/>
        </w:rPr>
      </w:pPr>
    </w:p>
    <w:p w:rsidR="00690E7B" w:rsidRDefault="00925E40" w:rsidP="00925E40">
      <w:pPr>
        <w:jc w:val="both"/>
      </w:pPr>
      <w:r>
        <w:rPr>
          <w:rFonts w:ascii="Arial" w:hAnsi="Arial" w:cs="Arial"/>
          <w:sz w:val="20"/>
          <w:szCs w:val="20"/>
        </w:rPr>
        <w:t xml:space="preserve">El 27 de diciembre 2024, se reforma la Ley de Inclusión para las Personas con Discapacidad bajo el decreto número 289, </w:t>
      </w:r>
      <w:r>
        <w:t>se abroga la Ley para las personas con Discapacidad en el Estado de Guanajuato, contenida en el decreto número 121, expedido por la Quincuagésima Octava Legislatura Constitucional del Estado Libre y Soberano de Guanajuato, publicado en el Periódico Oficial del Gobierno del Estado número 84, de fecha 16 de julio de 2002.</w:t>
      </w:r>
    </w:p>
    <w:p w:rsidR="00925E40" w:rsidRDefault="00925E40" w:rsidP="00925E40">
      <w:pPr>
        <w:jc w:val="both"/>
      </w:pPr>
    </w:p>
    <w:p w:rsidR="00925E40" w:rsidRDefault="00925E40" w:rsidP="00925E40">
      <w:pPr>
        <w:jc w:val="both"/>
      </w:pPr>
      <w:r>
        <w:lastRenderedPageBreak/>
        <w:t>La Secretaría de Derechos Humanos, sustituye en su ámbito de competencia, en todas sus obligaciones y asume los compromisos adquiridos por el Instituto Guanajuatense para las Personas con Discapacidad. El Instituto Guanajuatense para las Personas con Discapacidad, entrará en un proceso de liquidación, para tales efectos, en un término de 10 días naturales a partir de la entrada en vigor del presente Decreto, deberá sesionar su órgano de gobierno para nombrar a un liquidador de entre su personal, el cual deberá ser ratificado, mediante oficio, por la persona titular de la Secretaría de Derechos Humanos. En el mismo plazo señalado en el párrafo anterior, el Poder Ejecutivo conformará un Comité de Extinción que generará los lineamientos para la liquidación de dicha entidad y le dará seguimiento a este proceso.</w:t>
      </w:r>
    </w:p>
    <w:p w:rsidR="00925E40" w:rsidRDefault="00925E40" w:rsidP="00925E40">
      <w:pPr>
        <w:jc w:val="both"/>
      </w:pPr>
    </w:p>
    <w:p w:rsidR="00925E40" w:rsidRPr="00202E6E" w:rsidRDefault="00925E40" w:rsidP="00925E40">
      <w:pPr>
        <w:jc w:val="both"/>
        <w:rPr>
          <w:rFonts w:ascii="Arial" w:hAnsi="Arial" w:cs="Arial"/>
          <w:sz w:val="20"/>
          <w:szCs w:val="20"/>
        </w:rPr>
      </w:pPr>
    </w:p>
    <w:p w:rsidR="00690E7B" w:rsidRPr="00202E6E" w:rsidRDefault="00690E7B" w:rsidP="00690E7B">
      <w:pPr>
        <w:jc w:val="both"/>
        <w:rPr>
          <w:rFonts w:ascii="Arial" w:hAnsi="Arial" w:cs="Arial"/>
          <w:b/>
          <w:sz w:val="20"/>
          <w:szCs w:val="20"/>
        </w:rPr>
      </w:pPr>
      <w:r w:rsidRPr="00202E6E">
        <w:rPr>
          <w:rFonts w:ascii="Arial" w:hAnsi="Arial" w:cs="Arial"/>
          <w:b/>
          <w:sz w:val="20"/>
          <w:szCs w:val="20"/>
        </w:rPr>
        <w:t>4. Organización y Objeto Social:</w:t>
      </w:r>
    </w:p>
    <w:p w:rsidR="00690E7B" w:rsidRPr="00202E6E" w:rsidRDefault="00690E7B" w:rsidP="00690E7B">
      <w:pPr>
        <w:jc w:val="both"/>
        <w:rPr>
          <w:rFonts w:ascii="Arial" w:hAnsi="Arial" w:cs="Arial"/>
          <w:sz w:val="20"/>
          <w:szCs w:val="20"/>
        </w:rPr>
      </w:pPr>
    </w:p>
    <w:p w:rsidR="00690E7B" w:rsidRPr="00202E6E" w:rsidRDefault="00690E7B" w:rsidP="00690E7B">
      <w:pPr>
        <w:jc w:val="both"/>
        <w:rPr>
          <w:rFonts w:ascii="Arial" w:hAnsi="Arial" w:cs="Arial"/>
          <w:sz w:val="20"/>
          <w:szCs w:val="20"/>
        </w:rPr>
      </w:pPr>
      <w:r w:rsidRPr="00202E6E">
        <w:rPr>
          <w:rFonts w:ascii="Arial" w:hAnsi="Arial" w:cs="Arial"/>
          <w:b/>
          <w:sz w:val="20"/>
          <w:szCs w:val="20"/>
        </w:rPr>
        <w:t>a)</w:t>
      </w:r>
      <w:r w:rsidRPr="00202E6E">
        <w:rPr>
          <w:rFonts w:ascii="Arial" w:hAnsi="Arial" w:cs="Arial"/>
          <w:sz w:val="20"/>
          <w:szCs w:val="20"/>
        </w:rPr>
        <w:t xml:space="preserve"> Objeto social.</w:t>
      </w:r>
    </w:p>
    <w:p w:rsidR="00690E7B" w:rsidRPr="00202E6E" w:rsidRDefault="00690E7B" w:rsidP="00690E7B">
      <w:pPr>
        <w:jc w:val="both"/>
        <w:rPr>
          <w:rFonts w:ascii="Arial" w:hAnsi="Arial" w:cs="Arial"/>
          <w:sz w:val="20"/>
          <w:szCs w:val="20"/>
        </w:rPr>
      </w:pPr>
      <w:r w:rsidRPr="00202E6E">
        <w:rPr>
          <w:rFonts w:ascii="Arial" w:hAnsi="Arial" w:cs="Arial"/>
          <w:sz w:val="20"/>
          <w:szCs w:val="20"/>
        </w:rPr>
        <w:t>Responsable de la ejecución, promoción e impulso de las acciones en materia de atención, protección, rehabilitación e inclusión de las personas con discapacidad.</w:t>
      </w:r>
    </w:p>
    <w:p w:rsidR="002A36FF" w:rsidRPr="00202E6E" w:rsidRDefault="002A36FF" w:rsidP="00690E7B">
      <w:pPr>
        <w:jc w:val="both"/>
        <w:rPr>
          <w:rFonts w:ascii="Arial" w:hAnsi="Arial" w:cs="Arial"/>
          <w:sz w:val="20"/>
          <w:szCs w:val="20"/>
        </w:rPr>
      </w:pPr>
    </w:p>
    <w:p w:rsidR="002A36FF" w:rsidRPr="00690E7B" w:rsidRDefault="002A36FF" w:rsidP="00690E7B">
      <w:pPr>
        <w:jc w:val="both"/>
        <w:rPr>
          <w:rFonts w:ascii="Arial" w:hAnsi="Arial" w:cs="Arial"/>
          <w:sz w:val="20"/>
          <w:szCs w:val="20"/>
        </w:rPr>
      </w:pPr>
    </w:p>
    <w:p w:rsidR="00690E7B" w:rsidRDefault="00690E7B" w:rsidP="00690E7B">
      <w:pPr>
        <w:jc w:val="both"/>
        <w:rPr>
          <w:rFonts w:ascii="Arial" w:hAnsi="Arial" w:cs="Arial"/>
          <w:sz w:val="20"/>
          <w:szCs w:val="20"/>
        </w:rPr>
      </w:pPr>
      <w:r w:rsidRPr="00690E7B">
        <w:rPr>
          <w:rFonts w:ascii="Arial" w:hAnsi="Arial" w:cs="Arial"/>
          <w:b/>
          <w:sz w:val="20"/>
          <w:szCs w:val="20"/>
        </w:rPr>
        <w:t>b)</w:t>
      </w:r>
      <w:r w:rsidRPr="00690E7B">
        <w:rPr>
          <w:rFonts w:ascii="Arial" w:hAnsi="Arial" w:cs="Arial"/>
          <w:sz w:val="20"/>
          <w:szCs w:val="20"/>
        </w:rPr>
        <w:t xml:space="preserve"> Principal actividad: Centro del sector público dedicado a la atención y cuidado diurno de ancianos y discapacitados.</w:t>
      </w:r>
    </w:p>
    <w:p w:rsidR="002A36FF" w:rsidRPr="00690E7B" w:rsidRDefault="002A36FF" w:rsidP="00690E7B">
      <w:pPr>
        <w:jc w:val="both"/>
        <w:rPr>
          <w:rFonts w:ascii="Arial" w:hAnsi="Arial" w:cs="Arial"/>
          <w:sz w:val="20"/>
          <w:szCs w:val="20"/>
        </w:rPr>
      </w:pPr>
    </w:p>
    <w:p w:rsidR="00F938CD" w:rsidRDefault="00690E7B" w:rsidP="00690E7B">
      <w:pPr>
        <w:tabs>
          <w:tab w:val="center" w:pos="6644"/>
        </w:tabs>
        <w:jc w:val="both"/>
        <w:rPr>
          <w:rFonts w:ascii="Arial" w:hAnsi="Arial" w:cs="Arial"/>
          <w:sz w:val="20"/>
          <w:szCs w:val="20"/>
        </w:rPr>
      </w:pPr>
      <w:r w:rsidRPr="00690E7B">
        <w:rPr>
          <w:rFonts w:ascii="Arial" w:hAnsi="Arial" w:cs="Arial"/>
          <w:b/>
          <w:sz w:val="20"/>
          <w:szCs w:val="20"/>
        </w:rPr>
        <w:t>c)</w:t>
      </w:r>
      <w:r w:rsidRPr="00690E7B">
        <w:rPr>
          <w:rFonts w:ascii="Arial" w:hAnsi="Arial" w:cs="Arial"/>
          <w:sz w:val="20"/>
          <w:szCs w:val="20"/>
        </w:rPr>
        <w:t xml:space="preserve"> Ejercicio fiscal: ENERO A </w:t>
      </w:r>
      <w:r w:rsidR="002968F2">
        <w:rPr>
          <w:rFonts w:ascii="Arial" w:hAnsi="Arial" w:cs="Arial"/>
          <w:sz w:val="20"/>
          <w:szCs w:val="20"/>
        </w:rPr>
        <w:t>DICIEMBRE</w:t>
      </w:r>
      <w:r w:rsidR="00AC0420">
        <w:rPr>
          <w:rFonts w:ascii="Arial" w:hAnsi="Arial" w:cs="Arial"/>
          <w:sz w:val="20"/>
          <w:szCs w:val="20"/>
        </w:rPr>
        <w:t xml:space="preserve"> DEL 2024</w:t>
      </w:r>
      <w:r w:rsidRPr="00690E7B">
        <w:rPr>
          <w:rFonts w:ascii="Arial" w:hAnsi="Arial" w:cs="Arial"/>
          <w:sz w:val="20"/>
          <w:szCs w:val="20"/>
        </w:rPr>
        <w:t>.</w:t>
      </w:r>
    </w:p>
    <w:p w:rsidR="00690E7B" w:rsidRPr="00690E7B" w:rsidRDefault="00690E7B" w:rsidP="00690E7B">
      <w:pPr>
        <w:tabs>
          <w:tab w:val="center" w:pos="6644"/>
        </w:tabs>
        <w:jc w:val="both"/>
        <w:rPr>
          <w:rFonts w:ascii="Arial" w:hAnsi="Arial" w:cs="Arial"/>
          <w:sz w:val="20"/>
          <w:szCs w:val="20"/>
        </w:rPr>
      </w:pPr>
      <w:r w:rsidRPr="00690E7B">
        <w:rPr>
          <w:rFonts w:ascii="Arial" w:hAnsi="Arial" w:cs="Arial"/>
          <w:sz w:val="20"/>
          <w:szCs w:val="20"/>
        </w:rPr>
        <w:tab/>
      </w:r>
    </w:p>
    <w:p w:rsidR="00690E7B" w:rsidRDefault="00690E7B" w:rsidP="00690E7B">
      <w:pPr>
        <w:jc w:val="both"/>
        <w:rPr>
          <w:rFonts w:ascii="Arial" w:hAnsi="Arial" w:cs="Arial"/>
          <w:sz w:val="20"/>
          <w:szCs w:val="20"/>
        </w:rPr>
      </w:pPr>
      <w:r w:rsidRPr="00690E7B">
        <w:rPr>
          <w:rFonts w:ascii="Arial" w:hAnsi="Arial" w:cs="Arial"/>
          <w:b/>
          <w:sz w:val="20"/>
          <w:szCs w:val="20"/>
        </w:rPr>
        <w:t>d)</w:t>
      </w:r>
      <w:r w:rsidRPr="00690E7B">
        <w:rPr>
          <w:rFonts w:ascii="Arial" w:hAnsi="Arial" w:cs="Arial"/>
          <w:sz w:val="20"/>
          <w:szCs w:val="20"/>
        </w:rPr>
        <w:t xml:space="preserve"> Régimen jurídico: Persona moral sin fines de lucro.</w:t>
      </w:r>
    </w:p>
    <w:p w:rsidR="002A36FF" w:rsidRPr="00690E7B" w:rsidRDefault="002A36FF" w:rsidP="00690E7B">
      <w:pPr>
        <w:jc w:val="both"/>
        <w:rPr>
          <w:rFonts w:ascii="Arial" w:hAnsi="Arial" w:cs="Arial"/>
          <w:sz w:val="20"/>
          <w:szCs w:val="20"/>
        </w:rPr>
      </w:pPr>
    </w:p>
    <w:p w:rsidR="00690E7B" w:rsidRPr="00690E7B" w:rsidRDefault="00690E7B" w:rsidP="00690E7B">
      <w:pPr>
        <w:jc w:val="both"/>
        <w:rPr>
          <w:rFonts w:ascii="Arial" w:hAnsi="Arial" w:cs="Arial"/>
          <w:sz w:val="20"/>
          <w:szCs w:val="20"/>
        </w:rPr>
      </w:pPr>
      <w:r w:rsidRPr="00690E7B">
        <w:rPr>
          <w:rFonts w:ascii="Arial" w:hAnsi="Arial" w:cs="Arial"/>
          <w:b/>
          <w:sz w:val="20"/>
          <w:szCs w:val="20"/>
        </w:rPr>
        <w:t>e)</w:t>
      </w:r>
      <w:r w:rsidRPr="00690E7B">
        <w:rPr>
          <w:rFonts w:ascii="Arial" w:hAnsi="Arial" w:cs="Arial"/>
          <w:sz w:val="20"/>
          <w:szCs w:val="20"/>
        </w:rPr>
        <w:t xml:space="preserve"> Consideraciones fiscales del ente: </w:t>
      </w:r>
    </w:p>
    <w:p w:rsidR="00690E7B" w:rsidRPr="00690E7B" w:rsidRDefault="00690E7B" w:rsidP="00690E7B">
      <w:pPr>
        <w:numPr>
          <w:ilvl w:val="0"/>
          <w:numId w:val="1"/>
        </w:numPr>
        <w:jc w:val="both"/>
        <w:rPr>
          <w:rFonts w:ascii="Arial" w:hAnsi="Arial" w:cs="Arial"/>
          <w:sz w:val="20"/>
          <w:szCs w:val="20"/>
        </w:rPr>
      </w:pPr>
      <w:r w:rsidRPr="00690E7B">
        <w:rPr>
          <w:rFonts w:ascii="Arial" w:hAnsi="Arial" w:cs="Arial"/>
          <w:sz w:val="20"/>
          <w:szCs w:val="20"/>
        </w:rPr>
        <w:t>Presentar declaración y pago provisional mensual de retenciones de impuesto sobre la renta por sueldos y salarios.</w:t>
      </w:r>
    </w:p>
    <w:p w:rsidR="00690E7B" w:rsidRPr="00690E7B" w:rsidRDefault="00690E7B" w:rsidP="00690E7B">
      <w:pPr>
        <w:numPr>
          <w:ilvl w:val="0"/>
          <w:numId w:val="1"/>
        </w:numPr>
        <w:jc w:val="both"/>
        <w:rPr>
          <w:rFonts w:ascii="Arial" w:hAnsi="Arial" w:cs="Arial"/>
          <w:sz w:val="20"/>
          <w:szCs w:val="20"/>
        </w:rPr>
      </w:pPr>
      <w:r w:rsidRPr="00690E7B">
        <w:rPr>
          <w:rFonts w:ascii="Arial" w:hAnsi="Arial" w:cs="Arial"/>
          <w:sz w:val="20"/>
          <w:szCs w:val="20"/>
        </w:rPr>
        <w:t>Presentación de declaración anual de impuesto sobre la renta donde se informa sobre los pagos y retenciones de servicios profesionales.</w:t>
      </w:r>
    </w:p>
    <w:p w:rsidR="00690E7B" w:rsidRPr="00690E7B" w:rsidRDefault="00690E7B" w:rsidP="00690E7B">
      <w:pPr>
        <w:numPr>
          <w:ilvl w:val="0"/>
          <w:numId w:val="1"/>
        </w:numPr>
        <w:jc w:val="both"/>
        <w:rPr>
          <w:rFonts w:ascii="Arial" w:hAnsi="Arial" w:cs="Arial"/>
          <w:sz w:val="20"/>
          <w:szCs w:val="20"/>
        </w:rPr>
      </w:pPr>
      <w:r w:rsidRPr="00690E7B">
        <w:rPr>
          <w:rFonts w:ascii="Arial" w:hAnsi="Arial" w:cs="Arial"/>
          <w:sz w:val="20"/>
          <w:szCs w:val="20"/>
        </w:rPr>
        <w:t>Presentar declaración anual donde se informa sobre las retenciones de los trabajadores que recibieron sueldos y salarios y trabajadores asimilados a salarios.</w:t>
      </w:r>
    </w:p>
    <w:p w:rsidR="00690E7B" w:rsidRPr="00690E7B" w:rsidRDefault="00690E7B" w:rsidP="00690E7B">
      <w:pPr>
        <w:numPr>
          <w:ilvl w:val="0"/>
          <w:numId w:val="1"/>
        </w:numPr>
        <w:jc w:val="both"/>
        <w:rPr>
          <w:rFonts w:ascii="Arial" w:hAnsi="Arial" w:cs="Arial"/>
          <w:sz w:val="20"/>
          <w:szCs w:val="20"/>
        </w:rPr>
      </w:pPr>
      <w:r w:rsidRPr="00690E7B">
        <w:rPr>
          <w:rFonts w:ascii="Arial" w:hAnsi="Arial" w:cs="Arial"/>
          <w:sz w:val="20"/>
          <w:szCs w:val="20"/>
        </w:rPr>
        <w:t>Presentar declaración y pago provisional mensual sobre el impuesto sobre la renta por las retenciones realizadas a los trabajadores asimilados a salarios.</w:t>
      </w:r>
    </w:p>
    <w:p w:rsidR="00690E7B" w:rsidRPr="00690E7B" w:rsidRDefault="00690E7B" w:rsidP="00690E7B">
      <w:pPr>
        <w:numPr>
          <w:ilvl w:val="0"/>
          <w:numId w:val="1"/>
        </w:numPr>
        <w:jc w:val="both"/>
        <w:rPr>
          <w:rFonts w:ascii="Arial" w:hAnsi="Arial" w:cs="Arial"/>
          <w:sz w:val="20"/>
          <w:szCs w:val="20"/>
        </w:rPr>
      </w:pPr>
      <w:r w:rsidRPr="00690E7B">
        <w:rPr>
          <w:rFonts w:ascii="Arial" w:hAnsi="Arial" w:cs="Arial"/>
          <w:sz w:val="20"/>
          <w:szCs w:val="20"/>
        </w:rPr>
        <w:t>Presentar la declaración informativa anual de subsidio para el empleo.</w:t>
      </w:r>
    </w:p>
    <w:p w:rsidR="00690E7B" w:rsidRPr="00690E7B" w:rsidRDefault="00690E7B" w:rsidP="00690E7B">
      <w:pPr>
        <w:numPr>
          <w:ilvl w:val="0"/>
          <w:numId w:val="1"/>
        </w:numPr>
        <w:jc w:val="both"/>
        <w:rPr>
          <w:rFonts w:ascii="Arial" w:hAnsi="Arial" w:cs="Arial"/>
          <w:sz w:val="20"/>
          <w:szCs w:val="20"/>
        </w:rPr>
      </w:pPr>
      <w:r w:rsidRPr="00690E7B">
        <w:rPr>
          <w:rFonts w:ascii="Arial" w:hAnsi="Arial" w:cs="Arial"/>
          <w:sz w:val="20"/>
          <w:szCs w:val="20"/>
        </w:rPr>
        <w:t>Presentar la declaración y pago provisional mensual de impuesto sobre la renta por las retenciones realizadas por servicios profesionales</w:t>
      </w:r>
    </w:p>
    <w:p w:rsidR="00690E7B" w:rsidRPr="00F938CD" w:rsidRDefault="00690E7B" w:rsidP="00F938CD">
      <w:pPr>
        <w:ind w:left="720"/>
        <w:rPr>
          <w:rFonts w:ascii="Arial" w:hAnsi="Arial" w:cs="Arial"/>
          <w:sz w:val="20"/>
          <w:szCs w:val="20"/>
        </w:rPr>
      </w:pPr>
      <w:r w:rsidRPr="00F938CD">
        <w:rPr>
          <w:rFonts w:ascii="Arial" w:hAnsi="Arial" w:cs="Arial"/>
          <w:sz w:val="20"/>
          <w:szCs w:val="20"/>
        </w:rPr>
        <w:t>Presentar declaración informativa mensual de prov</w:t>
      </w:r>
      <w:r w:rsidR="006E4078">
        <w:rPr>
          <w:rFonts w:ascii="Arial" w:hAnsi="Arial" w:cs="Arial"/>
          <w:sz w:val="20"/>
          <w:szCs w:val="20"/>
        </w:rPr>
        <w:t>eedores por tasas de IVA.</w:t>
      </w:r>
    </w:p>
    <w:p w:rsidR="00690E7B" w:rsidRPr="00690E7B" w:rsidRDefault="00690E7B" w:rsidP="00690E7B">
      <w:pPr>
        <w:jc w:val="both"/>
        <w:rPr>
          <w:rFonts w:ascii="Arial" w:hAnsi="Arial" w:cs="Arial"/>
          <w:sz w:val="20"/>
          <w:szCs w:val="20"/>
        </w:rPr>
      </w:pPr>
      <w:r w:rsidRPr="00690E7B">
        <w:rPr>
          <w:rFonts w:ascii="Arial" w:hAnsi="Arial" w:cs="Arial"/>
          <w:sz w:val="20"/>
          <w:szCs w:val="20"/>
        </w:rPr>
        <w:t xml:space="preserve"> </w:t>
      </w:r>
    </w:p>
    <w:p w:rsidR="00690E7B" w:rsidRPr="00690E7B" w:rsidRDefault="00690E7B" w:rsidP="00690E7B">
      <w:pPr>
        <w:jc w:val="both"/>
        <w:rPr>
          <w:rFonts w:ascii="Arial" w:hAnsi="Arial" w:cs="Arial"/>
          <w:sz w:val="20"/>
          <w:szCs w:val="20"/>
        </w:rPr>
      </w:pPr>
      <w:r w:rsidRPr="00690E7B">
        <w:rPr>
          <w:rFonts w:ascii="Arial" w:hAnsi="Arial" w:cs="Arial"/>
          <w:b/>
          <w:sz w:val="20"/>
          <w:szCs w:val="20"/>
        </w:rPr>
        <w:t>f)</w:t>
      </w:r>
      <w:r w:rsidRPr="00690E7B">
        <w:rPr>
          <w:rFonts w:ascii="Arial" w:hAnsi="Arial" w:cs="Arial"/>
          <w:sz w:val="20"/>
          <w:szCs w:val="20"/>
        </w:rPr>
        <w:t xml:space="preserve"> Estructura organizacional básica.</w:t>
      </w:r>
    </w:p>
    <w:p w:rsidR="00690E7B" w:rsidRPr="00690E7B" w:rsidRDefault="00690E7B" w:rsidP="00690E7B">
      <w:pPr>
        <w:jc w:val="center"/>
        <w:rPr>
          <w:rFonts w:ascii="Arial" w:hAnsi="Arial" w:cs="Arial"/>
          <w:b/>
          <w:sz w:val="20"/>
          <w:szCs w:val="20"/>
        </w:rPr>
      </w:pPr>
      <w:r w:rsidRPr="00690E7B">
        <w:rPr>
          <w:rFonts w:ascii="Arial" w:hAnsi="Arial" w:cs="Arial"/>
          <w:b/>
          <w:noProof/>
          <w:sz w:val="20"/>
          <w:szCs w:val="20"/>
          <w:lang w:eastAsia="es-MX"/>
        </w:rPr>
        <w:lastRenderedPageBreak/>
        <w:drawing>
          <wp:inline distT="0" distB="0" distL="0" distR="0" wp14:anchorId="11DD0334" wp14:editId="66D0AFD0">
            <wp:extent cx="7716406" cy="328104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31170" cy="3287323"/>
                    </a:xfrm>
                    <a:prstGeom prst="rect">
                      <a:avLst/>
                    </a:prstGeom>
                    <a:noFill/>
                    <a:ln>
                      <a:noFill/>
                    </a:ln>
                  </pic:spPr>
                </pic:pic>
              </a:graphicData>
            </a:graphic>
          </wp:inline>
        </w:drawing>
      </w:r>
    </w:p>
    <w:p w:rsidR="00C958D0" w:rsidRDefault="00C958D0" w:rsidP="00690E7B">
      <w:pPr>
        <w:jc w:val="both"/>
        <w:rPr>
          <w:rFonts w:ascii="Arial" w:hAnsi="Arial" w:cs="Arial"/>
          <w:b/>
          <w:sz w:val="20"/>
          <w:szCs w:val="20"/>
        </w:rPr>
      </w:pPr>
    </w:p>
    <w:p w:rsidR="002A36FF" w:rsidRDefault="002A36FF" w:rsidP="00690E7B">
      <w:pPr>
        <w:jc w:val="both"/>
        <w:rPr>
          <w:rFonts w:ascii="Arial" w:hAnsi="Arial" w:cs="Arial"/>
          <w:b/>
          <w:sz w:val="20"/>
          <w:szCs w:val="20"/>
        </w:rPr>
      </w:pPr>
    </w:p>
    <w:p w:rsidR="002A36FF" w:rsidRDefault="002A36FF" w:rsidP="00690E7B">
      <w:pPr>
        <w:jc w:val="both"/>
        <w:rPr>
          <w:rFonts w:ascii="Arial" w:hAnsi="Arial" w:cs="Arial"/>
          <w:b/>
          <w:sz w:val="20"/>
          <w:szCs w:val="20"/>
        </w:rPr>
      </w:pPr>
    </w:p>
    <w:p w:rsidR="002A36FF" w:rsidRDefault="002A36FF" w:rsidP="00690E7B">
      <w:pPr>
        <w:jc w:val="both"/>
        <w:rPr>
          <w:rFonts w:ascii="Arial" w:hAnsi="Arial" w:cs="Arial"/>
          <w:b/>
          <w:sz w:val="20"/>
          <w:szCs w:val="20"/>
        </w:rPr>
      </w:pPr>
    </w:p>
    <w:p w:rsidR="00690E7B" w:rsidRPr="005E0A54" w:rsidRDefault="00690E7B" w:rsidP="00690E7B">
      <w:pPr>
        <w:jc w:val="both"/>
        <w:rPr>
          <w:rFonts w:ascii="Arial" w:hAnsi="Arial" w:cs="Arial"/>
          <w:sz w:val="20"/>
          <w:szCs w:val="20"/>
        </w:rPr>
      </w:pPr>
      <w:r w:rsidRPr="005E0A54">
        <w:rPr>
          <w:rFonts w:ascii="Arial" w:hAnsi="Arial" w:cs="Arial"/>
          <w:b/>
          <w:sz w:val="20"/>
          <w:szCs w:val="20"/>
        </w:rPr>
        <w:t>g)</w:t>
      </w:r>
      <w:r w:rsidRPr="005E0A54">
        <w:rPr>
          <w:rFonts w:ascii="Arial" w:hAnsi="Arial" w:cs="Arial"/>
          <w:sz w:val="20"/>
          <w:szCs w:val="20"/>
        </w:rPr>
        <w:t xml:space="preserve"> Fideicomisos, mandatos y análogos de los cuales es fideicomitente o fiduciario.</w:t>
      </w:r>
    </w:p>
    <w:p w:rsidR="00690E7B" w:rsidRPr="005E0A54" w:rsidRDefault="00AD34E7" w:rsidP="00690E7B">
      <w:pPr>
        <w:jc w:val="both"/>
        <w:rPr>
          <w:rFonts w:ascii="Arial" w:hAnsi="Arial" w:cs="Arial"/>
          <w:sz w:val="20"/>
          <w:szCs w:val="20"/>
        </w:rPr>
      </w:pPr>
      <w:r w:rsidRPr="005E0A54">
        <w:rPr>
          <w:rFonts w:ascii="Arial" w:hAnsi="Arial" w:cs="Arial"/>
          <w:sz w:val="20"/>
          <w:szCs w:val="20"/>
        </w:rPr>
        <w:t xml:space="preserve">El Instituto no </w:t>
      </w:r>
      <w:r w:rsidR="00690E7B" w:rsidRPr="005E0A54">
        <w:rPr>
          <w:rFonts w:ascii="Arial" w:hAnsi="Arial" w:cs="Arial"/>
          <w:sz w:val="20"/>
          <w:szCs w:val="20"/>
        </w:rPr>
        <w:t>cuenta con Fideicomisos</w:t>
      </w:r>
    </w:p>
    <w:p w:rsidR="00690E7B" w:rsidRPr="005E0A54" w:rsidRDefault="00690E7B" w:rsidP="00690E7B">
      <w:pPr>
        <w:jc w:val="both"/>
        <w:rPr>
          <w:rFonts w:ascii="Arial" w:hAnsi="Arial" w:cs="Arial"/>
          <w:sz w:val="20"/>
          <w:szCs w:val="20"/>
        </w:rPr>
      </w:pPr>
    </w:p>
    <w:p w:rsidR="00690E7B" w:rsidRPr="005E0A54" w:rsidRDefault="00690E7B" w:rsidP="00690E7B">
      <w:pPr>
        <w:jc w:val="both"/>
        <w:rPr>
          <w:rFonts w:ascii="Arial" w:hAnsi="Arial" w:cs="Arial"/>
          <w:b/>
          <w:sz w:val="20"/>
          <w:szCs w:val="20"/>
        </w:rPr>
      </w:pPr>
      <w:r w:rsidRPr="005E0A54">
        <w:rPr>
          <w:rFonts w:ascii="Arial" w:hAnsi="Arial" w:cs="Arial"/>
          <w:b/>
          <w:sz w:val="20"/>
          <w:szCs w:val="20"/>
        </w:rPr>
        <w:t>5. Bases de Preparación de los Estados Financieros:</w:t>
      </w:r>
    </w:p>
    <w:p w:rsidR="00A32176" w:rsidRPr="005E0A54" w:rsidRDefault="007C32AD" w:rsidP="00A32176">
      <w:pPr>
        <w:pStyle w:val="Prrafodelista"/>
        <w:numPr>
          <w:ilvl w:val="0"/>
          <w:numId w:val="6"/>
        </w:numPr>
        <w:jc w:val="both"/>
        <w:rPr>
          <w:rFonts w:ascii="Arial" w:hAnsi="Arial" w:cs="Arial"/>
          <w:sz w:val="20"/>
          <w:szCs w:val="20"/>
        </w:rPr>
      </w:pPr>
      <w:r w:rsidRPr="005E0A54">
        <w:rPr>
          <w:rFonts w:ascii="Arial" w:hAnsi="Arial" w:cs="Arial"/>
          <w:sz w:val="20"/>
          <w:szCs w:val="20"/>
        </w:rPr>
        <w:t>Se ha observado la normatividad emitida por el CONAC y las disposiciones legales aplicables</w:t>
      </w:r>
    </w:p>
    <w:p w:rsidR="007C32AD" w:rsidRPr="005E0A54" w:rsidRDefault="007C32AD" w:rsidP="007C32AD">
      <w:pPr>
        <w:pStyle w:val="Prrafodelista"/>
        <w:jc w:val="both"/>
        <w:rPr>
          <w:rFonts w:ascii="Arial" w:hAnsi="Arial" w:cs="Arial"/>
          <w:sz w:val="20"/>
          <w:szCs w:val="20"/>
        </w:rPr>
      </w:pPr>
      <w:r w:rsidRPr="005E0A54">
        <w:rPr>
          <w:rFonts w:ascii="Arial" w:hAnsi="Arial" w:cs="Arial"/>
          <w:sz w:val="20"/>
          <w:szCs w:val="20"/>
        </w:rPr>
        <w:t>Las bases de la preparación de los Estados Financieros observan la normatividad emitida por el CONAC y las disposiciones legales aplicables.</w:t>
      </w:r>
    </w:p>
    <w:p w:rsidR="007C32AD" w:rsidRPr="005E0A54" w:rsidRDefault="007C32AD" w:rsidP="007C32AD">
      <w:pPr>
        <w:pStyle w:val="Prrafodelista"/>
        <w:jc w:val="both"/>
        <w:rPr>
          <w:rFonts w:ascii="Arial" w:hAnsi="Arial" w:cs="Arial"/>
          <w:sz w:val="20"/>
          <w:szCs w:val="20"/>
        </w:rPr>
      </w:pPr>
      <w:r w:rsidRPr="005E0A54">
        <w:rPr>
          <w:rFonts w:ascii="Arial" w:hAnsi="Arial" w:cs="Arial"/>
          <w:sz w:val="20"/>
          <w:szCs w:val="20"/>
        </w:rPr>
        <w:t>Aunado a lo anterior se entrega la información financiera mediante el sistema denominado SAP R/3 el cual es dirigido por la SFIYA y cumple con los criterios emitidos por el CONAC.</w:t>
      </w:r>
    </w:p>
    <w:p w:rsidR="007C32AD" w:rsidRPr="005E0A54" w:rsidRDefault="007C32AD" w:rsidP="007C32AD">
      <w:pPr>
        <w:pStyle w:val="Prrafodelista"/>
        <w:jc w:val="both"/>
        <w:rPr>
          <w:rFonts w:ascii="Arial" w:hAnsi="Arial" w:cs="Arial"/>
          <w:sz w:val="20"/>
          <w:szCs w:val="20"/>
        </w:rPr>
      </w:pPr>
    </w:p>
    <w:p w:rsidR="00A32176" w:rsidRPr="005E0A54" w:rsidRDefault="007C32AD" w:rsidP="00A32176">
      <w:pPr>
        <w:pStyle w:val="Prrafodelista"/>
        <w:numPr>
          <w:ilvl w:val="0"/>
          <w:numId w:val="6"/>
        </w:numPr>
        <w:jc w:val="both"/>
        <w:rPr>
          <w:rFonts w:ascii="Arial" w:hAnsi="Arial" w:cs="Arial"/>
          <w:sz w:val="20"/>
          <w:szCs w:val="20"/>
        </w:rPr>
      </w:pPr>
      <w:r w:rsidRPr="005E0A54">
        <w:rPr>
          <w:rFonts w:ascii="Arial" w:hAnsi="Arial" w:cs="Arial"/>
          <w:sz w:val="20"/>
          <w:szCs w:val="20"/>
        </w:rPr>
        <w:t xml:space="preserve">La normatividad aplicada para el reconocimiento, valuación y revelación de los diferentes rubros de la información </w:t>
      </w:r>
      <w:r w:rsidR="00C56568" w:rsidRPr="005E0A54">
        <w:rPr>
          <w:rFonts w:ascii="Arial" w:hAnsi="Arial" w:cs="Arial"/>
          <w:sz w:val="20"/>
          <w:szCs w:val="20"/>
        </w:rPr>
        <w:t>financiera,</w:t>
      </w:r>
      <w:r w:rsidRPr="005E0A54">
        <w:rPr>
          <w:rFonts w:ascii="Arial" w:hAnsi="Arial" w:cs="Arial"/>
          <w:sz w:val="20"/>
          <w:szCs w:val="20"/>
        </w:rPr>
        <w:t xml:space="preserve"> así como las bases de medición utilizadas para la elaboración de los Estados Financieros: costo histórico, va</w:t>
      </w:r>
      <w:r w:rsidR="00C56568" w:rsidRPr="005E0A54">
        <w:rPr>
          <w:rFonts w:ascii="Arial" w:hAnsi="Arial" w:cs="Arial"/>
          <w:sz w:val="20"/>
          <w:szCs w:val="20"/>
        </w:rPr>
        <w:t>l</w:t>
      </w:r>
      <w:r w:rsidRPr="005E0A54">
        <w:rPr>
          <w:rFonts w:ascii="Arial" w:hAnsi="Arial" w:cs="Arial"/>
          <w:sz w:val="20"/>
          <w:szCs w:val="20"/>
        </w:rPr>
        <w:t xml:space="preserve">or de realización, valor razonable, valor de recuperación o cualquier otro método </w:t>
      </w:r>
      <w:r w:rsidR="00C56568" w:rsidRPr="005E0A54">
        <w:rPr>
          <w:rFonts w:ascii="Arial" w:hAnsi="Arial" w:cs="Arial"/>
          <w:sz w:val="20"/>
          <w:szCs w:val="20"/>
        </w:rPr>
        <w:t>empleado y los criterios de aplicación de los mismos.</w:t>
      </w:r>
    </w:p>
    <w:p w:rsidR="007C32AD" w:rsidRPr="005E0A54" w:rsidRDefault="007C32AD" w:rsidP="007C32AD">
      <w:pPr>
        <w:pStyle w:val="Prrafodelista"/>
        <w:jc w:val="both"/>
        <w:rPr>
          <w:rFonts w:ascii="Arial" w:hAnsi="Arial" w:cs="Arial"/>
          <w:sz w:val="20"/>
          <w:szCs w:val="20"/>
        </w:rPr>
      </w:pPr>
    </w:p>
    <w:p w:rsidR="007C32AD" w:rsidRPr="005E0A54" w:rsidRDefault="007C32AD" w:rsidP="007C32AD">
      <w:pPr>
        <w:pStyle w:val="Prrafodelista"/>
        <w:jc w:val="both"/>
        <w:rPr>
          <w:rFonts w:ascii="Arial" w:hAnsi="Arial" w:cs="Arial"/>
          <w:sz w:val="20"/>
          <w:szCs w:val="20"/>
        </w:rPr>
      </w:pPr>
    </w:p>
    <w:p w:rsidR="00A32176" w:rsidRPr="005E0A54" w:rsidRDefault="00A32176" w:rsidP="00A32176">
      <w:pPr>
        <w:pStyle w:val="Prrafodelista"/>
        <w:numPr>
          <w:ilvl w:val="0"/>
          <w:numId w:val="6"/>
        </w:numPr>
        <w:jc w:val="both"/>
        <w:rPr>
          <w:rFonts w:ascii="Arial" w:hAnsi="Arial" w:cs="Arial"/>
          <w:sz w:val="20"/>
          <w:szCs w:val="20"/>
        </w:rPr>
      </w:pPr>
      <w:r w:rsidRPr="005E0A54">
        <w:rPr>
          <w:rFonts w:ascii="Arial" w:hAnsi="Arial" w:cs="Arial"/>
          <w:sz w:val="20"/>
          <w:szCs w:val="20"/>
        </w:rPr>
        <w:t>Postul</w:t>
      </w:r>
      <w:r w:rsidR="00C56568" w:rsidRPr="005E0A54">
        <w:rPr>
          <w:rFonts w:ascii="Arial" w:hAnsi="Arial" w:cs="Arial"/>
          <w:sz w:val="20"/>
          <w:szCs w:val="20"/>
        </w:rPr>
        <w:t>ados básicos de registro contable, el devengo del ingreso entre otros que aún se encuentran en fase de desarrollo de los diferentes rubros de la Información Financiera.</w:t>
      </w:r>
    </w:p>
    <w:p w:rsidR="00C56568" w:rsidRPr="005E0A54" w:rsidRDefault="00C56568" w:rsidP="00C56568">
      <w:pPr>
        <w:pStyle w:val="Prrafodelista"/>
        <w:jc w:val="both"/>
        <w:rPr>
          <w:rFonts w:ascii="Arial" w:hAnsi="Arial" w:cs="Arial"/>
          <w:sz w:val="20"/>
          <w:szCs w:val="20"/>
        </w:rPr>
      </w:pPr>
    </w:p>
    <w:p w:rsidR="00A32176" w:rsidRPr="005E0A54" w:rsidRDefault="00A32176" w:rsidP="00A32176">
      <w:pPr>
        <w:pStyle w:val="Prrafodelista"/>
        <w:numPr>
          <w:ilvl w:val="0"/>
          <w:numId w:val="6"/>
        </w:numPr>
        <w:jc w:val="both"/>
        <w:rPr>
          <w:rFonts w:ascii="Arial" w:hAnsi="Arial" w:cs="Arial"/>
          <w:sz w:val="20"/>
          <w:szCs w:val="20"/>
        </w:rPr>
      </w:pPr>
      <w:r w:rsidRPr="005E0A54">
        <w:rPr>
          <w:rFonts w:ascii="Arial" w:hAnsi="Arial" w:cs="Arial"/>
          <w:sz w:val="20"/>
          <w:szCs w:val="20"/>
        </w:rPr>
        <w:t xml:space="preserve">Normatividad supletoria. </w:t>
      </w:r>
      <w:r w:rsidR="00C56568" w:rsidRPr="005E0A54">
        <w:rPr>
          <w:rFonts w:ascii="Arial" w:hAnsi="Arial" w:cs="Arial"/>
          <w:sz w:val="20"/>
          <w:szCs w:val="20"/>
        </w:rPr>
        <w:t>EL Instituto no aplica supletoriedad en sus operaciones.</w:t>
      </w:r>
    </w:p>
    <w:p w:rsidR="00C56568" w:rsidRPr="005E0A54" w:rsidRDefault="00C56568" w:rsidP="00C56568">
      <w:pPr>
        <w:pStyle w:val="Prrafodelista"/>
        <w:rPr>
          <w:rFonts w:ascii="Arial" w:hAnsi="Arial" w:cs="Arial"/>
          <w:sz w:val="20"/>
          <w:szCs w:val="20"/>
        </w:rPr>
      </w:pPr>
    </w:p>
    <w:p w:rsidR="00C56568" w:rsidRPr="005E0A54" w:rsidRDefault="00C56568" w:rsidP="00C56568">
      <w:pPr>
        <w:jc w:val="both"/>
        <w:rPr>
          <w:rFonts w:ascii="Arial" w:hAnsi="Arial" w:cs="Arial"/>
          <w:sz w:val="20"/>
          <w:szCs w:val="20"/>
        </w:rPr>
      </w:pPr>
    </w:p>
    <w:p w:rsidR="00A32176" w:rsidRPr="005E0A54" w:rsidRDefault="00C56568" w:rsidP="00A32176">
      <w:pPr>
        <w:pStyle w:val="Prrafodelista"/>
        <w:numPr>
          <w:ilvl w:val="0"/>
          <w:numId w:val="6"/>
        </w:numPr>
        <w:jc w:val="both"/>
        <w:rPr>
          <w:rFonts w:ascii="Arial" w:hAnsi="Arial" w:cs="Arial"/>
          <w:sz w:val="20"/>
          <w:szCs w:val="20"/>
        </w:rPr>
      </w:pPr>
      <w:r w:rsidRPr="005E0A54">
        <w:rPr>
          <w:rFonts w:ascii="Arial" w:hAnsi="Arial" w:cs="Arial"/>
          <w:sz w:val="20"/>
          <w:szCs w:val="20"/>
        </w:rPr>
        <w:t>Para las entidades que por primera vez estén implementando el base devengado de acuerdo a la Ley de Contabilidad, deberán:</w:t>
      </w:r>
    </w:p>
    <w:p w:rsidR="00C56568" w:rsidRPr="005E0A54" w:rsidRDefault="00C56568" w:rsidP="00C56568">
      <w:pPr>
        <w:pStyle w:val="Prrafodelista"/>
        <w:numPr>
          <w:ilvl w:val="0"/>
          <w:numId w:val="7"/>
        </w:numPr>
        <w:jc w:val="both"/>
        <w:rPr>
          <w:rFonts w:ascii="Arial" w:hAnsi="Arial" w:cs="Arial"/>
          <w:sz w:val="20"/>
          <w:szCs w:val="20"/>
        </w:rPr>
      </w:pPr>
      <w:r w:rsidRPr="005E0A54">
        <w:rPr>
          <w:rFonts w:ascii="Arial" w:hAnsi="Arial" w:cs="Arial"/>
          <w:sz w:val="20"/>
          <w:szCs w:val="20"/>
        </w:rPr>
        <w:t>Revelar las nuevas políticas de reconocimiento:</w:t>
      </w:r>
    </w:p>
    <w:p w:rsidR="00C56568" w:rsidRPr="005E0A54" w:rsidRDefault="00C56568" w:rsidP="00C56568">
      <w:pPr>
        <w:pStyle w:val="Prrafodelista"/>
        <w:jc w:val="both"/>
        <w:rPr>
          <w:rFonts w:ascii="Arial" w:hAnsi="Arial" w:cs="Arial"/>
          <w:sz w:val="20"/>
          <w:szCs w:val="20"/>
        </w:rPr>
      </w:pPr>
      <w:r w:rsidRPr="005E0A54">
        <w:rPr>
          <w:rFonts w:ascii="Arial" w:hAnsi="Arial" w:cs="Arial"/>
          <w:sz w:val="20"/>
          <w:szCs w:val="20"/>
        </w:rPr>
        <w:t xml:space="preserve">Este apartado no aplica para el Instituto </w:t>
      </w:r>
    </w:p>
    <w:p w:rsidR="00C56568" w:rsidRPr="005E0A54" w:rsidRDefault="00C56568" w:rsidP="00C56568">
      <w:pPr>
        <w:pStyle w:val="Prrafodelista"/>
        <w:numPr>
          <w:ilvl w:val="0"/>
          <w:numId w:val="7"/>
        </w:numPr>
        <w:jc w:val="both"/>
        <w:rPr>
          <w:rFonts w:ascii="Arial" w:hAnsi="Arial" w:cs="Arial"/>
          <w:sz w:val="20"/>
          <w:szCs w:val="20"/>
        </w:rPr>
      </w:pPr>
      <w:r w:rsidRPr="005E0A54">
        <w:rPr>
          <w:rFonts w:ascii="Arial" w:hAnsi="Arial" w:cs="Arial"/>
          <w:sz w:val="20"/>
          <w:szCs w:val="20"/>
        </w:rPr>
        <w:t xml:space="preserve">Plan de Implementación </w:t>
      </w:r>
    </w:p>
    <w:p w:rsidR="00C56568" w:rsidRPr="005E0A54" w:rsidRDefault="00C56568" w:rsidP="00C56568">
      <w:pPr>
        <w:pStyle w:val="Prrafodelista"/>
        <w:jc w:val="both"/>
        <w:rPr>
          <w:rFonts w:ascii="Arial" w:hAnsi="Arial" w:cs="Arial"/>
          <w:sz w:val="20"/>
          <w:szCs w:val="20"/>
        </w:rPr>
      </w:pPr>
      <w:r w:rsidRPr="005E0A54">
        <w:rPr>
          <w:rFonts w:ascii="Arial" w:hAnsi="Arial" w:cs="Arial"/>
          <w:sz w:val="20"/>
          <w:szCs w:val="20"/>
        </w:rPr>
        <w:t xml:space="preserve">Este apartado no aplica para el Instituto </w:t>
      </w:r>
    </w:p>
    <w:p w:rsidR="00C56568" w:rsidRPr="005E0A54" w:rsidRDefault="00C56568" w:rsidP="00C56568">
      <w:pPr>
        <w:pStyle w:val="Prrafodelista"/>
        <w:numPr>
          <w:ilvl w:val="0"/>
          <w:numId w:val="7"/>
        </w:numPr>
        <w:jc w:val="both"/>
        <w:rPr>
          <w:rFonts w:ascii="Arial" w:hAnsi="Arial" w:cs="Arial"/>
          <w:sz w:val="20"/>
          <w:szCs w:val="20"/>
        </w:rPr>
      </w:pPr>
      <w:r w:rsidRPr="005E0A54">
        <w:rPr>
          <w:rFonts w:ascii="Arial" w:hAnsi="Arial" w:cs="Arial"/>
          <w:sz w:val="20"/>
          <w:szCs w:val="20"/>
        </w:rPr>
        <w:t xml:space="preserve">Revelar los cambios en las políticas, la clasificación y medición de las </w:t>
      </w:r>
      <w:r w:rsidR="0031609F" w:rsidRPr="005E0A54">
        <w:rPr>
          <w:rFonts w:ascii="Arial" w:hAnsi="Arial" w:cs="Arial"/>
          <w:sz w:val="20"/>
          <w:szCs w:val="20"/>
        </w:rPr>
        <w:t>mismas,</w:t>
      </w:r>
      <w:r w:rsidRPr="005E0A54">
        <w:rPr>
          <w:rFonts w:ascii="Arial" w:hAnsi="Arial" w:cs="Arial"/>
          <w:sz w:val="20"/>
          <w:szCs w:val="20"/>
        </w:rPr>
        <w:t xml:space="preserve"> así como su impacto en la Información Financiera</w:t>
      </w:r>
      <w:r w:rsidR="0031609F" w:rsidRPr="005E0A54">
        <w:rPr>
          <w:rFonts w:ascii="Arial" w:hAnsi="Arial" w:cs="Arial"/>
          <w:sz w:val="20"/>
          <w:szCs w:val="20"/>
        </w:rPr>
        <w:t>.</w:t>
      </w:r>
    </w:p>
    <w:p w:rsidR="0031609F" w:rsidRPr="005E0A54" w:rsidRDefault="0031609F" w:rsidP="0031609F">
      <w:pPr>
        <w:pStyle w:val="Prrafodelista"/>
        <w:numPr>
          <w:ilvl w:val="0"/>
          <w:numId w:val="7"/>
        </w:numPr>
        <w:jc w:val="both"/>
        <w:rPr>
          <w:rFonts w:ascii="Arial" w:hAnsi="Arial" w:cs="Arial"/>
          <w:sz w:val="20"/>
          <w:szCs w:val="20"/>
        </w:rPr>
      </w:pPr>
      <w:r w:rsidRPr="005E0A54">
        <w:rPr>
          <w:rFonts w:ascii="Arial" w:hAnsi="Arial" w:cs="Arial"/>
          <w:sz w:val="20"/>
          <w:szCs w:val="20"/>
        </w:rPr>
        <w:t xml:space="preserve">Este apartado no aplica para el Instituto </w:t>
      </w:r>
    </w:p>
    <w:p w:rsidR="00C56568" w:rsidRPr="005E0A54" w:rsidRDefault="00C56568" w:rsidP="00C56568">
      <w:pPr>
        <w:ind w:left="360"/>
        <w:jc w:val="both"/>
        <w:rPr>
          <w:rFonts w:ascii="Arial" w:hAnsi="Arial" w:cs="Arial"/>
          <w:sz w:val="20"/>
          <w:szCs w:val="20"/>
        </w:rPr>
      </w:pPr>
    </w:p>
    <w:p w:rsidR="00A32176" w:rsidRPr="005E0A54" w:rsidRDefault="00A32176" w:rsidP="00A32176">
      <w:pPr>
        <w:pStyle w:val="Prrafodelista"/>
        <w:jc w:val="both"/>
        <w:rPr>
          <w:rFonts w:ascii="Arial" w:hAnsi="Arial" w:cs="Arial"/>
          <w:sz w:val="20"/>
          <w:szCs w:val="20"/>
        </w:rPr>
      </w:pPr>
    </w:p>
    <w:p w:rsidR="00690E7B" w:rsidRPr="005E0A54" w:rsidRDefault="00690E7B" w:rsidP="00690E7B">
      <w:pPr>
        <w:jc w:val="both"/>
        <w:rPr>
          <w:rFonts w:ascii="Arial" w:hAnsi="Arial" w:cs="Arial"/>
          <w:b/>
          <w:sz w:val="20"/>
          <w:szCs w:val="20"/>
        </w:rPr>
      </w:pPr>
      <w:r w:rsidRPr="005E0A54">
        <w:rPr>
          <w:rFonts w:ascii="Arial" w:hAnsi="Arial" w:cs="Arial"/>
          <w:b/>
          <w:sz w:val="20"/>
          <w:szCs w:val="20"/>
        </w:rPr>
        <w:t>6. Políticas de Contabilidad Significativas:</w:t>
      </w:r>
    </w:p>
    <w:p w:rsidR="00690E7B" w:rsidRPr="005E0A54" w:rsidRDefault="00690E7B" w:rsidP="00690E7B">
      <w:pPr>
        <w:jc w:val="both"/>
        <w:rPr>
          <w:rFonts w:ascii="Arial" w:hAnsi="Arial" w:cs="Arial"/>
          <w:sz w:val="20"/>
          <w:szCs w:val="20"/>
        </w:rPr>
      </w:pPr>
      <w:r w:rsidRPr="005E0A54">
        <w:rPr>
          <w:rFonts w:ascii="Arial" w:hAnsi="Arial" w:cs="Arial"/>
          <w:sz w:val="20"/>
          <w:szCs w:val="20"/>
        </w:rPr>
        <w:t>Se informará sobre:</w:t>
      </w:r>
    </w:p>
    <w:p w:rsidR="0031609F" w:rsidRPr="005E0A54" w:rsidRDefault="0031609F" w:rsidP="00690E7B">
      <w:pPr>
        <w:jc w:val="both"/>
        <w:rPr>
          <w:rFonts w:ascii="Arial" w:hAnsi="Arial" w:cs="Arial"/>
          <w:sz w:val="20"/>
          <w:szCs w:val="20"/>
        </w:rPr>
      </w:pPr>
    </w:p>
    <w:p w:rsidR="0031609F" w:rsidRPr="005E0A54" w:rsidRDefault="00690E7B" w:rsidP="0031609F">
      <w:pPr>
        <w:pStyle w:val="Prrafodelista"/>
        <w:numPr>
          <w:ilvl w:val="0"/>
          <w:numId w:val="8"/>
        </w:numPr>
        <w:jc w:val="both"/>
        <w:rPr>
          <w:rFonts w:ascii="Arial" w:hAnsi="Arial" w:cs="Arial"/>
          <w:sz w:val="20"/>
          <w:szCs w:val="20"/>
        </w:rPr>
      </w:pPr>
      <w:r w:rsidRPr="005E0A54">
        <w:rPr>
          <w:rFonts w:ascii="Arial" w:hAnsi="Arial" w:cs="Arial"/>
          <w:sz w:val="20"/>
          <w:szCs w:val="20"/>
        </w:rPr>
        <w:t>Actualización</w:t>
      </w:r>
    </w:p>
    <w:p w:rsidR="00690E7B" w:rsidRPr="005E0A54" w:rsidRDefault="00690E7B" w:rsidP="0031609F">
      <w:pPr>
        <w:ind w:left="360"/>
        <w:jc w:val="both"/>
        <w:rPr>
          <w:rFonts w:ascii="Arial" w:hAnsi="Arial" w:cs="Arial"/>
          <w:sz w:val="20"/>
          <w:szCs w:val="20"/>
        </w:rPr>
      </w:pPr>
      <w:r w:rsidRPr="005E0A54">
        <w:rPr>
          <w:rFonts w:ascii="Arial" w:hAnsi="Arial" w:cs="Arial"/>
          <w:sz w:val="20"/>
          <w:szCs w:val="20"/>
        </w:rPr>
        <w:t>Normatividad emitida por el CONAC y las disposiciones legales aplicables.</w:t>
      </w:r>
    </w:p>
    <w:p w:rsidR="0031609F" w:rsidRPr="005E0A54" w:rsidRDefault="0031609F" w:rsidP="0031609F">
      <w:pPr>
        <w:ind w:left="360"/>
        <w:jc w:val="both"/>
        <w:rPr>
          <w:rFonts w:ascii="Arial" w:hAnsi="Arial" w:cs="Arial"/>
          <w:sz w:val="20"/>
          <w:szCs w:val="20"/>
        </w:rPr>
      </w:pPr>
    </w:p>
    <w:p w:rsidR="00690E7B" w:rsidRPr="005E0A54" w:rsidRDefault="00690E7B" w:rsidP="0031609F">
      <w:pPr>
        <w:ind w:firstLine="360"/>
        <w:jc w:val="both"/>
        <w:rPr>
          <w:rFonts w:ascii="Arial" w:hAnsi="Arial" w:cs="Arial"/>
          <w:sz w:val="20"/>
          <w:szCs w:val="20"/>
        </w:rPr>
      </w:pPr>
      <w:r w:rsidRPr="005E0A54">
        <w:rPr>
          <w:rFonts w:ascii="Arial" w:hAnsi="Arial" w:cs="Arial"/>
          <w:b/>
          <w:sz w:val="20"/>
          <w:szCs w:val="20"/>
        </w:rPr>
        <w:t>b)</w:t>
      </w:r>
      <w:r w:rsidRPr="005E0A54">
        <w:rPr>
          <w:rFonts w:ascii="Arial" w:hAnsi="Arial" w:cs="Arial"/>
          <w:sz w:val="20"/>
          <w:szCs w:val="20"/>
        </w:rPr>
        <w:t xml:space="preserve"> Informar sobre la realización de operaciones en el extranjero y de sus efectos en la información financiera gubernamental:</w:t>
      </w:r>
    </w:p>
    <w:p w:rsidR="00690E7B" w:rsidRPr="005E0A54" w:rsidRDefault="0031609F" w:rsidP="0031609F">
      <w:pPr>
        <w:ind w:firstLine="360"/>
        <w:jc w:val="both"/>
        <w:rPr>
          <w:rFonts w:ascii="Arial" w:hAnsi="Arial" w:cs="Arial"/>
          <w:sz w:val="20"/>
          <w:szCs w:val="20"/>
        </w:rPr>
      </w:pPr>
      <w:r w:rsidRPr="005E0A54">
        <w:rPr>
          <w:rFonts w:ascii="Arial" w:hAnsi="Arial" w:cs="Arial"/>
          <w:sz w:val="20"/>
          <w:szCs w:val="20"/>
        </w:rPr>
        <w:t>El Instituto no realiza operaciones en el extranjero</w:t>
      </w:r>
    </w:p>
    <w:p w:rsidR="0031609F" w:rsidRPr="005E0A54" w:rsidRDefault="0031609F" w:rsidP="0031609F">
      <w:pPr>
        <w:ind w:firstLine="360"/>
        <w:jc w:val="both"/>
        <w:rPr>
          <w:rFonts w:ascii="Arial" w:hAnsi="Arial" w:cs="Arial"/>
          <w:sz w:val="20"/>
          <w:szCs w:val="20"/>
        </w:rPr>
      </w:pPr>
    </w:p>
    <w:p w:rsidR="00690E7B" w:rsidRPr="005E0A54" w:rsidRDefault="00690E7B" w:rsidP="0031609F">
      <w:pPr>
        <w:ind w:firstLine="360"/>
        <w:jc w:val="both"/>
        <w:rPr>
          <w:rFonts w:ascii="Arial" w:hAnsi="Arial" w:cs="Arial"/>
          <w:sz w:val="20"/>
          <w:szCs w:val="20"/>
        </w:rPr>
      </w:pPr>
      <w:r w:rsidRPr="005E0A54">
        <w:rPr>
          <w:rFonts w:ascii="Arial" w:hAnsi="Arial" w:cs="Arial"/>
          <w:b/>
          <w:sz w:val="20"/>
          <w:szCs w:val="20"/>
        </w:rPr>
        <w:t>c)</w:t>
      </w:r>
      <w:r w:rsidRPr="005E0A54">
        <w:rPr>
          <w:rFonts w:ascii="Arial" w:hAnsi="Arial" w:cs="Arial"/>
          <w:sz w:val="20"/>
          <w:szCs w:val="20"/>
        </w:rPr>
        <w:t xml:space="preserve"> Método de valuación de la inversión en acciones de Compañías subsidiarias no consolidadas y asociadas:</w:t>
      </w:r>
    </w:p>
    <w:p w:rsidR="00690E7B" w:rsidRPr="005E0A54" w:rsidRDefault="0031609F" w:rsidP="0031609F">
      <w:pPr>
        <w:ind w:firstLine="360"/>
        <w:jc w:val="both"/>
        <w:rPr>
          <w:rFonts w:ascii="Arial" w:hAnsi="Arial" w:cs="Arial"/>
          <w:sz w:val="20"/>
          <w:szCs w:val="20"/>
        </w:rPr>
      </w:pPr>
      <w:r w:rsidRPr="005E0A54">
        <w:rPr>
          <w:rFonts w:ascii="Arial" w:hAnsi="Arial" w:cs="Arial"/>
          <w:sz w:val="20"/>
          <w:szCs w:val="20"/>
        </w:rPr>
        <w:t xml:space="preserve">Este apartado no aplica para el Instituto  </w:t>
      </w:r>
    </w:p>
    <w:p w:rsidR="0031609F" w:rsidRDefault="0031609F" w:rsidP="0031609F">
      <w:pPr>
        <w:ind w:firstLine="360"/>
        <w:jc w:val="both"/>
        <w:rPr>
          <w:rFonts w:ascii="Arial" w:hAnsi="Arial" w:cs="Arial"/>
          <w:sz w:val="20"/>
          <w:szCs w:val="20"/>
        </w:rPr>
      </w:pPr>
    </w:p>
    <w:p w:rsidR="0031609F" w:rsidRPr="00690E7B" w:rsidRDefault="0031609F" w:rsidP="00690E7B">
      <w:pPr>
        <w:jc w:val="both"/>
        <w:rPr>
          <w:rFonts w:ascii="Arial" w:hAnsi="Arial" w:cs="Arial"/>
          <w:sz w:val="20"/>
          <w:szCs w:val="20"/>
        </w:rPr>
      </w:pPr>
    </w:p>
    <w:p w:rsidR="00690E7B" w:rsidRPr="0031609F" w:rsidRDefault="00690E7B" w:rsidP="0031609F">
      <w:pPr>
        <w:ind w:firstLine="360"/>
        <w:jc w:val="both"/>
        <w:rPr>
          <w:rFonts w:ascii="Arial" w:hAnsi="Arial" w:cs="Arial"/>
          <w:sz w:val="20"/>
          <w:szCs w:val="20"/>
        </w:rPr>
      </w:pPr>
      <w:r w:rsidRPr="0031609F">
        <w:rPr>
          <w:rFonts w:ascii="Arial" w:hAnsi="Arial" w:cs="Arial"/>
          <w:b/>
          <w:sz w:val="20"/>
          <w:szCs w:val="20"/>
        </w:rPr>
        <w:t>d)</w:t>
      </w:r>
      <w:r w:rsidRPr="0031609F">
        <w:rPr>
          <w:rFonts w:ascii="Arial" w:hAnsi="Arial" w:cs="Arial"/>
          <w:sz w:val="20"/>
          <w:szCs w:val="20"/>
        </w:rPr>
        <w:t xml:space="preserve"> Sistema y método de valuación de inventarios y costo de lo vendido:</w:t>
      </w:r>
    </w:p>
    <w:p w:rsidR="0031609F" w:rsidRPr="0031609F" w:rsidRDefault="0031609F" w:rsidP="0031609F">
      <w:pPr>
        <w:ind w:left="360"/>
        <w:jc w:val="both"/>
        <w:rPr>
          <w:rFonts w:ascii="Arial" w:hAnsi="Arial" w:cs="Arial"/>
          <w:sz w:val="20"/>
          <w:szCs w:val="20"/>
        </w:rPr>
      </w:pPr>
      <w:r w:rsidRPr="0031609F">
        <w:rPr>
          <w:rFonts w:ascii="Arial" w:hAnsi="Arial" w:cs="Arial"/>
          <w:color w:val="202124"/>
          <w:sz w:val="20"/>
          <w:szCs w:val="20"/>
          <w:shd w:val="clear" w:color="auto" w:fill="FFFFFF"/>
        </w:rPr>
        <w:t>Los </w:t>
      </w:r>
      <w:r w:rsidRPr="0031609F">
        <w:rPr>
          <w:rFonts w:ascii="Arial" w:hAnsi="Arial" w:cs="Arial"/>
          <w:bCs/>
          <w:color w:val="202124"/>
          <w:sz w:val="20"/>
          <w:szCs w:val="20"/>
          <w:shd w:val="clear" w:color="auto" w:fill="FFFFFF"/>
        </w:rPr>
        <w:t>inventarios</w:t>
      </w:r>
      <w:r w:rsidRPr="0031609F">
        <w:rPr>
          <w:rFonts w:ascii="Arial" w:hAnsi="Arial" w:cs="Arial"/>
          <w:color w:val="202124"/>
          <w:sz w:val="20"/>
          <w:szCs w:val="20"/>
          <w:shd w:val="clear" w:color="auto" w:fill="FFFFFF"/>
        </w:rPr>
        <w:t> se encuentran </w:t>
      </w:r>
      <w:r w:rsidRPr="0031609F">
        <w:rPr>
          <w:rFonts w:ascii="Arial" w:hAnsi="Arial" w:cs="Arial"/>
          <w:bCs/>
          <w:color w:val="202124"/>
          <w:sz w:val="20"/>
          <w:szCs w:val="20"/>
          <w:shd w:val="clear" w:color="auto" w:fill="FFFFFF"/>
        </w:rPr>
        <w:t>valuados</w:t>
      </w:r>
      <w:r w:rsidRPr="0031609F">
        <w:rPr>
          <w:rFonts w:ascii="Arial" w:hAnsi="Arial" w:cs="Arial"/>
          <w:color w:val="202124"/>
          <w:sz w:val="20"/>
          <w:szCs w:val="20"/>
          <w:shd w:val="clear" w:color="auto" w:fill="FFFFFF"/>
        </w:rPr>
        <w:t> a los últimos precios de adquisición de mercancías, y en el Estado de Resultado</w:t>
      </w:r>
      <w:r>
        <w:rPr>
          <w:rFonts w:ascii="Arial" w:hAnsi="Arial" w:cs="Arial"/>
          <w:color w:val="202124"/>
          <w:sz w:val="20"/>
          <w:szCs w:val="20"/>
          <w:shd w:val="clear" w:color="auto" w:fill="FFFFFF"/>
        </w:rPr>
        <w:t>s</w:t>
      </w:r>
      <w:r w:rsidRPr="0031609F">
        <w:rPr>
          <w:rFonts w:ascii="Arial" w:hAnsi="Arial" w:cs="Arial"/>
          <w:color w:val="202124"/>
          <w:sz w:val="20"/>
          <w:szCs w:val="20"/>
          <w:shd w:val="clear" w:color="auto" w:fill="FFFFFF"/>
        </w:rPr>
        <w:t>, el </w:t>
      </w:r>
      <w:r w:rsidRPr="0031609F">
        <w:rPr>
          <w:rFonts w:ascii="Arial" w:hAnsi="Arial" w:cs="Arial"/>
          <w:bCs/>
          <w:color w:val="202124"/>
          <w:sz w:val="20"/>
          <w:szCs w:val="20"/>
          <w:shd w:val="clear" w:color="auto" w:fill="FFFFFF"/>
        </w:rPr>
        <w:t>costo de lo vendido</w:t>
      </w:r>
      <w:r w:rsidRPr="0031609F">
        <w:rPr>
          <w:rFonts w:ascii="Arial" w:hAnsi="Arial" w:cs="Arial"/>
          <w:color w:val="202124"/>
          <w:sz w:val="20"/>
          <w:szCs w:val="20"/>
          <w:shd w:val="clear" w:color="auto" w:fill="FFFFFF"/>
        </w:rPr>
        <w:t> se encuentra </w:t>
      </w:r>
      <w:r w:rsidRPr="0031609F">
        <w:rPr>
          <w:rFonts w:ascii="Arial" w:hAnsi="Arial" w:cs="Arial"/>
          <w:bCs/>
          <w:color w:val="202124"/>
          <w:sz w:val="20"/>
          <w:szCs w:val="20"/>
          <w:shd w:val="clear" w:color="auto" w:fill="FFFFFF"/>
        </w:rPr>
        <w:t>valuado</w:t>
      </w:r>
      <w:r w:rsidRPr="0031609F">
        <w:rPr>
          <w:rFonts w:ascii="Arial" w:hAnsi="Arial" w:cs="Arial"/>
          <w:color w:val="202124"/>
          <w:sz w:val="20"/>
          <w:szCs w:val="20"/>
          <w:shd w:val="clear" w:color="auto" w:fill="FFFFFF"/>
        </w:rPr>
        <w:t> a los prec</w:t>
      </w:r>
      <w:r>
        <w:rPr>
          <w:rFonts w:ascii="Arial" w:hAnsi="Arial" w:cs="Arial"/>
          <w:color w:val="202124"/>
          <w:sz w:val="20"/>
          <w:szCs w:val="20"/>
          <w:shd w:val="clear" w:color="auto" w:fill="FFFFFF"/>
        </w:rPr>
        <w:t>ios de adquisición de las primeras</w:t>
      </w:r>
      <w:r w:rsidRPr="0031609F">
        <w:rPr>
          <w:rFonts w:ascii="Arial" w:hAnsi="Arial" w:cs="Arial"/>
          <w:color w:val="202124"/>
          <w:sz w:val="20"/>
          <w:szCs w:val="20"/>
          <w:shd w:val="clear" w:color="auto" w:fill="FFFFFF"/>
        </w:rPr>
        <w:t xml:space="preserve"> compras realizadas.</w:t>
      </w:r>
      <w:r w:rsidRPr="0031609F">
        <w:rPr>
          <w:rFonts w:ascii="Arial" w:hAnsi="Arial" w:cs="Arial"/>
          <w:sz w:val="20"/>
          <w:szCs w:val="20"/>
        </w:rPr>
        <w:t xml:space="preserve"> </w:t>
      </w:r>
    </w:p>
    <w:p w:rsidR="0031609F" w:rsidRPr="0031609F" w:rsidRDefault="0031609F" w:rsidP="00690E7B">
      <w:pPr>
        <w:jc w:val="both"/>
        <w:rPr>
          <w:rFonts w:ascii="Arial" w:hAnsi="Arial" w:cs="Arial"/>
          <w:sz w:val="20"/>
          <w:szCs w:val="20"/>
        </w:rPr>
      </w:pPr>
    </w:p>
    <w:p w:rsidR="00690E7B" w:rsidRPr="00690E7B" w:rsidRDefault="00690E7B" w:rsidP="0031609F">
      <w:pPr>
        <w:ind w:left="360"/>
        <w:jc w:val="both"/>
        <w:rPr>
          <w:rFonts w:ascii="Arial" w:hAnsi="Arial" w:cs="Arial"/>
          <w:sz w:val="20"/>
          <w:szCs w:val="20"/>
        </w:rPr>
      </w:pPr>
      <w:r w:rsidRPr="00690E7B">
        <w:rPr>
          <w:rFonts w:ascii="Arial" w:hAnsi="Arial" w:cs="Arial"/>
          <w:b/>
          <w:sz w:val="20"/>
          <w:szCs w:val="20"/>
        </w:rPr>
        <w:t>e)</w:t>
      </w:r>
      <w:r w:rsidRPr="00690E7B">
        <w:rPr>
          <w:rFonts w:ascii="Arial" w:hAnsi="Arial" w:cs="Arial"/>
          <w:sz w:val="20"/>
          <w:szCs w:val="20"/>
        </w:rPr>
        <w:t xml:space="preserve"> Beneficios a empleados</w:t>
      </w:r>
    </w:p>
    <w:p w:rsidR="00690E7B" w:rsidRDefault="00151B06" w:rsidP="00151B06">
      <w:pPr>
        <w:ind w:left="360"/>
        <w:jc w:val="both"/>
        <w:rPr>
          <w:rFonts w:ascii="Arial" w:hAnsi="Arial" w:cs="Arial"/>
          <w:sz w:val="20"/>
          <w:szCs w:val="20"/>
        </w:rPr>
      </w:pPr>
      <w:r>
        <w:rPr>
          <w:rFonts w:ascii="Arial" w:hAnsi="Arial" w:cs="Arial"/>
          <w:sz w:val="20"/>
          <w:szCs w:val="20"/>
        </w:rPr>
        <w:t>Los beneficios otorgados a los empleados están acordes a lo establecido en la normatividad y regulaciones aplicables mediante los instrumentos jurídicos y legales emitidos por la SFIYA del Estado de Guanajuato.</w:t>
      </w:r>
    </w:p>
    <w:p w:rsidR="00151B06" w:rsidRPr="00690E7B" w:rsidRDefault="00151B06" w:rsidP="00151B06">
      <w:pPr>
        <w:ind w:left="360"/>
        <w:jc w:val="both"/>
        <w:rPr>
          <w:rFonts w:ascii="Arial" w:hAnsi="Arial" w:cs="Arial"/>
          <w:sz w:val="20"/>
          <w:szCs w:val="20"/>
        </w:rPr>
      </w:pPr>
    </w:p>
    <w:p w:rsidR="00690E7B" w:rsidRPr="00690E7B" w:rsidRDefault="00690E7B" w:rsidP="0031609F">
      <w:pPr>
        <w:ind w:firstLine="360"/>
        <w:jc w:val="both"/>
        <w:rPr>
          <w:rFonts w:ascii="Arial" w:hAnsi="Arial" w:cs="Arial"/>
          <w:sz w:val="20"/>
          <w:szCs w:val="20"/>
        </w:rPr>
      </w:pPr>
      <w:r w:rsidRPr="00690E7B">
        <w:rPr>
          <w:rFonts w:ascii="Arial" w:hAnsi="Arial" w:cs="Arial"/>
          <w:b/>
          <w:sz w:val="20"/>
          <w:szCs w:val="20"/>
        </w:rPr>
        <w:t>f)</w:t>
      </w:r>
      <w:r w:rsidRPr="00690E7B">
        <w:rPr>
          <w:rFonts w:ascii="Arial" w:hAnsi="Arial" w:cs="Arial"/>
          <w:sz w:val="20"/>
          <w:szCs w:val="20"/>
        </w:rPr>
        <w:t xml:space="preserve"> Provisiones: objetivo de su creación, monto y plazo:</w:t>
      </w:r>
    </w:p>
    <w:p w:rsidR="00F44F46" w:rsidRDefault="00F44F46" w:rsidP="0031609F">
      <w:pPr>
        <w:ind w:firstLine="360"/>
        <w:jc w:val="both"/>
        <w:rPr>
          <w:rFonts w:ascii="Arial" w:hAnsi="Arial" w:cs="Arial"/>
          <w:sz w:val="20"/>
          <w:szCs w:val="20"/>
        </w:rPr>
      </w:pPr>
      <w:r>
        <w:rPr>
          <w:rFonts w:ascii="Arial" w:hAnsi="Arial" w:cs="Arial"/>
          <w:sz w:val="20"/>
          <w:szCs w:val="20"/>
        </w:rPr>
        <w:t>El instituto no crea provisiones</w:t>
      </w:r>
    </w:p>
    <w:p w:rsidR="00690E7B" w:rsidRPr="00690E7B" w:rsidRDefault="00690E7B" w:rsidP="0031609F">
      <w:pPr>
        <w:ind w:firstLine="360"/>
        <w:jc w:val="both"/>
        <w:rPr>
          <w:rFonts w:ascii="Arial" w:hAnsi="Arial" w:cs="Arial"/>
          <w:sz w:val="20"/>
          <w:szCs w:val="20"/>
        </w:rPr>
      </w:pPr>
      <w:r w:rsidRPr="00690E7B">
        <w:rPr>
          <w:rFonts w:ascii="Arial" w:hAnsi="Arial" w:cs="Arial"/>
          <w:sz w:val="20"/>
          <w:szCs w:val="20"/>
        </w:rPr>
        <w:t xml:space="preserve"> </w:t>
      </w:r>
    </w:p>
    <w:p w:rsidR="00690E7B" w:rsidRPr="00690E7B" w:rsidRDefault="00690E7B" w:rsidP="0031609F">
      <w:pPr>
        <w:ind w:firstLine="360"/>
        <w:jc w:val="both"/>
        <w:rPr>
          <w:rFonts w:ascii="Arial" w:hAnsi="Arial" w:cs="Arial"/>
          <w:sz w:val="20"/>
          <w:szCs w:val="20"/>
        </w:rPr>
      </w:pPr>
      <w:r w:rsidRPr="00690E7B">
        <w:rPr>
          <w:rFonts w:ascii="Arial" w:hAnsi="Arial" w:cs="Arial"/>
          <w:b/>
          <w:sz w:val="20"/>
          <w:szCs w:val="20"/>
        </w:rPr>
        <w:t>g)</w:t>
      </w:r>
      <w:r w:rsidRPr="00690E7B">
        <w:rPr>
          <w:rFonts w:ascii="Arial" w:hAnsi="Arial" w:cs="Arial"/>
          <w:sz w:val="20"/>
          <w:szCs w:val="20"/>
        </w:rPr>
        <w:t xml:space="preserve"> Reservas: objetivo de su creación, monto y plazo:</w:t>
      </w:r>
    </w:p>
    <w:p w:rsidR="00690E7B" w:rsidRDefault="00690E7B" w:rsidP="00F44F46">
      <w:pPr>
        <w:ind w:left="360"/>
        <w:jc w:val="both"/>
        <w:rPr>
          <w:rFonts w:ascii="Arial" w:hAnsi="Arial" w:cs="Arial"/>
          <w:sz w:val="20"/>
          <w:szCs w:val="20"/>
        </w:rPr>
      </w:pPr>
      <w:r w:rsidRPr="00690E7B">
        <w:rPr>
          <w:rFonts w:ascii="Arial" w:hAnsi="Arial" w:cs="Arial"/>
          <w:sz w:val="20"/>
          <w:szCs w:val="20"/>
        </w:rPr>
        <w:t>Todas las operaciones del gasto cumplen al 100% con los momentos contables de los egresos, siendo necesario que todos los registros contables que afecten al gasto afecten a una reserva presupuestal, dando como resultado que el movimiento contable afecte al presupuesto de egresos comprometido. Las reservas se aplican con una vigencia mensual y ésta es cancelada al registro del pago. *De acuerdo a la norma establecida por el CONAC.</w:t>
      </w:r>
    </w:p>
    <w:p w:rsidR="00F44F46" w:rsidRPr="00690E7B" w:rsidRDefault="00F44F46" w:rsidP="00F44F46">
      <w:pPr>
        <w:ind w:left="360"/>
        <w:jc w:val="both"/>
        <w:rPr>
          <w:rFonts w:ascii="Arial" w:hAnsi="Arial" w:cs="Arial"/>
          <w:sz w:val="20"/>
          <w:szCs w:val="20"/>
        </w:rPr>
      </w:pPr>
    </w:p>
    <w:p w:rsidR="00690E7B" w:rsidRPr="00690E7B" w:rsidRDefault="00690E7B" w:rsidP="0031609F">
      <w:pPr>
        <w:ind w:left="360"/>
        <w:jc w:val="both"/>
        <w:rPr>
          <w:rFonts w:ascii="Arial" w:hAnsi="Arial" w:cs="Arial"/>
          <w:sz w:val="20"/>
          <w:szCs w:val="20"/>
        </w:rPr>
      </w:pPr>
      <w:r w:rsidRPr="00690E7B">
        <w:rPr>
          <w:rFonts w:ascii="Arial" w:hAnsi="Arial" w:cs="Arial"/>
          <w:b/>
          <w:sz w:val="20"/>
          <w:szCs w:val="20"/>
        </w:rPr>
        <w:lastRenderedPageBreak/>
        <w:t>h)</w:t>
      </w:r>
      <w:r w:rsidRPr="00690E7B">
        <w:rPr>
          <w:rFonts w:ascii="Arial" w:hAnsi="Arial" w:cs="Arial"/>
          <w:sz w:val="20"/>
          <w:szCs w:val="20"/>
        </w:rPr>
        <w:t xml:space="preserve"> Cambios en políticas contables y corrección de errores junto con la revelación de los efectos que se tendrá en la información financiera del ente público, ya sea retrospectivos o prospectivos:</w:t>
      </w:r>
      <w:r w:rsidR="00F44F46">
        <w:rPr>
          <w:rFonts w:ascii="Arial" w:hAnsi="Arial" w:cs="Arial"/>
          <w:sz w:val="20"/>
          <w:szCs w:val="20"/>
        </w:rPr>
        <w:t xml:space="preserve"> se </w:t>
      </w:r>
      <w:r w:rsidR="00F44F46">
        <w:t>realizaron ampliaciones y/o reducciones a la Ley de Ingresos Estimada, en atención a la Guía Contabilizadora y al Instructivo de Cuentas emitidos por CONAC.</w:t>
      </w:r>
    </w:p>
    <w:p w:rsidR="00F44F46" w:rsidRPr="00690E7B" w:rsidRDefault="00F44F46" w:rsidP="0031609F">
      <w:pPr>
        <w:ind w:left="360"/>
        <w:jc w:val="both"/>
        <w:rPr>
          <w:rFonts w:ascii="Arial" w:hAnsi="Arial" w:cs="Arial"/>
          <w:sz w:val="20"/>
          <w:szCs w:val="20"/>
        </w:rPr>
      </w:pPr>
    </w:p>
    <w:p w:rsidR="00690E7B" w:rsidRPr="00690E7B" w:rsidRDefault="00690E7B" w:rsidP="00AD0139">
      <w:pPr>
        <w:ind w:firstLine="360"/>
        <w:jc w:val="both"/>
        <w:rPr>
          <w:rFonts w:ascii="Arial" w:hAnsi="Arial" w:cs="Arial"/>
          <w:sz w:val="20"/>
          <w:szCs w:val="20"/>
        </w:rPr>
      </w:pPr>
      <w:r w:rsidRPr="00690E7B">
        <w:rPr>
          <w:rFonts w:ascii="Arial" w:hAnsi="Arial" w:cs="Arial"/>
          <w:b/>
          <w:sz w:val="20"/>
          <w:szCs w:val="20"/>
        </w:rPr>
        <w:t>i)</w:t>
      </w:r>
      <w:r w:rsidRPr="00690E7B">
        <w:rPr>
          <w:rFonts w:ascii="Arial" w:hAnsi="Arial" w:cs="Arial"/>
          <w:sz w:val="20"/>
          <w:szCs w:val="20"/>
        </w:rPr>
        <w:t xml:space="preserve"> Reclasificaciones: </w:t>
      </w:r>
    </w:p>
    <w:p w:rsidR="00690E7B" w:rsidRDefault="00AD0139" w:rsidP="0031609F">
      <w:pPr>
        <w:ind w:left="360"/>
        <w:jc w:val="both"/>
        <w:rPr>
          <w:rFonts w:ascii="Arial" w:hAnsi="Arial" w:cs="Arial"/>
          <w:sz w:val="20"/>
          <w:szCs w:val="20"/>
        </w:rPr>
      </w:pPr>
      <w:r>
        <w:rPr>
          <w:rFonts w:ascii="Arial" w:hAnsi="Arial" w:cs="Arial"/>
          <w:sz w:val="20"/>
          <w:szCs w:val="20"/>
        </w:rPr>
        <w:t>Se realizaron reclasificaciones al cierre del ejercicio.</w:t>
      </w:r>
    </w:p>
    <w:p w:rsidR="00F44F46" w:rsidRPr="00690E7B" w:rsidRDefault="00F44F46" w:rsidP="0031609F">
      <w:pPr>
        <w:ind w:left="360"/>
        <w:jc w:val="both"/>
        <w:rPr>
          <w:rFonts w:ascii="Arial" w:hAnsi="Arial" w:cs="Arial"/>
          <w:sz w:val="20"/>
          <w:szCs w:val="20"/>
        </w:rPr>
      </w:pPr>
    </w:p>
    <w:p w:rsidR="00690E7B" w:rsidRPr="00690E7B" w:rsidRDefault="00690E7B" w:rsidP="0031609F">
      <w:pPr>
        <w:ind w:firstLine="360"/>
        <w:jc w:val="both"/>
        <w:rPr>
          <w:rFonts w:ascii="Arial" w:hAnsi="Arial" w:cs="Arial"/>
          <w:sz w:val="20"/>
          <w:szCs w:val="20"/>
        </w:rPr>
      </w:pPr>
      <w:r w:rsidRPr="00690E7B">
        <w:rPr>
          <w:rFonts w:ascii="Arial" w:hAnsi="Arial" w:cs="Arial"/>
          <w:b/>
          <w:sz w:val="20"/>
          <w:szCs w:val="20"/>
        </w:rPr>
        <w:t>j)</w:t>
      </w:r>
      <w:r w:rsidRPr="00690E7B">
        <w:rPr>
          <w:rFonts w:ascii="Arial" w:hAnsi="Arial" w:cs="Arial"/>
          <w:sz w:val="20"/>
          <w:szCs w:val="20"/>
        </w:rPr>
        <w:t xml:space="preserve"> Depuración y cancelación de saldos:</w:t>
      </w:r>
    </w:p>
    <w:p w:rsidR="00690E7B" w:rsidRPr="00690E7B" w:rsidRDefault="00AD0139" w:rsidP="0031609F">
      <w:pPr>
        <w:ind w:left="360"/>
        <w:jc w:val="both"/>
        <w:rPr>
          <w:rFonts w:ascii="Arial" w:hAnsi="Arial" w:cs="Arial"/>
          <w:sz w:val="20"/>
          <w:szCs w:val="20"/>
        </w:rPr>
      </w:pPr>
      <w:r>
        <w:rPr>
          <w:rFonts w:ascii="Arial" w:hAnsi="Arial" w:cs="Arial"/>
          <w:sz w:val="20"/>
          <w:szCs w:val="20"/>
        </w:rPr>
        <w:t>S</w:t>
      </w:r>
      <w:r w:rsidR="00690E7B" w:rsidRPr="00690E7B">
        <w:rPr>
          <w:rFonts w:ascii="Arial" w:hAnsi="Arial" w:cs="Arial"/>
          <w:sz w:val="20"/>
          <w:szCs w:val="20"/>
        </w:rPr>
        <w:t>e analiza y examina las cuentas del balance para identificar aquellos saldos que no sean correctos y para determinar la correcta contabilización de la entidad para ello es necesario la documentación soporte que ampare y sirva para aclaraciones al respecto sobre la información y proceder a realizar la cancelación o depuración de información que no es pertinente y dejar como antecedente para futuras revisiones.</w:t>
      </w:r>
    </w:p>
    <w:p w:rsidR="00690E7B" w:rsidRPr="00690E7B" w:rsidRDefault="00690E7B" w:rsidP="00690E7B">
      <w:pPr>
        <w:jc w:val="both"/>
        <w:rPr>
          <w:rFonts w:ascii="Arial" w:hAnsi="Arial" w:cs="Arial"/>
          <w:sz w:val="20"/>
          <w:szCs w:val="20"/>
        </w:rPr>
      </w:pPr>
    </w:p>
    <w:p w:rsidR="00690E7B" w:rsidRPr="00690E7B" w:rsidRDefault="00690E7B" w:rsidP="00AD0139">
      <w:pPr>
        <w:ind w:firstLine="360"/>
        <w:jc w:val="both"/>
        <w:rPr>
          <w:rFonts w:ascii="Arial" w:hAnsi="Arial" w:cs="Arial"/>
          <w:b/>
          <w:sz w:val="20"/>
          <w:szCs w:val="20"/>
        </w:rPr>
      </w:pPr>
      <w:r w:rsidRPr="00690E7B">
        <w:rPr>
          <w:rFonts w:ascii="Arial" w:hAnsi="Arial" w:cs="Arial"/>
          <w:b/>
          <w:sz w:val="20"/>
          <w:szCs w:val="20"/>
        </w:rPr>
        <w:t>7. Posición en Moneda Extranjera y Protección por Riesgo Cambiario:</w:t>
      </w:r>
    </w:p>
    <w:p w:rsidR="00690E7B" w:rsidRPr="00690E7B" w:rsidRDefault="00690E7B" w:rsidP="00AD0139">
      <w:pPr>
        <w:ind w:firstLine="360"/>
        <w:jc w:val="both"/>
        <w:rPr>
          <w:rFonts w:ascii="Arial" w:hAnsi="Arial" w:cs="Arial"/>
          <w:sz w:val="20"/>
          <w:szCs w:val="20"/>
        </w:rPr>
      </w:pPr>
      <w:r w:rsidRPr="00690E7B">
        <w:rPr>
          <w:rFonts w:ascii="Arial" w:hAnsi="Arial" w:cs="Arial"/>
          <w:sz w:val="20"/>
          <w:szCs w:val="20"/>
        </w:rPr>
        <w:t>Se informará sobre:</w:t>
      </w:r>
    </w:p>
    <w:p w:rsidR="00690E7B" w:rsidRPr="00690E7B" w:rsidRDefault="00690E7B" w:rsidP="00AD0139">
      <w:pPr>
        <w:ind w:firstLine="360"/>
        <w:jc w:val="both"/>
        <w:rPr>
          <w:rFonts w:ascii="Arial" w:hAnsi="Arial" w:cs="Arial"/>
          <w:sz w:val="20"/>
          <w:szCs w:val="20"/>
        </w:rPr>
      </w:pPr>
      <w:r w:rsidRPr="00690E7B">
        <w:rPr>
          <w:rFonts w:ascii="Arial" w:hAnsi="Arial" w:cs="Arial"/>
          <w:b/>
          <w:sz w:val="20"/>
          <w:szCs w:val="20"/>
        </w:rPr>
        <w:t>a)</w:t>
      </w:r>
      <w:r w:rsidRPr="00690E7B">
        <w:rPr>
          <w:rFonts w:ascii="Arial" w:hAnsi="Arial" w:cs="Arial"/>
          <w:sz w:val="20"/>
          <w:szCs w:val="20"/>
        </w:rPr>
        <w:t xml:space="preserve"> Activos en moneda extranjera:</w:t>
      </w:r>
    </w:p>
    <w:p w:rsidR="00690E7B" w:rsidRPr="00690E7B" w:rsidRDefault="009D7A57" w:rsidP="00AD0139">
      <w:pPr>
        <w:ind w:firstLine="360"/>
        <w:jc w:val="both"/>
        <w:rPr>
          <w:rFonts w:ascii="Arial" w:hAnsi="Arial" w:cs="Arial"/>
          <w:sz w:val="20"/>
          <w:szCs w:val="20"/>
        </w:rPr>
      </w:pPr>
      <w:r>
        <w:rPr>
          <w:rFonts w:ascii="Arial" w:hAnsi="Arial" w:cs="Arial"/>
          <w:sz w:val="20"/>
          <w:szCs w:val="20"/>
        </w:rPr>
        <w:t>El Instituto no cuenta con Activos en moneda extranjera</w:t>
      </w:r>
    </w:p>
    <w:p w:rsidR="00690E7B" w:rsidRPr="00690E7B" w:rsidRDefault="00690E7B" w:rsidP="00AD0139">
      <w:pPr>
        <w:ind w:firstLine="360"/>
        <w:jc w:val="both"/>
        <w:rPr>
          <w:rFonts w:ascii="Arial" w:hAnsi="Arial" w:cs="Arial"/>
          <w:sz w:val="20"/>
          <w:szCs w:val="20"/>
        </w:rPr>
      </w:pPr>
      <w:r w:rsidRPr="00690E7B">
        <w:rPr>
          <w:rFonts w:ascii="Arial" w:hAnsi="Arial" w:cs="Arial"/>
          <w:b/>
          <w:sz w:val="20"/>
          <w:szCs w:val="20"/>
        </w:rPr>
        <w:t>b)</w:t>
      </w:r>
      <w:r w:rsidRPr="00690E7B">
        <w:rPr>
          <w:rFonts w:ascii="Arial" w:hAnsi="Arial" w:cs="Arial"/>
          <w:sz w:val="20"/>
          <w:szCs w:val="20"/>
        </w:rPr>
        <w:t xml:space="preserve"> Pasivos en moneda extranjera:</w:t>
      </w:r>
    </w:p>
    <w:p w:rsidR="009D7A57" w:rsidRPr="00690E7B" w:rsidRDefault="009D7A57" w:rsidP="009D7A57">
      <w:pPr>
        <w:ind w:firstLine="360"/>
        <w:jc w:val="both"/>
        <w:rPr>
          <w:rFonts w:ascii="Arial" w:hAnsi="Arial" w:cs="Arial"/>
          <w:sz w:val="20"/>
          <w:szCs w:val="20"/>
        </w:rPr>
      </w:pPr>
      <w:r>
        <w:rPr>
          <w:rFonts w:ascii="Arial" w:hAnsi="Arial" w:cs="Arial"/>
          <w:sz w:val="20"/>
          <w:szCs w:val="20"/>
        </w:rPr>
        <w:t>El Instituto no cuenta con Pasivos en moneda extranjera</w:t>
      </w:r>
    </w:p>
    <w:p w:rsidR="00690E7B" w:rsidRPr="00690E7B" w:rsidRDefault="00690E7B" w:rsidP="00AD0139">
      <w:pPr>
        <w:ind w:firstLine="360"/>
        <w:jc w:val="both"/>
        <w:rPr>
          <w:rFonts w:ascii="Arial" w:hAnsi="Arial" w:cs="Arial"/>
          <w:sz w:val="20"/>
          <w:szCs w:val="20"/>
        </w:rPr>
      </w:pPr>
      <w:r w:rsidRPr="00690E7B">
        <w:rPr>
          <w:rFonts w:ascii="Arial" w:hAnsi="Arial" w:cs="Arial"/>
          <w:b/>
          <w:sz w:val="20"/>
          <w:szCs w:val="20"/>
        </w:rPr>
        <w:t xml:space="preserve">c) </w:t>
      </w:r>
      <w:r w:rsidRPr="00690E7B">
        <w:rPr>
          <w:rFonts w:ascii="Arial" w:hAnsi="Arial" w:cs="Arial"/>
          <w:sz w:val="20"/>
          <w:szCs w:val="20"/>
        </w:rPr>
        <w:t>Posición en moneda extranjera:</w:t>
      </w:r>
    </w:p>
    <w:p w:rsidR="00690E7B" w:rsidRPr="00690E7B" w:rsidRDefault="009D7A57" w:rsidP="00AD0139">
      <w:pPr>
        <w:ind w:firstLine="360"/>
        <w:jc w:val="both"/>
        <w:rPr>
          <w:rFonts w:ascii="Arial" w:hAnsi="Arial" w:cs="Arial"/>
          <w:sz w:val="20"/>
          <w:szCs w:val="20"/>
        </w:rPr>
      </w:pPr>
      <w:r>
        <w:rPr>
          <w:rFonts w:ascii="Arial" w:hAnsi="Arial" w:cs="Arial"/>
          <w:sz w:val="20"/>
          <w:szCs w:val="20"/>
        </w:rPr>
        <w:t xml:space="preserve">Este rubro no aplica para el Instituto </w:t>
      </w:r>
    </w:p>
    <w:p w:rsidR="00690E7B" w:rsidRPr="00690E7B" w:rsidRDefault="00690E7B" w:rsidP="006F4C5E">
      <w:pPr>
        <w:ind w:firstLine="360"/>
        <w:jc w:val="both"/>
        <w:rPr>
          <w:rFonts w:ascii="Arial" w:hAnsi="Arial" w:cs="Arial"/>
          <w:sz w:val="20"/>
          <w:szCs w:val="20"/>
        </w:rPr>
      </w:pPr>
      <w:r w:rsidRPr="00690E7B">
        <w:rPr>
          <w:rFonts w:ascii="Arial" w:hAnsi="Arial" w:cs="Arial"/>
          <w:b/>
          <w:sz w:val="20"/>
          <w:szCs w:val="20"/>
        </w:rPr>
        <w:t>d)</w:t>
      </w:r>
      <w:r w:rsidRPr="00690E7B">
        <w:rPr>
          <w:rFonts w:ascii="Arial" w:hAnsi="Arial" w:cs="Arial"/>
          <w:sz w:val="20"/>
          <w:szCs w:val="20"/>
        </w:rPr>
        <w:t xml:space="preserve"> Tipo de cambio:</w:t>
      </w:r>
    </w:p>
    <w:p w:rsidR="009D7A57" w:rsidRPr="00690E7B" w:rsidRDefault="009D7A57" w:rsidP="009D7A57">
      <w:pPr>
        <w:ind w:firstLine="360"/>
        <w:jc w:val="both"/>
        <w:rPr>
          <w:rFonts w:ascii="Arial" w:hAnsi="Arial" w:cs="Arial"/>
          <w:sz w:val="20"/>
          <w:szCs w:val="20"/>
        </w:rPr>
      </w:pPr>
      <w:r>
        <w:rPr>
          <w:rFonts w:ascii="Arial" w:hAnsi="Arial" w:cs="Arial"/>
          <w:sz w:val="20"/>
          <w:szCs w:val="20"/>
        </w:rPr>
        <w:t xml:space="preserve">Este rubro no aplica para el Instituto </w:t>
      </w:r>
    </w:p>
    <w:p w:rsidR="00690E7B" w:rsidRPr="00690E7B" w:rsidRDefault="006F4C5E" w:rsidP="00690E7B">
      <w:pPr>
        <w:tabs>
          <w:tab w:val="center" w:pos="6644"/>
        </w:tabs>
        <w:jc w:val="both"/>
        <w:rPr>
          <w:rFonts w:ascii="Arial" w:hAnsi="Arial" w:cs="Arial"/>
          <w:sz w:val="20"/>
          <w:szCs w:val="20"/>
        </w:rPr>
      </w:pPr>
      <w:r>
        <w:rPr>
          <w:rFonts w:ascii="Arial" w:hAnsi="Arial" w:cs="Arial"/>
          <w:b/>
          <w:sz w:val="20"/>
          <w:szCs w:val="20"/>
        </w:rPr>
        <w:t xml:space="preserve">      </w:t>
      </w:r>
      <w:r w:rsidR="00690E7B" w:rsidRPr="00690E7B">
        <w:rPr>
          <w:rFonts w:ascii="Arial" w:hAnsi="Arial" w:cs="Arial"/>
          <w:b/>
          <w:sz w:val="20"/>
          <w:szCs w:val="20"/>
        </w:rPr>
        <w:t xml:space="preserve">e) </w:t>
      </w:r>
      <w:r w:rsidR="00690E7B" w:rsidRPr="00690E7B">
        <w:rPr>
          <w:rFonts w:ascii="Arial" w:hAnsi="Arial" w:cs="Arial"/>
          <w:sz w:val="20"/>
          <w:szCs w:val="20"/>
        </w:rPr>
        <w:t>Equivalente en moneda nacional:</w:t>
      </w:r>
      <w:r w:rsidR="00690E7B" w:rsidRPr="00690E7B">
        <w:rPr>
          <w:rFonts w:ascii="Arial" w:hAnsi="Arial" w:cs="Arial"/>
          <w:sz w:val="20"/>
          <w:szCs w:val="20"/>
        </w:rPr>
        <w:tab/>
      </w:r>
    </w:p>
    <w:p w:rsidR="009D7A57" w:rsidRDefault="009D7A57" w:rsidP="009D7A57">
      <w:pPr>
        <w:ind w:firstLine="360"/>
        <w:jc w:val="both"/>
        <w:rPr>
          <w:rFonts w:ascii="Arial" w:hAnsi="Arial" w:cs="Arial"/>
          <w:sz w:val="20"/>
          <w:szCs w:val="20"/>
        </w:rPr>
      </w:pPr>
      <w:r>
        <w:rPr>
          <w:rFonts w:ascii="Arial" w:hAnsi="Arial" w:cs="Arial"/>
          <w:sz w:val="20"/>
          <w:szCs w:val="20"/>
        </w:rPr>
        <w:t xml:space="preserve">Este rubro no aplica para el Instituto </w:t>
      </w:r>
    </w:p>
    <w:p w:rsidR="009D7A57" w:rsidRDefault="009D7A57" w:rsidP="009D7A57">
      <w:pPr>
        <w:ind w:firstLine="360"/>
        <w:jc w:val="both"/>
        <w:rPr>
          <w:rFonts w:ascii="Arial" w:hAnsi="Arial" w:cs="Arial"/>
          <w:sz w:val="20"/>
          <w:szCs w:val="20"/>
        </w:rPr>
      </w:pPr>
    </w:p>
    <w:p w:rsidR="009D7A57" w:rsidRPr="005E0A54" w:rsidRDefault="009D7A57" w:rsidP="009D7A57">
      <w:pPr>
        <w:ind w:firstLine="360"/>
        <w:jc w:val="both"/>
        <w:rPr>
          <w:rFonts w:ascii="Arial" w:hAnsi="Arial" w:cs="Arial"/>
          <w:sz w:val="20"/>
          <w:szCs w:val="20"/>
        </w:rPr>
      </w:pPr>
    </w:p>
    <w:p w:rsidR="00690E7B" w:rsidRPr="005E0A54" w:rsidRDefault="006F4C5E" w:rsidP="006F4C5E">
      <w:pPr>
        <w:jc w:val="both"/>
        <w:rPr>
          <w:rFonts w:ascii="Arial" w:hAnsi="Arial" w:cs="Arial"/>
          <w:sz w:val="20"/>
          <w:szCs w:val="20"/>
        </w:rPr>
      </w:pPr>
      <w:r w:rsidRPr="005E0A54">
        <w:rPr>
          <w:rFonts w:ascii="Arial" w:hAnsi="Arial" w:cs="Arial"/>
          <w:sz w:val="20"/>
          <w:szCs w:val="20"/>
        </w:rPr>
        <w:t xml:space="preserve">      </w:t>
      </w:r>
      <w:r w:rsidR="00690E7B" w:rsidRPr="005E0A54">
        <w:rPr>
          <w:rFonts w:ascii="Arial" w:hAnsi="Arial" w:cs="Arial"/>
          <w:sz w:val="20"/>
          <w:szCs w:val="20"/>
        </w:rPr>
        <w:t>Lo anterior por cada tipo de moneda extranjera que se encuentre en los rubros de activo y pasivo.</w:t>
      </w:r>
    </w:p>
    <w:p w:rsidR="00690E7B" w:rsidRPr="005E0A54" w:rsidRDefault="006F4C5E" w:rsidP="00690E7B">
      <w:pPr>
        <w:jc w:val="both"/>
        <w:rPr>
          <w:rFonts w:ascii="Arial" w:hAnsi="Arial" w:cs="Arial"/>
          <w:sz w:val="20"/>
          <w:szCs w:val="20"/>
        </w:rPr>
      </w:pPr>
      <w:r w:rsidRPr="005E0A54">
        <w:rPr>
          <w:rFonts w:ascii="Arial" w:hAnsi="Arial" w:cs="Arial"/>
          <w:sz w:val="20"/>
          <w:szCs w:val="20"/>
        </w:rPr>
        <w:t xml:space="preserve">      </w:t>
      </w:r>
      <w:r w:rsidR="00690E7B" w:rsidRPr="005E0A54">
        <w:rPr>
          <w:rFonts w:ascii="Arial" w:hAnsi="Arial" w:cs="Arial"/>
          <w:sz w:val="20"/>
          <w:szCs w:val="20"/>
        </w:rPr>
        <w:t>Adicionalmente se informará sobre los métodos de protección de riesgo por variaciones en el tipo de cambio.</w:t>
      </w:r>
    </w:p>
    <w:p w:rsidR="00690E7B" w:rsidRPr="005E0A54" w:rsidRDefault="00690E7B" w:rsidP="00690E7B">
      <w:pPr>
        <w:jc w:val="both"/>
        <w:rPr>
          <w:rFonts w:ascii="Arial" w:hAnsi="Arial" w:cs="Arial"/>
          <w:sz w:val="20"/>
          <w:szCs w:val="20"/>
        </w:rPr>
      </w:pPr>
    </w:p>
    <w:p w:rsidR="00690E7B" w:rsidRPr="005E0A54" w:rsidRDefault="00690E7B" w:rsidP="00690E7B">
      <w:pPr>
        <w:jc w:val="both"/>
        <w:rPr>
          <w:rFonts w:ascii="Arial" w:hAnsi="Arial" w:cs="Arial"/>
          <w:b/>
          <w:sz w:val="20"/>
          <w:szCs w:val="20"/>
        </w:rPr>
      </w:pPr>
      <w:r w:rsidRPr="005E0A54">
        <w:rPr>
          <w:rFonts w:ascii="Arial" w:hAnsi="Arial" w:cs="Arial"/>
          <w:b/>
          <w:sz w:val="20"/>
          <w:szCs w:val="20"/>
        </w:rPr>
        <w:t>8. Reporte Analítico del Activo:</w:t>
      </w:r>
    </w:p>
    <w:p w:rsidR="00603A5D" w:rsidRPr="005E0A54" w:rsidRDefault="00603A5D" w:rsidP="00690E7B">
      <w:pPr>
        <w:jc w:val="both"/>
        <w:rPr>
          <w:rFonts w:ascii="Arial" w:hAnsi="Arial" w:cs="Arial"/>
          <w:sz w:val="20"/>
          <w:szCs w:val="20"/>
        </w:rPr>
      </w:pPr>
    </w:p>
    <w:p w:rsidR="00690E7B" w:rsidRPr="005E0A54" w:rsidRDefault="00690E7B" w:rsidP="00690E7B">
      <w:pPr>
        <w:jc w:val="both"/>
        <w:rPr>
          <w:rFonts w:ascii="Arial" w:hAnsi="Arial" w:cs="Arial"/>
          <w:sz w:val="20"/>
          <w:szCs w:val="20"/>
        </w:rPr>
      </w:pPr>
      <w:r w:rsidRPr="005E0A54">
        <w:rPr>
          <w:rFonts w:ascii="Arial" w:hAnsi="Arial" w:cs="Arial"/>
          <w:sz w:val="20"/>
          <w:szCs w:val="20"/>
        </w:rPr>
        <w:t>Debe mostrar la siguiente información:</w:t>
      </w:r>
    </w:p>
    <w:p w:rsidR="00603A5D" w:rsidRPr="005E0A54" w:rsidRDefault="00603A5D" w:rsidP="00690E7B">
      <w:pPr>
        <w:jc w:val="both"/>
        <w:rPr>
          <w:rFonts w:ascii="Arial" w:hAnsi="Arial" w:cs="Arial"/>
          <w:sz w:val="20"/>
          <w:szCs w:val="20"/>
        </w:rPr>
      </w:pPr>
    </w:p>
    <w:p w:rsidR="00690E7B" w:rsidRPr="005E0A54" w:rsidRDefault="00690E7B" w:rsidP="00690E7B">
      <w:pPr>
        <w:numPr>
          <w:ilvl w:val="0"/>
          <w:numId w:val="2"/>
        </w:numPr>
        <w:jc w:val="both"/>
        <w:rPr>
          <w:rFonts w:ascii="Arial" w:hAnsi="Arial" w:cs="Arial"/>
          <w:sz w:val="20"/>
          <w:szCs w:val="20"/>
        </w:rPr>
      </w:pPr>
      <w:r w:rsidRPr="005E0A54">
        <w:rPr>
          <w:rFonts w:ascii="Arial" w:hAnsi="Arial" w:cs="Arial"/>
          <w:sz w:val="20"/>
          <w:szCs w:val="20"/>
        </w:rPr>
        <w:t>Vida útil o porcentajes de depreciación, deterioro o amortización utilizados en los diferentes tipos de activos:</w:t>
      </w:r>
    </w:p>
    <w:p w:rsidR="000475B6" w:rsidRPr="005E0A54" w:rsidRDefault="00B97E99" w:rsidP="00AE46C9">
      <w:pPr>
        <w:ind w:left="360"/>
        <w:jc w:val="both"/>
        <w:rPr>
          <w:rFonts w:ascii="Arial" w:hAnsi="Arial" w:cs="Arial"/>
          <w:sz w:val="20"/>
          <w:szCs w:val="20"/>
        </w:rPr>
      </w:pPr>
      <w:r w:rsidRPr="005E0A54">
        <w:rPr>
          <w:rFonts w:ascii="Arial" w:hAnsi="Arial" w:cs="Arial"/>
          <w:sz w:val="20"/>
          <w:szCs w:val="20"/>
        </w:rPr>
        <w:t xml:space="preserve">La depreciación acumulada se encuentra reflejada en el Estado de Situación Financiera en el apartad de la información contable. </w:t>
      </w:r>
      <w:r w:rsidR="00AE46C9" w:rsidRPr="005E0A54">
        <w:rPr>
          <w:rFonts w:ascii="Arial" w:hAnsi="Arial" w:cs="Arial"/>
          <w:sz w:val="20"/>
          <w:szCs w:val="20"/>
        </w:rPr>
        <w:t>Utilizándose</w:t>
      </w:r>
      <w:r w:rsidRPr="005E0A54">
        <w:rPr>
          <w:rFonts w:ascii="Arial" w:hAnsi="Arial" w:cs="Arial"/>
          <w:sz w:val="20"/>
          <w:szCs w:val="20"/>
        </w:rPr>
        <w:t xml:space="preserve"> e</w:t>
      </w:r>
      <w:r w:rsidR="00AE46C9" w:rsidRPr="005E0A54">
        <w:rPr>
          <w:rFonts w:ascii="Arial" w:hAnsi="Arial" w:cs="Arial"/>
          <w:sz w:val="20"/>
          <w:szCs w:val="20"/>
        </w:rPr>
        <w:t xml:space="preserve">l </w:t>
      </w:r>
      <w:r w:rsidRPr="005E0A54">
        <w:rPr>
          <w:rFonts w:ascii="Arial" w:hAnsi="Arial" w:cs="Arial"/>
          <w:sz w:val="20"/>
          <w:szCs w:val="20"/>
        </w:rPr>
        <w:t xml:space="preserve">método </w:t>
      </w:r>
      <w:r w:rsidR="00AE46C9" w:rsidRPr="005E0A54">
        <w:rPr>
          <w:rFonts w:ascii="Arial" w:hAnsi="Arial" w:cs="Arial"/>
          <w:sz w:val="20"/>
          <w:szCs w:val="20"/>
        </w:rPr>
        <w:t xml:space="preserve">    </w:t>
      </w:r>
      <w:r w:rsidRPr="005E0A54">
        <w:rPr>
          <w:rFonts w:ascii="Arial" w:hAnsi="Arial" w:cs="Arial"/>
          <w:sz w:val="20"/>
          <w:szCs w:val="20"/>
        </w:rPr>
        <w:t>de depreciación en línea recta.</w:t>
      </w:r>
    </w:p>
    <w:p w:rsidR="000475B6" w:rsidRPr="005E0A54" w:rsidRDefault="00AE46C9" w:rsidP="00AE46C9">
      <w:pPr>
        <w:ind w:left="360"/>
        <w:jc w:val="both"/>
        <w:rPr>
          <w:rFonts w:ascii="Arial" w:hAnsi="Arial" w:cs="Arial"/>
          <w:sz w:val="20"/>
          <w:szCs w:val="20"/>
        </w:rPr>
      </w:pPr>
      <w:r w:rsidRPr="005E0A54">
        <w:rPr>
          <w:rFonts w:ascii="Arial" w:hAnsi="Arial" w:cs="Arial"/>
          <w:sz w:val="20"/>
          <w:szCs w:val="20"/>
        </w:rPr>
        <w:t>En la plataforma oficial de registro de Go</w:t>
      </w:r>
      <w:r w:rsidR="00202E6E" w:rsidRPr="005E0A54">
        <w:rPr>
          <w:rFonts w:ascii="Arial" w:hAnsi="Arial" w:cs="Arial"/>
          <w:sz w:val="20"/>
          <w:szCs w:val="20"/>
        </w:rPr>
        <w:t>bierno del Estado denominada SAP</w:t>
      </w:r>
      <w:r w:rsidRPr="005E0A54">
        <w:rPr>
          <w:rFonts w:ascii="Arial" w:hAnsi="Arial" w:cs="Arial"/>
          <w:sz w:val="20"/>
          <w:szCs w:val="20"/>
        </w:rPr>
        <w:t xml:space="preserve"> R3 se llevan a cabo los registros acordes a la Normatividad emitida por CONAC y la SFIYA, así como las disposiciones aplicables en la materia.</w:t>
      </w:r>
    </w:p>
    <w:p w:rsidR="000475B6" w:rsidRPr="005E0A54" w:rsidRDefault="000475B6" w:rsidP="000475B6">
      <w:pPr>
        <w:jc w:val="both"/>
        <w:rPr>
          <w:rFonts w:ascii="Arial" w:hAnsi="Arial" w:cs="Arial"/>
          <w:sz w:val="20"/>
          <w:szCs w:val="20"/>
        </w:rPr>
      </w:pPr>
    </w:p>
    <w:p w:rsidR="00690E7B" w:rsidRPr="005E0A54" w:rsidRDefault="00690E7B" w:rsidP="00690E7B">
      <w:pPr>
        <w:numPr>
          <w:ilvl w:val="0"/>
          <w:numId w:val="2"/>
        </w:numPr>
        <w:jc w:val="both"/>
        <w:rPr>
          <w:rFonts w:ascii="Arial" w:hAnsi="Arial" w:cs="Arial"/>
          <w:sz w:val="20"/>
          <w:szCs w:val="20"/>
        </w:rPr>
      </w:pPr>
      <w:r w:rsidRPr="005E0A54">
        <w:rPr>
          <w:rFonts w:ascii="Arial" w:hAnsi="Arial" w:cs="Arial"/>
          <w:sz w:val="20"/>
          <w:szCs w:val="20"/>
        </w:rPr>
        <w:t>Cambios en el porcentaje de depreciación o valor residual de los activos:</w:t>
      </w:r>
    </w:p>
    <w:p w:rsidR="00AE46C9" w:rsidRPr="005E0A54" w:rsidRDefault="00690E7B" w:rsidP="00690E7B">
      <w:pPr>
        <w:jc w:val="both"/>
        <w:rPr>
          <w:rFonts w:ascii="Arial" w:hAnsi="Arial" w:cs="Arial"/>
          <w:sz w:val="20"/>
          <w:szCs w:val="20"/>
        </w:rPr>
      </w:pPr>
      <w:r w:rsidRPr="005E0A54">
        <w:rPr>
          <w:rFonts w:ascii="Arial" w:hAnsi="Arial" w:cs="Arial"/>
          <w:sz w:val="20"/>
          <w:szCs w:val="20"/>
        </w:rPr>
        <w:t xml:space="preserve">      </w:t>
      </w:r>
      <w:r w:rsidR="00AE46C9" w:rsidRPr="005E0A54">
        <w:rPr>
          <w:rFonts w:ascii="Arial" w:hAnsi="Arial" w:cs="Arial"/>
          <w:sz w:val="20"/>
          <w:szCs w:val="20"/>
        </w:rPr>
        <w:t>Al cierre no se han considerado cambios en el porcentaje de depreciación o valor residual.</w:t>
      </w:r>
    </w:p>
    <w:p w:rsidR="00690E7B" w:rsidRPr="005E0A54" w:rsidRDefault="00690E7B" w:rsidP="00690E7B">
      <w:pPr>
        <w:jc w:val="both"/>
        <w:rPr>
          <w:rFonts w:ascii="Arial" w:hAnsi="Arial" w:cs="Arial"/>
          <w:sz w:val="20"/>
          <w:szCs w:val="20"/>
        </w:rPr>
      </w:pPr>
      <w:r w:rsidRPr="005E0A54">
        <w:rPr>
          <w:rFonts w:ascii="Arial" w:hAnsi="Arial" w:cs="Arial"/>
          <w:sz w:val="20"/>
          <w:szCs w:val="20"/>
        </w:rPr>
        <w:t xml:space="preserve"> </w:t>
      </w:r>
    </w:p>
    <w:p w:rsidR="00690E7B" w:rsidRPr="005E0A54" w:rsidRDefault="00690E7B" w:rsidP="00690E7B">
      <w:pPr>
        <w:jc w:val="both"/>
        <w:rPr>
          <w:rFonts w:ascii="Arial" w:hAnsi="Arial" w:cs="Arial"/>
          <w:sz w:val="20"/>
          <w:szCs w:val="20"/>
        </w:rPr>
      </w:pPr>
      <w:r w:rsidRPr="005E0A54">
        <w:rPr>
          <w:rFonts w:ascii="Arial" w:hAnsi="Arial" w:cs="Arial"/>
          <w:b/>
          <w:sz w:val="20"/>
          <w:szCs w:val="20"/>
        </w:rPr>
        <w:lastRenderedPageBreak/>
        <w:t xml:space="preserve">      d)</w:t>
      </w:r>
      <w:r w:rsidRPr="005E0A54">
        <w:rPr>
          <w:rFonts w:ascii="Arial" w:hAnsi="Arial" w:cs="Arial"/>
          <w:sz w:val="20"/>
          <w:szCs w:val="20"/>
        </w:rPr>
        <w:t xml:space="preserve"> Riegos por tipo de cambio o tipo de interés de las inversiones financieras:</w:t>
      </w:r>
    </w:p>
    <w:p w:rsidR="00690E7B" w:rsidRPr="005E0A54" w:rsidRDefault="00690E7B" w:rsidP="00690E7B">
      <w:pPr>
        <w:jc w:val="both"/>
        <w:rPr>
          <w:rFonts w:ascii="Arial" w:hAnsi="Arial" w:cs="Arial"/>
          <w:sz w:val="20"/>
          <w:szCs w:val="20"/>
        </w:rPr>
      </w:pPr>
      <w:r w:rsidRPr="005E0A54">
        <w:rPr>
          <w:rFonts w:ascii="Arial" w:hAnsi="Arial" w:cs="Arial"/>
          <w:sz w:val="20"/>
          <w:szCs w:val="20"/>
        </w:rPr>
        <w:t xml:space="preserve">      </w:t>
      </w:r>
      <w:r w:rsidR="00CD27C9" w:rsidRPr="005E0A54">
        <w:rPr>
          <w:rFonts w:ascii="Arial" w:hAnsi="Arial" w:cs="Arial"/>
          <w:sz w:val="20"/>
          <w:szCs w:val="20"/>
        </w:rPr>
        <w:t>Al cierre no se han generado riesgos por tipo de cambio.</w:t>
      </w:r>
      <w:r w:rsidRPr="005E0A54">
        <w:rPr>
          <w:rFonts w:ascii="Arial" w:hAnsi="Arial" w:cs="Arial"/>
          <w:sz w:val="20"/>
          <w:szCs w:val="20"/>
        </w:rPr>
        <w:t xml:space="preserve"> </w:t>
      </w:r>
    </w:p>
    <w:p w:rsidR="00CD27C9" w:rsidRPr="005E0A54" w:rsidRDefault="00CD27C9" w:rsidP="00690E7B">
      <w:pPr>
        <w:jc w:val="both"/>
        <w:rPr>
          <w:rFonts w:ascii="Arial" w:hAnsi="Arial" w:cs="Arial"/>
          <w:sz w:val="20"/>
          <w:szCs w:val="20"/>
        </w:rPr>
      </w:pPr>
    </w:p>
    <w:p w:rsidR="00690E7B" w:rsidRPr="005E0A54" w:rsidRDefault="00690E7B" w:rsidP="00690E7B">
      <w:pPr>
        <w:jc w:val="both"/>
        <w:rPr>
          <w:rFonts w:ascii="Arial" w:hAnsi="Arial" w:cs="Arial"/>
          <w:sz w:val="20"/>
          <w:szCs w:val="20"/>
        </w:rPr>
      </w:pPr>
      <w:r w:rsidRPr="005E0A54">
        <w:rPr>
          <w:rFonts w:ascii="Arial" w:hAnsi="Arial" w:cs="Arial"/>
          <w:b/>
          <w:sz w:val="20"/>
          <w:szCs w:val="20"/>
        </w:rPr>
        <w:t xml:space="preserve">      e) </w:t>
      </w:r>
      <w:r w:rsidRPr="005E0A54">
        <w:rPr>
          <w:rFonts w:ascii="Arial" w:hAnsi="Arial" w:cs="Arial"/>
          <w:sz w:val="20"/>
          <w:szCs w:val="20"/>
        </w:rPr>
        <w:t>Valor activado en el ejercicio de los bienes construidos por la entidad:</w:t>
      </w:r>
    </w:p>
    <w:p w:rsidR="001E70E4" w:rsidRPr="005E0A54" w:rsidRDefault="00690E7B" w:rsidP="001E70E4">
      <w:pPr>
        <w:jc w:val="both"/>
        <w:rPr>
          <w:rFonts w:ascii="Arial" w:hAnsi="Arial" w:cs="Arial"/>
          <w:sz w:val="20"/>
          <w:szCs w:val="20"/>
        </w:rPr>
      </w:pPr>
      <w:r w:rsidRPr="005E0A54">
        <w:rPr>
          <w:rFonts w:ascii="Arial" w:hAnsi="Arial" w:cs="Arial"/>
          <w:sz w:val="20"/>
          <w:szCs w:val="20"/>
        </w:rPr>
        <w:t xml:space="preserve">      </w:t>
      </w:r>
      <w:r w:rsidR="00CD27C9" w:rsidRPr="005E0A54">
        <w:rPr>
          <w:rFonts w:ascii="Arial" w:hAnsi="Arial" w:cs="Arial"/>
          <w:sz w:val="20"/>
          <w:szCs w:val="20"/>
        </w:rPr>
        <w:t>Sin valor activado por bienes construidos por la entidad.</w:t>
      </w:r>
      <w:r w:rsidRPr="005E0A54">
        <w:rPr>
          <w:rFonts w:ascii="Arial" w:hAnsi="Arial" w:cs="Arial"/>
          <w:sz w:val="20"/>
          <w:szCs w:val="20"/>
        </w:rPr>
        <w:t xml:space="preserve"> </w:t>
      </w:r>
    </w:p>
    <w:p w:rsidR="00CD27C9" w:rsidRPr="005E0A54" w:rsidRDefault="00CD27C9" w:rsidP="001E70E4">
      <w:pPr>
        <w:jc w:val="both"/>
        <w:rPr>
          <w:rFonts w:ascii="Arial" w:hAnsi="Arial" w:cs="Arial"/>
          <w:sz w:val="20"/>
          <w:szCs w:val="20"/>
        </w:rPr>
      </w:pPr>
    </w:p>
    <w:p w:rsidR="00690E7B" w:rsidRPr="005E0A54" w:rsidRDefault="00690E7B" w:rsidP="00CD27C9">
      <w:pPr>
        <w:ind w:left="330"/>
        <w:jc w:val="both"/>
        <w:rPr>
          <w:rFonts w:ascii="Arial" w:hAnsi="Arial" w:cs="Arial"/>
          <w:sz w:val="20"/>
          <w:szCs w:val="20"/>
        </w:rPr>
      </w:pPr>
      <w:r w:rsidRPr="005E0A54">
        <w:rPr>
          <w:rFonts w:ascii="Arial" w:hAnsi="Arial" w:cs="Arial"/>
          <w:b/>
          <w:sz w:val="20"/>
          <w:szCs w:val="20"/>
        </w:rPr>
        <w:t>f)</w:t>
      </w:r>
      <w:r w:rsidRPr="005E0A54">
        <w:rPr>
          <w:rFonts w:ascii="Arial" w:hAnsi="Arial" w:cs="Arial"/>
          <w:sz w:val="20"/>
          <w:szCs w:val="20"/>
        </w:rPr>
        <w:t xml:space="preserve"> Otras circunstancias de carácter significativo que afecten el activo, tales como bienes en garantía, señalados en embargos, litigios, títulos de </w:t>
      </w:r>
      <w:r w:rsidR="001E70E4" w:rsidRPr="005E0A54">
        <w:rPr>
          <w:rFonts w:ascii="Arial" w:hAnsi="Arial" w:cs="Arial"/>
          <w:sz w:val="20"/>
          <w:szCs w:val="20"/>
        </w:rPr>
        <w:t xml:space="preserve">         </w:t>
      </w:r>
      <w:r w:rsidRPr="005E0A54">
        <w:rPr>
          <w:rFonts w:ascii="Arial" w:hAnsi="Arial" w:cs="Arial"/>
          <w:sz w:val="20"/>
          <w:szCs w:val="20"/>
        </w:rPr>
        <w:t>inversiones entregados en garantías, baja significativa del valor de inversiones financieras, etc.:</w:t>
      </w:r>
    </w:p>
    <w:p w:rsidR="00690E7B" w:rsidRPr="005E0A54" w:rsidRDefault="00690E7B" w:rsidP="00690E7B">
      <w:pPr>
        <w:jc w:val="both"/>
        <w:rPr>
          <w:rFonts w:ascii="Arial" w:hAnsi="Arial" w:cs="Arial"/>
          <w:sz w:val="20"/>
          <w:szCs w:val="20"/>
        </w:rPr>
      </w:pPr>
      <w:r w:rsidRPr="005E0A54">
        <w:rPr>
          <w:rFonts w:ascii="Arial" w:hAnsi="Arial" w:cs="Arial"/>
          <w:sz w:val="20"/>
          <w:szCs w:val="20"/>
        </w:rPr>
        <w:t xml:space="preserve">      </w:t>
      </w:r>
      <w:r w:rsidR="00CD27C9" w:rsidRPr="005E0A54">
        <w:rPr>
          <w:rFonts w:ascii="Arial" w:hAnsi="Arial" w:cs="Arial"/>
          <w:sz w:val="20"/>
          <w:szCs w:val="20"/>
        </w:rPr>
        <w:t>No se cuenta con circunstancias significativas en la afectación de activos.</w:t>
      </w:r>
    </w:p>
    <w:p w:rsidR="00CD27C9" w:rsidRPr="005E0A54" w:rsidRDefault="00CD27C9" w:rsidP="00690E7B">
      <w:pPr>
        <w:jc w:val="both"/>
        <w:rPr>
          <w:rFonts w:ascii="Arial" w:hAnsi="Arial" w:cs="Arial"/>
          <w:sz w:val="20"/>
          <w:szCs w:val="20"/>
        </w:rPr>
      </w:pPr>
    </w:p>
    <w:p w:rsidR="00690E7B" w:rsidRPr="005E0A54" w:rsidRDefault="00690E7B" w:rsidP="00690E7B">
      <w:pPr>
        <w:jc w:val="both"/>
        <w:rPr>
          <w:rFonts w:ascii="Arial" w:hAnsi="Arial" w:cs="Arial"/>
          <w:sz w:val="20"/>
          <w:szCs w:val="20"/>
        </w:rPr>
      </w:pPr>
      <w:r w:rsidRPr="005E0A54">
        <w:rPr>
          <w:rFonts w:ascii="Arial" w:hAnsi="Arial" w:cs="Arial"/>
          <w:b/>
          <w:sz w:val="20"/>
          <w:szCs w:val="20"/>
        </w:rPr>
        <w:t xml:space="preserve">      g)</w:t>
      </w:r>
      <w:r w:rsidRPr="005E0A54">
        <w:rPr>
          <w:rFonts w:ascii="Arial" w:hAnsi="Arial" w:cs="Arial"/>
          <w:sz w:val="20"/>
          <w:szCs w:val="20"/>
        </w:rPr>
        <w:t xml:space="preserve"> Desmantelamiento de Activos, procedimientos, implicaciones, efectos contables:</w:t>
      </w:r>
    </w:p>
    <w:p w:rsidR="00CD27C9" w:rsidRPr="005E0A54" w:rsidRDefault="00690E7B" w:rsidP="00690E7B">
      <w:pPr>
        <w:tabs>
          <w:tab w:val="center" w:pos="6644"/>
        </w:tabs>
        <w:jc w:val="both"/>
        <w:rPr>
          <w:rFonts w:ascii="Arial" w:hAnsi="Arial" w:cs="Arial"/>
          <w:sz w:val="20"/>
          <w:szCs w:val="20"/>
        </w:rPr>
      </w:pPr>
      <w:r w:rsidRPr="005E0A54">
        <w:rPr>
          <w:rFonts w:ascii="Arial" w:hAnsi="Arial" w:cs="Arial"/>
          <w:sz w:val="20"/>
          <w:szCs w:val="20"/>
        </w:rPr>
        <w:t xml:space="preserve">      </w:t>
      </w:r>
      <w:r w:rsidR="00CD27C9" w:rsidRPr="005E0A54">
        <w:rPr>
          <w:rFonts w:ascii="Arial" w:hAnsi="Arial" w:cs="Arial"/>
          <w:sz w:val="20"/>
          <w:szCs w:val="20"/>
        </w:rPr>
        <w:t>No se cuenta con desmantelamiento de activos.</w:t>
      </w:r>
    </w:p>
    <w:p w:rsidR="00690E7B" w:rsidRPr="005E0A54" w:rsidRDefault="00690E7B" w:rsidP="00690E7B">
      <w:pPr>
        <w:tabs>
          <w:tab w:val="center" w:pos="6644"/>
        </w:tabs>
        <w:jc w:val="both"/>
        <w:rPr>
          <w:rFonts w:ascii="Arial" w:hAnsi="Arial" w:cs="Arial"/>
          <w:sz w:val="20"/>
          <w:szCs w:val="20"/>
        </w:rPr>
      </w:pPr>
      <w:r w:rsidRPr="005E0A54">
        <w:rPr>
          <w:rFonts w:ascii="Arial" w:hAnsi="Arial" w:cs="Arial"/>
          <w:sz w:val="20"/>
          <w:szCs w:val="20"/>
        </w:rPr>
        <w:tab/>
      </w:r>
    </w:p>
    <w:p w:rsidR="00690E7B" w:rsidRPr="005E0A54" w:rsidRDefault="00690E7B" w:rsidP="00690E7B">
      <w:pPr>
        <w:jc w:val="both"/>
        <w:rPr>
          <w:rFonts w:ascii="Arial" w:hAnsi="Arial" w:cs="Arial"/>
          <w:sz w:val="20"/>
          <w:szCs w:val="20"/>
        </w:rPr>
      </w:pPr>
      <w:r w:rsidRPr="005E0A54">
        <w:rPr>
          <w:rFonts w:ascii="Arial" w:hAnsi="Arial" w:cs="Arial"/>
          <w:b/>
          <w:sz w:val="20"/>
          <w:szCs w:val="20"/>
        </w:rPr>
        <w:t xml:space="preserve">      h)</w:t>
      </w:r>
      <w:r w:rsidRPr="005E0A54">
        <w:rPr>
          <w:rFonts w:ascii="Arial" w:hAnsi="Arial" w:cs="Arial"/>
          <w:sz w:val="20"/>
          <w:szCs w:val="20"/>
        </w:rPr>
        <w:t xml:space="preserve"> Administración de activos; planeación con el objetivo de que el ente los utilice de manera más efectiva:</w:t>
      </w:r>
    </w:p>
    <w:p w:rsidR="00690E7B" w:rsidRPr="005E0A54" w:rsidRDefault="00690E7B" w:rsidP="00690E7B">
      <w:pPr>
        <w:jc w:val="both"/>
        <w:rPr>
          <w:rFonts w:ascii="Arial" w:hAnsi="Arial" w:cs="Arial"/>
          <w:sz w:val="20"/>
          <w:szCs w:val="20"/>
        </w:rPr>
      </w:pPr>
      <w:r w:rsidRPr="005E0A54">
        <w:rPr>
          <w:rFonts w:ascii="Arial" w:hAnsi="Arial" w:cs="Arial"/>
          <w:sz w:val="20"/>
          <w:szCs w:val="20"/>
        </w:rPr>
        <w:t xml:space="preserve">      </w:t>
      </w:r>
      <w:r w:rsidR="00CD27C9" w:rsidRPr="005E0A54">
        <w:rPr>
          <w:rFonts w:ascii="Arial" w:hAnsi="Arial" w:cs="Arial"/>
          <w:sz w:val="20"/>
          <w:szCs w:val="20"/>
        </w:rPr>
        <w:t>A la fecha se aplican los Lineamientos Generales de Control Patrimonial vigentes.</w:t>
      </w:r>
    </w:p>
    <w:p w:rsidR="00CD27C9" w:rsidRPr="005E0A54" w:rsidRDefault="00690E7B" w:rsidP="00690E7B">
      <w:pPr>
        <w:jc w:val="both"/>
        <w:rPr>
          <w:rFonts w:ascii="Arial" w:hAnsi="Arial" w:cs="Arial"/>
          <w:sz w:val="20"/>
          <w:szCs w:val="20"/>
        </w:rPr>
      </w:pPr>
      <w:r w:rsidRPr="005E0A54">
        <w:rPr>
          <w:rFonts w:ascii="Arial" w:hAnsi="Arial" w:cs="Arial"/>
          <w:sz w:val="20"/>
          <w:szCs w:val="20"/>
        </w:rPr>
        <w:t xml:space="preserve">      </w:t>
      </w:r>
    </w:p>
    <w:p w:rsidR="00690E7B" w:rsidRPr="005E0A54" w:rsidRDefault="00CD27C9" w:rsidP="00CD27C9">
      <w:pPr>
        <w:jc w:val="both"/>
        <w:rPr>
          <w:rFonts w:ascii="Arial" w:hAnsi="Arial" w:cs="Arial"/>
          <w:sz w:val="20"/>
          <w:szCs w:val="20"/>
        </w:rPr>
      </w:pPr>
      <w:r w:rsidRPr="005E0A54">
        <w:rPr>
          <w:rFonts w:ascii="Arial" w:hAnsi="Arial" w:cs="Arial"/>
          <w:sz w:val="20"/>
          <w:szCs w:val="20"/>
        </w:rPr>
        <w:t xml:space="preserve">      </w:t>
      </w:r>
      <w:r w:rsidRPr="005E0A54">
        <w:rPr>
          <w:rFonts w:ascii="Arial" w:hAnsi="Arial" w:cs="Arial"/>
          <w:sz w:val="20"/>
          <w:szCs w:val="20"/>
        </w:rPr>
        <w:tab/>
      </w:r>
      <w:r w:rsidR="00690E7B" w:rsidRPr="005E0A54">
        <w:rPr>
          <w:rFonts w:ascii="Arial" w:hAnsi="Arial" w:cs="Arial"/>
          <w:b/>
          <w:sz w:val="20"/>
          <w:szCs w:val="20"/>
        </w:rPr>
        <w:t>a)</w:t>
      </w:r>
      <w:r w:rsidR="00690E7B" w:rsidRPr="005E0A54">
        <w:rPr>
          <w:rFonts w:ascii="Arial" w:hAnsi="Arial" w:cs="Arial"/>
          <w:sz w:val="20"/>
          <w:szCs w:val="20"/>
        </w:rPr>
        <w:t xml:space="preserve"> Inversiones en valores:</w:t>
      </w:r>
      <w:r w:rsidRPr="005E0A54">
        <w:rPr>
          <w:rFonts w:ascii="Arial" w:hAnsi="Arial" w:cs="Arial"/>
          <w:sz w:val="20"/>
          <w:szCs w:val="20"/>
        </w:rPr>
        <w:t xml:space="preserve"> El instituto no cuenta Inversiones en valores.</w:t>
      </w:r>
    </w:p>
    <w:p w:rsidR="00690E7B" w:rsidRPr="005E0A54" w:rsidRDefault="00690E7B" w:rsidP="00690E7B">
      <w:pPr>
        <w:jc w:val="both"/>
        <w:rPr>
          <w:rFonts w:ascii="Arial" w:hAnsi="Arial" w:cs="Arial"/>
          <w:sz w:val="20"/>
          <w:szCs w:val="20"/>
        </w:rPr>
      </w:pPr>
      <w:r w:rsidRPr="005E0A54">
        <w:rPr>
          <w:rFonts w:ascii="Arial" w:hAnsi="Arial" w:cs="Arial"/>
          <w:sz w:val="20"/>
          <w:szCs w:val="20"/>
        </w:rPr>
        <w:t xml:space="preserve">      </w:t>
      </w:r>
    </w:p>
    <w:p w:rsidR="00690E7B" w:rsidRPr="005E0A54" w:rsidRDefault="00690E7B" w:rsidP="00690E7B">
      <w:pPr>
        <w:jc w:val="both"/>
        <w:rPr>
          <w:rFonts w:ascii="Arial" w:hAnsi="Arial" w:cs="Arial"/>
          <w:sz w:val="20"/>
          <w:szCs w:val="20"/>
        </w:rPr>
      </w:pPr>
      <w:r w:rsidRPr="005E0A54">
        <w:rPr>
          <w:rFonts w:ascii="Arial" w:hAnsi="Arial" w:cs="Arial"/>
          <w:b/>
          <w:sz w:val="20"/>
          <w:szCs w:val="20"/>
        </w:rPr>
        <w:t xml:space="preserve">      </w:t>
      </w:r>
      <w:r w:rsidR="00CD27C9" w:rsidRPr="005E0A54">
        <w:rPr>
          <w:rFonts w:ascii="Arial" w:hAnsi="Arial" w:cs="Arial"/>
          <w:b/>
          <w:sz w:val="20"/>
          <w:szCs w:val="20"/>
        </w:rPr>
        <w:tab/>
      </w:r>
      <w:r w:rsidRPr="005E0A54">
        <w:rPr>
          <w:rFonts w:ascii="Arial" w:hAnsi="Arial" w:cs="Arial"/>
          <w:b/>
          <w:sz w:val="20"/>
          <w:szCs w:val="20"/>
        </w:rPr>
        <w:t>b)</w:t>
      </w:r>
      <w:r w:rsidRPr="005E0A54">
        <w:rPr>
          <w:rFonts w:ascii="Arial" w:hAnsi="Arial" w:cs="Arial"/>
          <w:sz w:val="20"/>
          <w:szCs w:val="20"/>
        </w:rPr>
        <w:t xml:space="preserve"> Patrimonio de Organismos descentralizados de Control Presupu</w:t>
      </w:r>
      <w:r w:rsidR="00CD27C9" w:rsidRPr="005E0A54">
        <w:rPr>
          <w:rFonts w:ascii="Arial" w:hAnsi="Arial" w:cs="Arial"/>
          <w:sz w:val="20"/>
          <w:szCs w:val="20"/>
        </w:rPr>
        <w:t xml:space="preserve">estario Indirecto: </w:t>
      </w:r>
      <w:r w:rsidRPr="005E0A54">
        <w:rPr>
          <w:rFonts w:ascii="Arial" w:hAnsi="Arial" w:cs="Arial"/>
          <w:sz w:val="20"/>
          <w:szCs w:val="20"/>
        </w:rPr>
        <w:t>NO APLICA</w:t>
      </w:r>
    </w:p>
    <w:p w:rsidR="00CD27C9" w:rsidRPr="005E0A54" w:rsidRDefault="00CD27C9" w:rsidP="00690E7B">
      <w:pPr>
        <w:jc w:val="both"/>
        <w:rPr>
          <w:rFonts w:ascii="Arial" w:hAnsi="Arial" w:cs="Arial"/>
          <w:sz w:val="20"/>
          <w:szCs w:val="20"/>
        </w:rPr>
      </w:pPr>
    </w:p>
    <w:p w:rsidR="00690E7B" w:rsidRPr="005E0A54" w:rsidRDefault="00690E7B" w:rsidP="00690E7B">
      <w:pPr>
        <w:jc w:val="both"/>
        <w:rPr>
          <w:rFonts w:ascii="Arial" w:hAnsi="Arial" w:cs="Arial"/>
          <w:sz w:val="20"/>
          <w:szCs w:val="20"/>
        </w:rPr>
      </w:pPr>
      <w:r w:rsidRPr="005E0A54">
        <w:rPr>
          <w:rFonts w:ascii="Arial" w:hAnsi="Arial" w:cs="Arial"/>
          <w:b/>
          <w:sz w:val="20"/>
          <w:szCs w:val="20"/>
        </w:rPr>
        <w:t xml:space="preserve">     </w:t>
      </w:r>
      <w:r w:rsidR="00CD27C9" w:rsidRPr="005E0A54">
        <w:rPr>
          <w:rFonts w:ascii="Arial" w:hAnsi="Arial" w:cs="Arial"/>
          <w:b/>
          <w:sz w:val="20"/>
          <w:szCs w:val="20"/>
        </w:rPr>
        <w:tab/>
      </w:r>
      <w:r w:rsidRPr="005E0A54">
        <w:rPr>
          <w:rFonts w:ascii="Arial" w:hAnsi="Arial" w:cs="Arial"/>
          <w:b/>
          <w:sz w:val="20"/>
          <w:szCs w:val="20"/>
        </w:rPr>
        <w:t>c)</w:t>
      </w:r>
      <w:r w:rsidRPr="005E0A54">
        <w:rPr>
          <w:rFonts w:ascii="Arial" w:hAnsi="Arial" w:cs="Arial"/>
          <w:sz w:val="20"/>
          <w:szCs w:val="20"/>
        </w:rPr>
        <w:t xml:space="preserve"> Inversiones en empresas de participación mayoritaria:</w:t>
      </w:r>
      <w:r w:rsidR="00CD27C9" w:rsidRPr="005E0A54">
        <w:rPr>
          <w:rFonts w:ascii="Arial" w:hAnsi="Arial" w:cs="Arial"/>
          <w:sz w:val="20"/>
          <w:szCs w:val="20"/>
        </w:rPr>
        <w:t xml:space="preserve"> NO APLICA</w:t>
      </w:r>
    </w:p>
    <w:p w:rsidR="00690E7B" w:rsidRPr="005E0A54" w:rsidRDefault="00690E7B" w:rsidP="00690E7B">
      <w:pPr>
        <w:jc w:val="both"/>
        <w:rPr>
          <w:rFonts w:ascii="Arial" w:hAnsi="Arial" w:cs="Arial"/>
          <w:sz w:val="20"/>
          <w:szCs w:val="20"/>
        </w:rPr>
      </w:pPr>
      <w:r w:rsidRPr="005E0A54">
        <w:rPr>
          <w:rFonts w:ascii="Arial" w:hAnsi="Arial" w:cs="Arial"/>
          <w:sz w:val="20"/>
          <w:szCs w:val="20"/>
        </w:rPr>
        <w:t xml:space="preserve">       </w:t>
      </w:r>
    </w:p>
    <w:p w:rsidR="00690E7B" w:rsidRPr="005E0A54" w:rsidRDefault="00690E7B" w:rsidP="00690E7B">
      <w:pPr>
        <w:jc w:val="both"/>
        <w:rPr>
          <w:rFonts w:ascii="Arial" w:hAnsi="Arial" w:cs="Arial"/>
          <w:sz w:val="20"/>
          <w:szCs w:val="20"/>
        </w:rPr>
      </w:pPr>
      <w:r w:rsidRPr="005E0A54">
        <w:rPr>
          <w:rFonts w:ascii="Arial" w:hAnsi="Arial" w:cs="Arial"/>
          <w:b/>
          <w:sz w:val="20"/>
          <w:szCs w:val="20"/>
        </w:rPr>
        <w:t xml:space="preserve">     </w:t>
      </w:r>
      <w:r w:rsidR="00CD27C9" w:rsidRPr="005E0A54">
        <w:rPr>
          <w:rFonts w:ascii="Arial" w:hAnsi="Arial" w:cs="Arial"/>
          <w:b/>
          <w:sz w:val="20"/>
          <w:szCs w:val="20"/>
        </w:rPr>
        <w:tab/>
      </w:r>
      <w:r w:rsidRPr="005E0A54">
        <w:rPr>
          <w:rFonts w:ascii="Arial" w:hAnsi="Arial" w:cs="Arial"/>
          <w:b/>
          <w:sz w:val="20"/>
          <w:szCs w:val="20"/>
        </w:rPr>
        <w:t>d)</w:t>
      </w:r>
      <w:r w:rsidRPr="005E0A54">
        <w:rPr>
          <w:rFonts w:ascii="Arial" w:hAnsi="Arial" w:cs="Arial"/>
          <w:sz w:val="20"/>
          <w:szCs w:val="20"/>
        </w:rPr>
        <w:t xml:space="preserve"> Inversiones en empresas de participación minoritaria:</w:t>
      </w:r>
      <w:r w:rsidR="00CD27C9" w:rsidRPr="005E0A54">
        <w:rPr>
          <w:rFonts w:ascii="Arial" w:hAnsi="Arial" w:cs="Arial"/>
          <w:sz w:val="20"/>
          <w:szCs w:val="20"/>
        </w:rPr>
        <w:t xml:space="preserve"> NO APLICA</w:t>
      </w:r>
    </w:p>
    <w:p w:rsidR="00CD27C9" w:rsidRPr="00690E7B" w:rsidRDefault="00CD27C9" w:rsidP="00690E7B">
      <w:pPr>
        <w:jc w:val="both"/>
        <w:rPr>
          <w:rFonts w:ascii="Arial" w:hAnsi="Arial" w:cs="Arial"/>
          <w:sz w:val="20"/>
          <w:szCs w:val="20"/>
        </w:rPr>
      </w:pPr>
    </w:p>
    <w:p w:rsidR="00690E7B" w:rsidRPr="00690E7B" w:rsidRDefault="00690E7B" w:rsidP="00690E7B">
      <w:pPr>
        <w:jc w:val="both"/>
        <w:rPr>
          <w:rFonts w:ascii="Arial" w:hAnsi="Arial" w:cs="Arial"/>
          <w:sz w:val="20"/>
          <w:szCs w:val="20"/>
        </w:rPr>
      </w:pPr>
      <w:r w:rsidRPr="00690E7B">
        <w:rPr>
          <w:rFonts w:ascii="Arial" w:hAnsi="Arial" w:cs="Arial"/>
          <w:b/>
          <w:sz w:val="20"/>
          <w:szCs w:val="20"/>
        </w:rPr>
        <w:t xml:space="preserve"> </w:t>
      </w:r>
      <w:r w:rsidR="00394F5E">
        <w:rPr>
          <w:rFonts w:ascii="Arial" w:hAnsi="Arial" w:cs="Arial"/>
          <w:b/>
          <w:sz w:val="20"/>
          <w:szCs w:val="20"/>
        </w:rPr>
        <w:t xml:space="preserve">    </w:t>
      </w:r>
      <w:r w:rsidRPr="00690E7B">
        <w:rPr>
          <w:rFonts w:ascii="Arial" w:hAnsi="Arial" w:cs="Arial"/>
          <w:b/>
          <w:sz w:val="20"/>
          <w:szCs w:val="20"/>
        </w:rPr>
        <w:t xml:space="preserve"> </w:t>
      </w:r>
      <w:r w:rsidR="00CD27C9">
        <w:rPr>
          <w:rFonts w:ascii="Arial" w:hAnsi="Arial" w:cs="Arial"/>
          <w:b/>
          <w:sz w:val="20"/>
          <w:szCs w:val="20"/>
        </w:rPr>
        <w:tab/>
      </w:r>
      <w:r w:rsidRPr="00690E7B">
        <w:rPr>
          <w:rFonts w:ascii="Arial" w:hAnsi="Arial" w:cs="Arial"/>
          <w:b/>
          <w:sz w:val="20"/>
          <w:szCs w:val="20"/>
        </w:rPr>
        <w:t>e)</w:t>
      </w:r>
      <w:r w:rsidRPr="00690E7B">
        <w:rPr>
          <w:rFonts w:ascii="Arial" w:hAnsi="Arial" w:cs="Arial"/>
          <w:sz w:val="20"/>
          <w:szCs w:val="20"/>
        </w:rPr>
        <w:t xml:space="preserve"> Patrimonio de organismos descentralizados de control presupuestario directo, según corresponda:</w:t>
      </w:r>
    </w:p>
    <w:p w:rsidR="00690E7B" w:rsidRPr="00690E7B" w:rsidRDefault="00690E7B" w:rsidP="00690E7B">
      <w:pPr>
        <w:jc w:val="both"/>
        <w:rPr>
          <w:rFonts w:ascii="Arial" w:hAnsi="Arial" w:cs="Arial"/>
          <w:b/>
          <w:color w:val="1F497D"/>
          <w:sz w:val="20"/>
          <w:szCs w:val="20"/>
        </w:rPr>
      </w:pPr>
      <w:r w:rsidRPr="00690E7B">
        <w:rPr>
          <w:rFonts w:ascii="Arial" w:hAnsi="Arial" w:cs="Arial"/>
          <w:b/>
          <w:color w:val="1F497D"/>
          <w:sz w:val="20"/>
          <w:szCs w:val="20"/>
        </w:rPr>
        <w:t xml:space="preserve">       *Se refiere al Estado Analítico de Activo </w:t>
      </w:r>
    </w:p>
    <w:p w:rsidR="00690E7B" w:rsidRPr="00690E7B" w:rsidRDefault="00690E7B" w:rsidP="00690E7B">
      <w:pPr>
        <w:jc w:val="both"/>
        <w:rPr>
          <w:rFonts w:ascii="Arial" w:hAnsi="Arial" w:cs="Arial"/>
          <w:b/>
          <w:color w:val="1F497D"/>
          <w:sz w:val="20"/>
          <w:szCs w:val="20"/>
        </w:rPr>
      </w:pPr>
    </w:p>
    <w:p w:rsidR="00690E7B" w:rsidRPr="00690E7B" w:rsidRDefault="00690E7B" w:rsidP="00690E7B">
      <w:pPr>
        <w:jc w:val="both"/>
        <w:rPr>
          <w:rFonts w:ascii="Arial" w:hAnsi="Arial" w:cs="Arial"/>
          <w:b/>
          <w:sz w:val="20"/>
          <w:szCs w:val="20"/>
        </w:rPr>
      </w:pPr>
      <w:r w:rsidRPr="00690E7B">
        <w:rPr>
          <w:rFonts w:ascii="Arial" w:hAnsi="Arial" w:cs="Arial"/>
          <w:b/>
          <w:sz w:val="20"/>
          <w:szCs w:val="20"/>
        </w:rPr>
        <w:t xml:space="preserve">      9. Fideicomisos, Mandatos y Análogos:</w:t>
      </w:r>
    </w:p>
    <w:p w:rsidR="00690E7B" w:rsidRPr="00690E7B" w:rsidRDefault="00690E7B" w:rsidP="00690E7B">
      <w:pPr>
        <w:jc w:val="both"/>
        <w:rPr>
          <w:rFonts w:ascii="Arial" w:hAnsi="Arial" w:cs="Arial"/>
          <w:sz w:val="20"/>
          <w:szCs w:val="20"/>
        </w:rPr>
      </w:pPr>
      <w:r w:rsidRPr="00690E7B">
        <w:rPr>
          <w:rFonts w:ascii="Arial" w:hAnsi="Arial" w:cs="Arial"/>
          <w:sz w:val="20"/>
          <w:szCs w:val="20"/>
        </w:rPr>
        <w:t xml:space="preserve">       Se deberá informar:</w:t>
      </w:r>
    </w:p>
    <w:p w:rsidR="00690E7B" w:rsidRPr="00690E7B" w:rsidRDefault="00690E7B" w:rsidP="00690E7B">
      <w:pPr>
        <w:jc w:val="both"/>
        <w:rPr>
          <w:rFonts w:ascii="Arial" w:hAnsi="Arial" w:cs="Arial"/>
          <w:sz w:val="20"/>
          <w:szCs w:val="20"/>
        </w:rPr>
      </w:pPr>
      <w:r w:rsidRPr="00690E7B">
        <w:rPr>
          <w:rFonts w:ascii="Arial" w:hAnsi="Arial" w:cs="Arial"/>
          <w:b/>
          <w:sz w:val="20"/>
          <w:szCs w:val="20"/>
        </w:rPr>
        <w:t xml:space="preserve">  </w:t>
      </w:r>
      <w:r w:rsidR="00394F5E">
        <w:rPr>
          <w:rFonts w:ascii="Arial" w:hAnsi="Arial" w:cs="Arial"/>
          <w:b/>
          <w:sz w:val="20"/>
          <w:szCs w:val="20"/>
        </w:rPr>
        <w:t xml:space="preserve">    </w:t>
      </w:r>
      <w:r w:rsidRPr="00690E7B">
        <w:rPr>
          <w:rFonts w:ascii="Arial" w:hAnsi="Arial" w:cs="Arial"/>
          <w:b/>
          <w:sz w:val="20"/>
          <w:szCs w:val="20"/>
        </w:rPr>
        <w:t xml:space="preserve"> a)</w:t>
      </w:r>
      <w:r w:rsidRPr="00690E7B">
        <w:rPr>
          <w:rFonts w:ascii="Arial" w:hAnsi="Arial" w:cs="Arial"/>
          <w:sz w:val="20"/>
          <w:szCs w:val="20"/>
        </w:rPr>
        <w:t xml:space="preserve"> Por ramo administrativo que los reporta:</w:t>
      </w:r>
    </w:p>
    <w:p w:rsidR="00690E7B" w:rsidRPr="00690E7B" w:rsidRDefault="00690E7B" w:rsidP="00690E7B">
      <w:pPr>
        <w:jc w:val="both"/>
        <w:rPr>
          <w:rFonts w:ascii="Arial" w:hAnsi="Arial" w:cs="Arial"/>
          <w:sz w:val="20"/>
          <w:szCs w:val="20"/>
        </w:rPr>
      </w:pPr>
      <w:r w:rsidRPr="00690E7B">
        <w:rPr>
          <w:rFonts w:ascii="Arial" w:hAnsi="Arial" w:cs="Arial"/>
          <w:sz w:val="20"/>
          <w:szCs w:val="20"/>
        </w:rPr>
        <w:t xml:space="preserve">        NO APLICA</w:t>
      </w:r>
    </w:p>
    <w:p w:rsidR="00690E7B" w:rsidRPr="00690E7B" w:rsidRDefault="00690E7B" w:rsidP="00690E7B">
      <w:pPr>
        <w:jc w:val="both"/>
        <w:rPr>
          <w:rFonts w:ascii="Arial" w:hAnsi="Arial" w:cs="Arial"/>
          <w:sz w:val="20"/>
          <w:szCs w:val="20"/>
        </w:rPr>
      </w:pPr>
      <w:r w:rsidRPr="00690E7B">
        <w:rPr>
          <w:rFonts w:ascii="Arial" w:hAnsi="Arial" w:cs="Arial"/>
          <w:b/>
          <w:sz w:val="20"/>
          <w:szCs w:val="20"/>
        </w:rPr>
        <w:t xml:space="preserve">  </w:t>
      </w:r>
      <w:r w:rsidR="00394F5E">
        <w:rPr>
          <w:rFonts w:ascii="Arial" w:hAnsi="Arial" w:cs="Arial"/>
          <w:b/>
          <w:sz w:val="20"/>
          <w:szCs w:val="20"/>
        </w:rPr>
        <w:t xml:space="preserve">    </w:t>
      </w:r>
      <w:r w:rsidRPr="00690E7B">
        <w:rPr>
          <w:rFonts w:ascii="Arial" w:hAnsi="Arial" w:cs="Arial"/>
          <w:b/>
          <w:sz w:val="20"/>
          <w:szCs w:val="20"/>
        </w:rPr>
        <w:t xml:space="preserve"> b)</w:t>
      </w:r>
      <w:r w:rsidRPr="00690E7B">
        <w:rPr>
          <w:rFonts w:ascii="Arial" w:hAnsi="Arial" w:cs="Arial"/>
          <w:sz w:val="20"/>
          <w:szCs w:val="20"/>
        </w:rPr>
        <w:t xml:space="preserve"> Enlistar los de mayor monto de disponibilidad, relacionando aquéllos que conforman el 80% de las disponibilidades:</w:t>
      </w:r>
    </w:p>
    <w:p w:rsidR="00690E7B" w:rsidRDefault="00690E7B" w:rsidP="00690E7B">
      <w:pPr>
        <w:jc w:val="both"/>
        <w:rPr>
          <w:rFonts w:ascii="Arial" w:hAnsi="Arial" w:cs="Arial"/>
          <w:sz w:val="20"/>
          <w:szCs w:val="20"/>
        </w:rPr>
      </w:pPr>
      <w:r w:rsidRPr="00690E7B">
        <w:rPr>
          <w:rFonts w:ascii="Arial" w:hAnsi="Arial" w:cs="Arial"/>
          <w:sz w:val="20"/>
          <w:szCs w:val="20"/>
        </w:rPr>
        <w:t xml:space="preserve">        NO APLICA</w:t>
      </w:r>
    </w:p>
    <w:p w:rsidR="00925E40" w:rsidRDefault="00925E40" w:rsidP="00690E7B">
      <w:pPr>
        <w:jc w:val="both"/>
        <w:rPr>
          <w:rFonts w:ascii="Arial" w:hAnsi="Arial" w:cs="Arial"/>
          <w:sz w:val="20"/>
          <w:szCs w:val="20"/>
        </w:rPr>
      </w:pPr>
    </w:p>
    <w:p w:rsidR="00925E40" w:rsidRPr="00690E7B" w:rsidRDefault="00925E40" w:rsidP="00690E7B">
      <w:pPr>
        <w:jc w:val="both"/>
        <w:rPr>
          <w:rFonts w:ascii="Arial" w:hAnsi="Arial" w:cs="Arial"/>
          <w:sz w:val="20"/>
          <w:szCs w:val="20"/>
        </w:rPr>
      </w:pPr>
    </w:p>
    <w:p w:rsidR="00603A5D" w:rsidRPr="00690E7B" w:rsidRDefault="00690E7B" w:rsidP="00690E7B">
      <w:pPr>
        <w:jc w:val="both"/>
        <w:rPr>
          <w:rFonts w:ascii="Arial" w:hAnsi="Arial" w:cs="Arial"/>
          <w:b/>
          <w:sz w:val="20"/>
          <w:szCs w:val="20"/>
        </w:rPr>
      </w:pPr>
      <w:r w:rsidRPr="00690E7B">
        <w:rPr>
          <w:rFonts w:ascii="Arial" w:hAnsi="Arial" w:cs="Arial"/>
          <w:b/>
          <w:sz w:val="20"/>
          <w:szCs w:val="20"/>
        </w:rPr>
        <w:t>10. Reporte de la Recaudación:</w:t>
      </w:r>
    </w:p>
    <w:p w:rsidR="00925E40" w:rsidRDefault="00690E7B" w:rsidP="000109B7">
      <w:pPr>
        <w:numPr>
          <w:ilvl w:val="0"/>
          <w:numId w:val="3"/>
        </w:numPr>
        <w:jc w:val="both"/>
        <w:rPr>
          <w:rFonts w:ascii="Arial" w:hAnsi="Arial" w:cs="Arial"/>
          <w:sz w:val="20"/>
          <w:szCs w:val="20"/>
        </w:rPr>
      </w:pPr>
      <w:r w:rsidRPr="002E680F">
        <w:rPr>
          <w:rFonts w:ascii="Arial" w:hAnsi="Arial" w:cs="Arial"/>
          <w:sz w:val="20"/>
          <w:szCs w:val="20"/>
        </w:rPr>
        <w:t xml:space="preserve">Análisis del comportamiento de la recaudación correspondiente al ente público o cualquier tipo de ingreso, de forma separada los ingresos locales de los </w:t>
      </w:r>
      <w:r w:rsidRPr="00114CB5">
        <w:rPr>
          <w:rFonts w:ascii="Arial" w:hAnsi="Arial" w:cs="Arial"/>
          <w:sz w:val="20"/>
          <w:szCs w:val="20"/>
        </w:rPr>
        <w:t>federales</w:t>
      </w:r>
      <w:r w:rsidR="00523289" w:rsidRPr="00114CB5">
        <w:rPr>
          <w:rFonts w:ascii="Arial" w:hAnsi="Arial" w:cs="Arial"/>
          <w:sz w:val="20"/>
          <w:szCs w:val="20"/>
        </w:rPr>
        <w:t xml:space="preserve"> </w:t>
      </w:r>
    </w:p>
    <w:p w:rsidR="00925E40" w:rsidRDefault="00925E40" w:rsidP="00925E40">
      <w:pPr>
        <w:jc w:val="both"/>
        <w:rPr>
          <w:rFonts w:ascii="Arial" w:hAnsi="Arial" w:cs="Arial"/>
          <w:sz w:val="20"/>
          <w:szCs w:val="20"/>
        </w:rPr>
      </w:pPr>
    </w:p>
    <w:p w:rsidR="00925E40" w:rsidRDefault="00925E40" w:rsidP="00925E40">
      <w:pPr>
        <w:jc w:val="both"/>
        <w:rPr>
          <w:rFonts w:ascii="Arial" w:hAnsi="Arial" w:cs="Arial"/>
          <w:sz w:val="20"/>
          <w:szCs w:val="20"/>
        </w:rPr>
      </w:pPr>
    </w:p>
    <w:p w:rsidR="00925E40" w:rsidRDefault="00925E40" w:rsidP="00925E40">
      <w:pPr>
        <w:jc w:val="both"/>
        <w:rPr>
          <w:rFonts w:ascii="Arial" w:hAnsi="Arial" w:cs="Arial"/>
          <w:sz w:val="20"/>
          <w:szCs w:val="20"/>
        </w:rPr>
      </w:pPr>
    </w:p>
    <w:p w:rsidR="002E680F" w:rsidRPr="00114CB5" w:rsidRDefault="00523289" w:rsidP="00925E40">
      <w:pPr>
        <w:jc w:val="both"/>
        <w:rPr>
          <w:rFonts w:ascii="Arial" w:hAnsi="Arial" w:cs="Arial"/>
          <w:sz w:val="20"/>
          <w:szCs w:val="20"/>
        </w:rPr>
      </w:pPr>
      <w:r w:rsidRPr="00114CB5">
        <w:rPr>
          <w:rFonts w:ascii="Arial" w:hAnsi="Arial" w:cs="Arial"/>
          <w:sz w:val="20"/>
          <w:szCs w:val="20"/>
        </w:rPr>
        <w:t xml:space="preserve"> </w:t>
      </w:r>
    </w:p>
    <w:p w:rsidR="002E680F" w:rsidRPr="00114CB5" w:rsidRDefault="002E680F" w:rsidP="002E680F">
      <w:pPr>
        <w:ind w:left="720"/>
        <w:jc w:val="both"/>
        <w:rPr>
          <w:rFonts w:ascii="Arial" w:hAnsi="Arial" w:cs="Arial"/>
          <w:sz w:val="20"/>
          <w:szCs w:val="20"/>
        </w:rPr>
      </w:pPr>
    </w:p>
    <w:tbl>
      <w:tblPr>
        <w:tblpPr w:leftFromText="141" w:rightFromText="141" w:vertAnchor="text" w:horzAnchor="page" w:tblpX="3184" w:tblpY="7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9"/>
        <w:gridCol w:w="2552"/>
      </w:tblGrid>
      <w:tr w:rsidR="00523289" w:rsidRPr="00114CB5" w:rsidTr="002E680F">
        <w:tc>
          <w:tcPr>
            <w:tcW w:w="7201" w:type="dxa"/>
            <w:gridSpan w:val="2"/>
            <w:shd w:val="clear" w:color="auto" w:fill="auto"/>
          </w:tcPr>
          <w:p w:rsidR="00523289" w:rsidRPr="00114CB5" w:rsidRDefault="00523289" w:rsidP="002E680F">
            <w:pPr>
              <w:pBdr>
                <w:left w:val="single" w:sz="4" w:space="4" w:color="auto"/>
              </w:pBdr>
              <w:jc w:val="center"/>
              <w:rPr>
                <w:rFonts w:cstheme="minorHAnsi"/>
                <w:b/>
                <w:sz w:val="20"/>
                <w:szCs w:val="20"/>
              </w:rPr>
            </w:pPr>
            <w:r w:rsidRPr="00114CB5">
              <w:rPr>
                <w:rFonts w:cstheme="minorHAnsi"/>
                <w:b/>
                <w:sz w:val="20"/>
                <w:szCs w:val="20"/>
              </w:rPr>
              <w:t>INGRESOS PROPIOS</w:t>
            </w:r>
          </w:p>
        </w:tc>
      </w:tr>
      <w:tr w:rsidR="00523289" w:rsidRPr="00114CB5" w:rsidTr="002E680F">
        <w:tc>
          <w:tcPr>
            <w:tcW w:w="4649" w:type="dxa"/>
            <w:shd w:val="clear" w:color="auto" w:fill="auto"/>
          </w:tcPr>
          <w:p w:rsidR="00523289" w:rsidRPr="00752EEA" w:rsidRDefault="00523289" w:rsidP="002E680F">
            <w:pPr>
              <w:pBdr>
                <w:left w:val="single" w:sz="4" w:space="4" w:color="auto"/>
              </w:pBdr>
              <w:jc w:val="center"/>
              <w:rPr>
                <w:rFonts w:cstheme="minorHAnsi"/>
                <w:b/>
                <w:sz w:val="18"/>
                <w:szCs w:val="18"/>
              </w:rPr>
            </w:pPr>
            <w:r w:rsidRPr="00752EEA">
              <w:rPr>
                <w:rFonts w:cstheme="minorHAnsi"/>
                <w:b/>
                <w:sz w:val="18"/>
                <w:szCs w:val="18"/>
              </w:rPr>
              <w:t>FONDO</w:t>
            </w:r>
          </w:p>
        </w:tc>
        <w:tc>
          <w:tcPr>
            <w:tcW w:w="2552" w:type="dxa"/>
            <w:shd w:val="clear" w:color="auto" w:fill="auto"/>
          </w:tcPr>
          <w:p w:rsidR="00523289" w:rsidRPr="00752EEA" w:rsidRDefault="00523289" w:rsidP="002E680F">
            <w:pPr>
              <w:pBdr>
                <w:left w:val="single" w:sz="4" w:space="4" w:color="auto"/>
              </w:pBdr>
              <w:jc w:val="center"/>
              <w:rPr>
                <w:rFonts w:cstheme="minorHAnsi"/>
                <w:b/>
                <w:sz w:val="18"/>
                <w:szCs w:val="18"/>
              </w:rPr>
            </w:pPr>
            <w:r w:rsidRPr="00752EEA">
              <w:rPr>
                <w:rFonts w:cstheme="minorHAnsi"/>
                <w:b/>
                <w:sz w:val="18"/>
                <w:szCs w:val="18"/>
              </w:rPr>
              <w:t>IMPORTE RECAUDADO</w:t>
            </w:r>
          </w:p>
        </w:tc>
      </w:tr>
      <w:tr w:rsidR="00523289" w:rsidRPr="00114CB5" w:rsidTr="00752EEA">
        <w:trPr>
          <w:trHeight w:val="221"/>
        </w:trPr>
        <w:tc>
          <w:tcPr>
            <w:tcW w:w="4649" w:type="dxa"/>
            <w:shd w:val="clear" w:color="auto" w:fill="auto"/>
          </w:tcPr>
          <w:p w:rsidR="00D05C7B" w:rsidRPr="00752EEA" w:rsidRDefault="00D05C7B" w:rsidP="005D29BB">
            <w:pPr>
              <w:jc w:val="center"/>
              <w:rPr>
                <w:rFonts w:asciiTheme="majorHAnsi" w:hAnsiTheme="majorHAnsi" w:cstheme="majorHAnsi"/>
                <w:color w:val="000000"/>
                <w:sz w:val="18"/>
                <w:szCs w:val="18"/>
              </w:rPr>
            </w:pPr>
            <w:r w:rsidRPr="00752EEA">
              <w:rPr>
                <w:rFonts w:asciiTheme="majorHAnsi" w:hAnsiTheme="majorHAnsi" w:cstheme="majorHAnsi"/>
                <w:color w:val="000000"/>
                <w:sz w:val="18"/>
                <w:szCs w:val="18"/>
              </w:rPr>
              <w:t>1424730000</w:t>
            </w:r>
          </w:p>
          <w:p w:rsidR="00523289" w:rsidRPr="00752EEA" w:rsidRDefault="00523289" w:rsidP="005D29BB">
            <w:pPr>
              <w:pBdr>
                <w:left w:val="single" w:sz="4" w:space="4" w:color="auto"/>
              </w:pBdr>
              <w:jc w:val="center"/>
              <w:rPr>
                <w:rFonts w:asciiTheme="majorHAnsi" w:hAnsiTheme="majorHAnsi" w:cstheme="majorHAnsi"/>
                <w:sz w:val="18"/>
                <w:szCs w:val="18"/>
              </w:rPr>
            </w:pPr>
          </w:p>
        </w:tc>
        <w:tc>
          <w:tcPr>
            <w:tcW w:w="2552" w:type="dxa"/>
            <w:shd w:val="clear" w:color="auto" w:fill="auto"/>
            <w:vAlign w:val="bottom"/>
          </w:tcPr>
          <w:p w:rsidR="00523289" w:rsidRPr="00752EEA" w:rsidRDefault="00777414" w:rsidP="002E680F">
            <w:pPr>
              <w:jc w:val="right"/>
              <w:rPr>
                <w:rFonts w:asciiTheme="majorHAnsi" w:hAnsiTheme="majorHAnsi" w:cstheme="majorHAnsi"/>
                <w:color w:val="000000"/>
                <w:sz w:val="18"/>
                <w:szCs w:val="18"/>
              </w:rPr>
            </w:pPr>
            <w:r>
              <w:rPr>
                <w:rFonts w:asciiTheme="majorHAnsi" w:hAnsiTheme="majorHAnsi" w:cstheme="majorHAnsi"/>
                <w:color w:val="000000"/>
                <w:sz w:val="18"/>
                <w:szCs w:val="18"/>
              </w:rPr>
              <w:t>799,461.00</w:t>
            </w:r>
          </w:p>
        </w:tc>
      </w:tr>
      <w:tr w:rsidR="00543F97" w:rsidRPr="00114CB5" w:rsidTr="00543F97">
        <w:trPr>
          <w:trHeight w:val="335"/>
        </w:trPr>
        <w:tc>
          <w:tcPr>
            <w:tcW w:w="4649" w:type="dxa"/>
            <w:shd w:val="clear" w:color="auto" w:fill="auto"/>
          </w:tcPr>
          <w:p w:rsidR="00543F97" w:rsidRPr="00752EEA" w:rsidRDefault="00543F97" w:rsidP="005D29BB">
            <w:pPr>
              <w:jc w:val="center"/>
              <w:rPr>
                <w:rFonts w:asciiTheme="majorHAnsi" w:hAnsiTheme="majorHAnsi" w:cstheme="majorHAnsi"/>
                <w:color w:val="000000"/>
                <w:sz w:val="18"/>
                <w:szCs w:val="18"/>
              </w:rPr>
            </w:pPr>
            <w:r w:rsidRPr="00752EEA">
              <w:rPr>
                <w:rFonts w:asciiTheme="majorHAnsi" w:hAnsiTheme="majorHAnsi" w:cstheme="majorHAnsi"/>
                <w:color w:val="000000"/>
                <w:sz w:val="18"/>
                <w:szCs w:val="18"/>
              </w:rPr>
              <w:t>1424730100</w:t>
            </w:r>
          </w:p>
        </w:tc>
        <w:tc>
          <w:tcPr>
            <w:tcW w:w="2552" w:type="dxa"/>
            <w:shd w:val="clear" w:color="auto" w:fill="auto"/>
            <w:vAlign w:val="bottom"/>
          </w:tcPr>
          <w:p w:rsidR="00543F97" w:rsidRPr="00752EEA" w:rsidRDefault="00777414" w:rsidP="002E680F">
            <w:pPr>
              <w:jc w:val="right"/>
              <w:rPr>
                <w:rFonts w:asciiTheme="majorHAnsi" w:hAnsiTheme="majorHAnsi" w:cstheme="majorHAnsi"/>
                <w:color w:val="000000"/>
                <w:sz w:val="18"/>
                <w:szCs w:val="18"/>
              </w:rPr>
            </w:pPr>
            <w:r>
              <w:rPr>
                <w:rFonts w:asciiTheme="majorHAnsi" w:hAnsiTheme="majorHAnsi" w:cstheme="majorHAnsi"/>
                <w:color w:val="000000"/>
                <w:sz w:val="18"/>
                <w:szCs w:val="18"/>
              </w:rPr>
              <w:t>2,604,895.23</w:t>
            </w:r>
          </w:p>
        </w:tc>
      </w:tr>
      <w:tr w:rsidR="00523289" w:rsidRPr="00114CB5" w:rsidTr="005D29BB">
        <w:trPr>
          <w:trHeight w:val="96"/>
        </w:trPr>
        <w:tc>
          <w:tcPr>
            <w:tcW w:w="4649" w:type="dxa"/>
            <w:shd w:val="clear" w:color="auto" w:fill="auto"/>
          </w:tcPr>
          <w:p w:rsidR="00D05C7B" w:rsidRPr="00752EEA" w:rsidRDefault="00D05C7B" w:rsidP="005D29BB">
            <w:pPr>
              <w:jc w:val="center"/>
              <w:rPr>
                <w:rFonts w:asciiTheme="majorHAnsi" w:hAnsiTheme="majorHAnsi" w:cstheme="majorHAnsi"/>
                <w:color w:val="000000"/>
                <w:sz w:val="18"/>
                <w:szCs w:val="18"/>
              </w:rPr>
            </w:pPr>
            <w:r w:rsidRPr="00752EEA">
              <w:rPr>
                <w:rFonts w:asciiTheme="majorHAnsi" w:hAnsiTheme="majorHAnsi" w:cstheme="majorHAnsi"/>
                <w:color w:val="000000"/>
                <w:sz w:val="18"/>
                <w:szCs w:val="18"/>
              </w:rPr>
              <w:t>1424790000</w:t>
            </w:r>
          </w:p>
          <w:p w:rsidR="00523289" w:rsidRPr="00752EEA" w:rsidRDefault="00523289" w:rsidP="005D29BB">
            <w:pPr>
              <w:pBdr>
                <w:left w:val="single" w:sz="4" w:space="4" w:color="auto"/>
              </w:pBdr>
              <w:jc w:val="center"/>
              <w:rPr>
                <w:rFonts w:asciiTheme="majorHAnsi" w:hAnsiTheme="majorHAnsi" w:cstheme="majorHAnsi"/>
                <w:sz w:val="18"/>
                <w:szCs w:val="18"/>
              </w:rPr>
            </w:pPr>
          </w:p>
        </w:tc>
        <w:tc>
          <w:tcPr>
            <w:tcW w:w="2552" w:type="dxa"/>
            <w:shd w:val="clear" w:color="auto" w:fill="auto"/>
            <w:vAlign w:val="bottom"/>
          </w:tcPr>
          <w:p w:rsidR="00523289" w:rsidRPr="00752EEA" w:rsidRDefault="00777414" w:rsidP="002E680F">
            <w:pPr>
              <w:jc w:val="right"/>
              <w:rPr>
                <w:rFonts w:asciiTheme="majorHAnsi" w:hAnsiTheme="majorHAnsi" w:cstheme="majorHAnsi"/>
                <w:color w:val="000000"/>
                <w:sz w:val="18"/>
                <w:szCs w:val="18"/>
              </w:rPr>
            </w:pPr>
            <w:r>
              <w:rPr>
                <w:rFonts w:asciiTheme="majorHAnsi" w:hAnsiTheme="majorHAnsi" w:cstheme="majorHAnsi"/>
                <w:color w:val="000000"/>
                <w:sz w:val="18"/>
                <w:szCs w:val="18"/>
              </w:rPr>
              <w:t>31,220.86</w:t>
            </w:r>
          </w:p>
        </w:tc>
      </w:tr>
      <w:tr w:rsidR="00B41257" w:rsidRPr="00114CB5" w:rsidTr="005D29BB">
        <w:trPr>
          <w:trHeight w:val="96"/>
        </w:trPr>
        <w:tc>
          <w:tcPr>
            <w:tcW w:w="4649" w:type="dxa"/>
            <w:shd w:val="clear" w:color="auto" w:fill="auto"/>
          </w:tcPr>
          <w:p w:rsidR="00B41257" w:rsidRPr="00752EEA" w:rsidRDefault="00B41257" w:rsidP="005D29BB">
            <w:pPr>
              <w:jc w:val="center"/>
              <w:rPr>
                <w:rFonts w:asciiTheme="majorHAnsi" w:hAnsiTheme="majorHAnsi" w:cstheme="majorHAnsi"/>
                <w:color w:val="000000"/>
                <w:sz w:val="18"/>
                <w:szCs w:val="18"/>
              </w:rPr>
            </w:pPr>
            <w:r w:rsidRPr="00B41257">
              <w:rPr>
                <w:rFonts w:asciiTheme="majorHAnsi" w:hAnsiTheme="majorHAnsi" w:cstheme="majorHAnsi"/>
                <w:color w:val="000000"/>
                <w:sz w:val="18"/>
                <w:szCs w:val="18"/>
              </w:rPr>
              <w:t>1422790100</w:t>
            </w:r>
          </w:p>
        </w:tc>
        <w:tc>
          <w:tcPr>
            <w:tcW w:w="2552" w:type="dxa"/>
            <w:shd w:val="clear" w:color="auto" w:fill="auto"/>
            <w:vAlign w:val="bottom"/>
          </w:tcPr>
          <w:p w:rsidR="00B41257" w:rsidRPr="00A57197" w:rsidRDefault="00777414" w:rsidP="002E680F">
            <w:pPr>
              <w:jc w:val="right"/>
              <w:rPr>
                <w:rFonts w:asciiTheme="majorHAnsi" w:hAnsiTheme="majorHAnsi" w:cstheme="majorHAnsi"/>
                <w:color w:val="000000"/>
                <w:sz w:val="18"/>
                <w:szCs w:val="18"/>
              </w:rPr>
            </w:pPr>
            <w:r>
              <w:rPr>
                <w:rFonts w:asciiTheme="majorHAnsi" w:hAnsiTheme="majorHAnsi" w:cstheme="majorHAnsi"/>
                <w:color w:val="000000"/>
                <w:sz w:val="18"/>
                <w:szCs w:val="18"/>
              </w:rPr>
              <w:t>32,322.38</w:t>
            </w:r>
          </w:p>
        </w:tc>
      </w:tr>
      <w:tr w:rsidR="00523289" w:rsidRPr="00114CB5" w:rsidTr="00114CB5">
        <w:trPr>
          <w:trHeight w:val="168"/>
        </w:trPr>
        <w:tc>
          <w:tcPr>
            <w:tcW w:w="4649" w:type="dxa"/>
            <w:shd w:val="clear" w:color="auto" w:fill="auto"/>
          </w:tcPr>
          <w:p w:rsidR="00523289" w:rsidRPr="00752EEA" w:rsidRDefault="00523289" w:rsidP="002E680F">
            <w:pPr>
              <w:pBdr>
                <w:left w:val="single" w:sz="4" w:space="4" w:color="auto"/>
              </w:pBdr>
              <w:jc w:val="center"/>
              <w:rPr>
                <w:rFonts w:cstheme="minorHAnsi"/>
                <w:b/>
                <w:sz w:val="18"/>
                <w:szCs w:val="18"/>
              </w:rPr>
            </w:pPr>
            <w:r w:rsidRPr="00752EEA">
              <w:rPr>
                <w:rFonts w:cstheme="minorHAnsi"/>
                <w:b/>
                <w:sz w:val="18"/>
                <w:szCs w:val="18"/>
              </w:rPr>
              <w:t>SUBTOTAL</w:t>
            </w:r>
          </w:p>
        </w:tc>
        <w:tc>
          <w:tcPr>
            <w:tcW w:w="2552" w:type="dxa"/>
            <w:shd w:val="clear" w:color="auto" w:fill="auto"/>
            <w:vAlign w:val="bottom"/>
          </w:tcPr>
          <w:p w:rsidR="00523289" w:rsidRPr="00752EEA" w:rsidRDefault="00777414" w:rsidP="00D05C7B">
            <w:pPr>
              <w:jc w:val="right"/>
              <w:rPr>
                <w:rFonts w:cstheme="minorHAnsi"/>
                <w:b/>
                <w:color w:val="000000"/>
                <w:sz w:val="18"/>
                <w:szCs w:val="18"/>
              </w:rPr>
            </w:pPr>
            <w:r>
              <w:rPr>
                <w:rFonts w:cstheme="minorHAnsi"/>
                <w:b/>
                <w:color w:val="000000"/>
                <w:sz w:val="18"/>
                <w:szCs w:val="18"/>
              </w:rPr>
              <w:t>10,662,899.47</w:t>
            </w:r>
          </w:p>
        </w:tc>
      </w:tr>
      <w:tr w:rsidR="00523289" w:rsidRPr="00114CB5" w:rsidTr="00752EEA">
        <w:trPr>
          <w:trHeight w:val="298"/>
        </w:trPr>
        <w:tc>
          <w:tcPr>
            <w:tcW w:w="7201" w:type="dxa"/>
            <w:gridSpan w:val="2"/>
            <w:shd w:val="clear" w:color="auto" w:fill="auto"/>
          </w:tcPr>
          <w:p w:rsidR="002E680F" w:rsidRPr="00752EEA" w:rsidRDefault="002E680F" w:rsidP="002E680F">
            <w:pPr>
              <w:jc w:val="center"/>
              <w:rPr>
                <w:rFonts w:cstheme="minorHAnsi"/>
                <w:b/>
                <w:sz w:val="18"/>
                <w:szCs w:val="18"/>
              </w:rPr>
            </w:pPr>
          </w:p>
          <w:p w:rsidR="00523289" w:rsidRPr="00752EEA" w:rsidRDefault="00523289" w:rsidP="002E680F">
            <w:pPr>
              <w:jc w:val="center"/>
              <w:rPr>
                <w:rFonts w:cstheme="minorHAnsi"/>
                <w:b/>
                <w:sz w:val="18"/>
                <w:szCs w:val="18"/>
              </w:rPr>
            </w:pPr>
            <w:r w:rsidRPr="00752EEA">
              <w:rPr>
                <w:rFonts w:cstheme="minorHAnsi"/>
                <w:b/>
                <w:sz w:val="18"/>
                <w:szCs w:val="18"/>
              </w:rPr>
              <w:t>RECURSOS ESTATALES</w:t>
            </w:r>
          </w:p>
        </w:tc>
      </w:tr>
      <w:tr w:rsidR="00523289" w:rsidRPr="00114CB5" w:rsidTr="002E680F">
        <w:tc>
          <w:tcPr>
            <w:tcW w:w="7201" w:type="dxa"/>
            <w:gridSpan w:val="2"/>
            <w:shd w:val="clear" w:color="auto" w:fill="auto"/>
          </w:tcPr>
          <w:p w:rsidR="00523289" w:rsidRPr="00752EEA" w:rsidRDefault="00523289" w:rsidP="002E680F">
            <w:pPr>
              <w:pBdr>
                <w:left w:val="single" w:sz="4" w:space="4" w:color="auto"/>
              </w:pBdr>
              <w:jc w:val="center"/>
              <w:rPr>
                <w:rFonts w:cstheme="minorHAnsi"/>
                <w:b/>
                <w:sz w:val="18"/>
                <w:szCs w:val="18"/>
              </w:rPr>
            </w:pPr>
          </w:p>
        </w:tc>
      </w:tr>
      <w:tr w:rsidR="00523289" w:rsidRPr="00114CB5" w:rsidTr="002E680F">
        <w:tc>
          <w:tcPr>
            <w:tcW w:w="4649" w:type="dxa"/>
            <w:shd w:val="clear" w:color="auto" w:fill="auto"/>
          </w:tcPr>
          <w:p w:rsidR="00523289" w:rsidRPr="00752EEA" w:rsidRDefault="00523289" w:rsidP="002E680F">
            <w:pPr>
              <w:pBdr>
                <w:left w:val="single" w:sz="4" w:space="4" w:color="auto"/>
              </w:pBdr>
              <w:jc w:val="center"/>
              <w:rPr>
                <w:rFonts w:cstheme="minorHAnsi"/>
                <w:b/>
                <w:sz w:val="18"/>
                <w:szCs w:val="18"/>
              </w:rPr>
            </w:pPr>
            <w:r w:rsidRPr="00752EEA">
              <w:rPr>
                <w:rFonts w:cstheme="minorHAnsi"/>
                <w:b/>
                <w:sz w:val="18"/>
                <w:szCs w:val="18"/>
              </w:rPr>
              <w:t>FONDO</w:t>
            </w:r>
          </w:p>
        </w:tc>
        <w:tc>
          <w:tcPr>
            <w:tcW w:w="2552" w:type="dxa"/>
            <w:shd w:val="clear" w:color="auto" w:fill="auto"/>
          </w:tcPr>
          <w:p w:rsidR="00523289" w:rsidRPr="00752EEA" w:rsidRDefault="00523289" w:rsidP="002E680F">
            <w:pPr>
              <w:pBdr>
                <w:left w:val="single" w:sz="4" w:space="4" w:color="auto"/>
              </w:pBdr>
              <w:jc w:val="center"/>
              <w:rPr>
                <w:rFonts w:cstheme="minorHAnsi"/>
                <w:b/>
                <w:sz w:val="18"/>
                <w:szCs w:val="18"/>
              </w:rPr>
            </w:pPr>
            <w:r w:rsidRPr="00752EEA">
              <w:rPr>
                <w:rFonts w:cstheme="minorHAnsi"/>
                <w:b/>
                <w:sz w:val="18"/>
                <w:szCs w:val="18"/>
              </w:rPr>
              <w:t>IMPORTE RECAUDADO</w:t>
            </w:r>
          </w:p>
        </w:tc>
      </w:tr>
      <w:tr w:rsidR="00783405" w:rsidRPr="00114CB5" w:rsidTr="002E680F">
        <w:tc>
          <w:tcPr>
            <w:tcW w:w="4649" w:type="dxa"/>
            <w:shd w:val="clear" w:color="auto" w:fill="auto"/>
          </w:tcPr>
          <w:p w:rsidR="00783405" w:rsidRPr="00752EEA" w:rsidRDefault="00D05C7B" w:rsidP="00D05C7B">
            <w:pPr>
              <w:pBdr>
                <w:left w:val="single" w:sz="4" w:space="4" w:color="auto"/>
              </w:pBdr>
              <w:jc w:val="center"/>
              <w:rPr>
                <w:rFonts w:cstheme="minorHAnsi"/>
                <w:sz w:val="18"/>
                <w:szCs w:val="18"/>
              </w:rPr>
            </w:pPr>
            <w:r w:rsidRPr="00752EEA">
              <w:rPr>
                <w:rFonts w:cstheme="minorHAnsi"/>
                <w:sz w:val="18"/>
                <w:szCs w:val="18"/>
              </w:rPr>
              <w:t>1524010000</w:t>
            </w:r>
          </w:p>
        </w:tc>
        <w:tc>
          <w:tcPr>
            <w:tcW w:w="2552" w:type="dxa"/>
            <w:shd w:val="clear" w:color="auto" w:fill="auto"/>
            <w:vAlign w:val="bottom"/>
          </w:tcPr>
          <w:p w:rsidR="00783405" w:rsidRPr="00752EEA" w:rsidRDefault="00777414" w:rsidP="00783405">
            <w:pPr>
              <w:jc w:val="right"/>
              <w:rPr>
                <w:rFonts w:cstheme="minorHAnsi"/>
                <w:color w:val="000000"/>
                <w:sz w:val="18"/>
                <w:szCs w:val="18"/>
              </w:rPr>
            </w:pPr>
            <w:r>
              <w:rPr>
                <w:rFonts w:cstheme="minorHAnsi"/>
                <w:color w:val="000000"/>
                <w:sz w:val="18"/>
                <w:szCs w:val="18"/>
              </w:rPr>
              <w:t>56,308,203.33</w:t>
            </w:r>
          </w:p>
        </w:tc>
      </w:tr>
      <w:tr w:rsidR="00273C08" w:rsidRPr="00114CB5" w:rsidTr="002E680F">
        <w:tc>
          <w:tcPr>
            <w:tcW w:w="4649" w:type="dxa"/>
            <w:shd w:val="clear" w:color="auto" w:fill="auto"/>
          </w:tcPr>
          <w:p w:rsidR="00273C08" w:rsidRPr="00752EEA" w:rsidRDefault="00D05C7B" w:rsidP="00D05C7B">
            <w:pPr>
              <w:pBdr>
                <w:left w:val="single" w:sz="4" w:space="4" w:color="auto"/>
              </w:pBdr>
              <w:jc w:val="center"/>
              <w:rPr>
                <w:rFonts w:cstheme="minorHAnsi"/>
                <w:sz w:val="18"/>
                <w:szCs w:val="18"/>
              </w:rPr>
            </w:pPr>
            <w:r w:rsidRPr="00752EEA">
              <w:rPr>
                <w:rFonts w:cstheme="minorHAnsi"/>
                <w:sz w:val="18"/>
                <w:szCs w:val="18"/>
              </w:rPr>
              <w:t>1124020500</w:t>
            </w:r>
          </w:p>
        </w:tc>
        <w:tc>
          <w:tcPr>
            <w:tcW w:w="2552" w:type="dxa"/>
            <w:shd w:val="clear" w:color="auto" w:fill="auto"/>
            <w:vAlign w:val="bottom"/>
          </w:tcPr>
          <w:p w:rsidR="00273C08" w:rsidRPr="00752EEA" w:rsidRDefault="00777414" w:rsidP="00273C08">
            <w:pPr>
              <w:jc w:val="right"/>
              <w:rPr>
                <w:rFonts w:cstheme="minorHAnsi"/>
                <w:color w:val="000000"/>
                <w:sz w:val="18"/>
                <w:szCs w:val="18"/>
              </w:rPr>
            </w:pPr>
            <w:r>
              <w:rPr>
                <w:rFonts w:cstheme="minorHAnsi"/>
                <w:color w:val="000000"/>
                <w:sz w:val="18"/>
                <w:szCs w:val="18"/>
              </w:rPr>
              <w:t>15,000,000.00</w:t>
            </w:r>
          </w:p>
        </w:tc>
      </w:tr>
      <w:tr w:rsidR="00A57197" w:rsidRPr="00114CB5" w:rsidTr="002E680F">
        <w:tc>
          <w:tcPr>
            <w:tcW w:w="4649" w:type="dxa"/>
            <w:shd w:val="clear" w:color="auto" w:fill="auto"/>
          </w:tcPr>
          <w:p w:rsidR="00A57197" w:rsidRPr="00752EEA" w:rsidRDefault="00A57197" w:rsidP="00D05C7B">
            <w:pPr>
              <w:pBdr>
                <w:left w:val="single" w:sz="4" w:space="4" w:color="auto"/>
              </w:pBdr>
              <w:jc w:val="center"/>
              <w:rPr>
                <w:rFonts w:cstheme="minorHAnsi"/>
                <w:sz w:val="18"/>
                <w:szCs w:val="18"/>
              </w:rPr>
            </w:pPr>
            <w:r w:rsidRPr="00A57197">
              <w:rPr>
                <w:rFonts w:cstheme="minorHAnsi"/>
                <w:sz w:val="18"/>
                <w:szCs w:val="18"/>
              </w:rPr>
              <w:t>1124010000</w:t>
            </w:r>
          </w:p>
        </w:tc>
        <w:tc>
          <w:tcPr>
            <w:tcW w:w="2552" w:type="dxa"/>
            <w:shd w:val="clear" w:color="auto" w:fill="auto"/>
            <w:vAlign w:val="bottom"/>
          </w:tcPr>
          <w:p w:rsidR="00A57197" w:rsidRPr="00A57197" w:rsidRDefault="00777414" w:rsidP="00273C08">
            <w:pPr>
              <w:jc w:val="right"/>
              <w:rPr>
                <w:rFonts w:cstheme="minorHAnsi"/>
                <w:color w:val="000000"/>
                <w:sz w:val="18"/>
                <w:szCs w:val="18"/>
              </w:rPr>
            </w:pPr>
            <w:r>
              <w:rPr>
                <w:rFonts w:cstheme="minorHAnsi"/>
                <w:color w:val="000000"/>
                <w:sz w:val="18"/>
                <w:szCs w:val="18"/>
              </w:rPr>
              <w:t>3,198,159.97</w:t>
            </w:r>
          </w:p>
        </w:tc>
      </w:tr>
      <w:tr w:rsidR="00772625" w:rsidRPr="00114CB5" w:rsidTr="00752EEA">
        <w:trPr>
          <w:trHeight w:val="205"/>
        </w:trPr>
        <w:tc>
          <w:tcPr>
            <w:tcW w:w="4649" w:type="dxa"/>
            <w:shd w:val="clear" w:color="auto" w:fill="auto"/>
          </w:tcPr>
          <w:p w:rsidR="00772625" w:rsidRPr="00752EEA" w:rsidRDefault="00772625" w:rsidP="00772625">
            <w:pPr>
              <w:pBdr>
                <w:left w:val="single" w:sz="4" w:space="4" w:color="auto"/>
              </w:pBdr>
              <w:jc w:val="center"/>
              <w:rPr>
                <w:rFonts w:cstheme="minorHAnsi"/>
                <w:b/>
                <w:sz w:val="18"/>
                <w:szCs w:val="18"/>
              </w:rPr>
            </w:pPr>
            <w:r w:rsidRPr="00752EEA">
              <w:rPr>
                <w:rFonts w:cstheme="minorHAnsi"/>
                <w:b/>
                <w:sz w:val="18"/>
                <w:szCs w:val="18"/>
              </w:rPr>
              <w:t>SUBTOTAL</w:t>
            </w:r>
          </w:p>
        </w:tc>
        <w:tc>
          <w:tcPr>
            <w:tcW w:w="2552" w:type="dxa"/>
            <w:shd w:val="clear" w:color="auto" w:fill="auto"/>
          </w:tcPr>
          <w:p w:rsidR="00772625" w:rsidRPr="00752EEA" w:rsidRDefault="00777414" w:rsidP="00114CB5">
            <w:pPr>
              <w:jc w:val="right"/>
              <w:rPr>
                <w:b/>
                <w:sz w:val="18"/>
                <w:szCs w:val="18"/>
              </w:rPr>
            </w:pPr>
            <w:r>
              <w:rPr>
                <w:b/>
                <w:sz w:val="18"/>
                <w:szCs w:val="18"/>
              </w:rPr>
              <w:t>74,506,363.30</w:t>
            </w:r>
          </w:p>
        </w:tc>
      </w:tr>
      <w:tr w:rsidR="00772625" w:rsidRPr="00D05C7B" w:rsidTr="00752EEA">
        <w:trPr>
          <w:trHeight w:val="70"/>
        </w:trPr>
        <w:tc>
          <w:tcPr>
            <w:tcW w:w="4649" w:type="dxa"/>
            <w:shd w:val="clear" w:color="auto" w:fill="auto"/>
          </w:tcPr>
          <w:p w:rsidR="00772625" w:rsidRPr="00752EEA" w:rsidRDefault="00772625" w:rsidP="00772625">
            <w:pPr>
              <w:pBdr>
                <w:left w:val="single" w:sz="4" w:space="4" w:color="auto"/>
              </w:pBdr>
              <w:jc w:val="center"/>
              <w:rPr>
                <w:rFonts w:cstheme="minorHAnsi"/>
                <w:b/>
                <w:sz w:val="18"/>
                <w:szCs w:val="18"/>
              </w:rPr>
            </w:pPr>
            <w:r w:rsidRPr="00752EEA">
              <w:rPr>
                <w:rFonts w:cstheme="minorHAnsi"/>
                <w:b/>
                <w:sz w:val="18"/>
                <w:szCs w:val="18"/>
              </w:rPr>
              <w:t xml:space="preserve">TOTAL RECAUDADO </w:t>
            </w:r>
          </w:p>
        </w:tc>
        <w:tc>
          <w:tcPr>
            <w:tcW w:w="2552" w:type="dxa"/>
            <w:shd w:val="clear" w:color="auto" w:fill="auto"/>
          </w:tcPr>
          <w:p w:rsidR="00772625" w:rsidRPr="00752EEA" w:rsidRDefault="00777414" w:rsidP="00D05C7B">
            <w:pPr>
              <w:jc w:val="right"/>
              <w:rPr>
                <w:b/>
                <w:sz w:val="18"/>
                <w:szCs w:val="18"/>
              </w:rPr>
            </w:pPr>
            <w:r>
              <w:rPr>
                <w:b/>
                <w:sz w:val="18"/>
                <w:szCs w:val="18"/>
              </w:rPr>
              <w:t>85,169,262.77</w:t>
            </w:r>
          </w:p>
        </w:tc>
      </w:tr>
    </w:tbl>
    <w:p w:rsidR="00603A5D" w:rsidRDefault="00603A5D" w:rsidP="00603A5D">
      <w:pPr>
        <w:ind w:left="720"/>
        <w:jc w:val="both"/>
        <w:rPr>
          <w:rFonts w:ascii="Arial" w:hAnsi="Arial" w:cs="Arial"/>
          <w:sz w:val="20"/>
          <w:szCs w:val="20"/>
        </w:rPr>
      </w:pPr>
    </w:p>
    <w:p w:rsidR="00F938CD" w:rsidRDefault="00F938CD" w:rsidP="00603A5D">
      <w:pPr>
        <w:ind w:left="720"/>
        <w:jc w:val="both"/>
        <w:rPr>
          <w:rFonts w:ascii="Arial" w:hAnsi="Arial" w:cs="Arial"/>
          <w:sz w:val="20"/>
          <w:szCs w:val="20"/>
        </w:rPr>
      </w:pPr>
    </w:p>
    <w:p w:rsidR="00F938CD" w:rsidRPr="00690E7B" w:rsidRDefault="00F938CD" w:rsidP="00603A5D">
      <w:pPr>
        <w:ind w:left="720"/>
        <w:jc w:val="both"/>
        <w:rPr>
          <w:rFonts w:ascii="Arial" w:hAnsi="Arial" w:cs="Arial"/>
          <w:sz w:val="20"/>
          <w:szCs w:val="20"/>
        </w:rPr>
      </w:pPr>
    </w:p>
    <w:p w:rsidR="00690E7B" w:rsidRPr="00086D7C" w:rsidRDefault="00690E7B" w:rsidP="00690E7B">
      <w:pPr>
        <w:ind w:left="720"/>
        <w:jc w:val="both"/>
        <w:rPr>
          <w:rFonts w:ascii="Arial" w:hAnsi="Arial" w:cs="Arial"/>
          <w:sz w:val="20"/>
          <w:szCs w:val="20"/>
        </w:rPr>
      </w:pPr>
    </w:p>
    <w:p w:rsidR="006924D7" w:rsidRPr="00086D7C" w:rsidRDefault="006924D7" w:rsidP="00690E7B">
      <w:pPr>
        <w:ind w:left="720"/>
        <w:jc w:val="both"/>
        <w:rPr>
          <w:rFonts w:ascii="Arial" w:hAnsi="Arial" w:cs="Arial"/>
          <w:sz w:val="20"/>
          <w:szCs w:val="20"/>
        </w:rPr>
      </w:pPr>
    </w:p>
    <w:p w:rsidR="006924D7" w:rsidRPr="00086D7C" w:rsidRDefault="006924D7" w:rsidP="00690E7B">
      <w:pPr>
        <w:ind w:left="720"/>
        <w:jc w:val="both"/>
        <w:rPr>
          <w:rFonts w:ascii="Arial" w:hAnsi="Arial" w:cs="Arial"/>
          <w:sz w:val="20"/>
          <w:szCs w:val="20"/>
        </w:rPr>
      </w:pPr>
    </w:p>
    <w:p w:rsidR="006924D7" w:rsidRPr="00086D7C" w:rsidRDefault="006924D7" w:rsidP="00690E7B">
      <w:pPr>
        <w:ind w:left="720"/>
        <w:jc w:val="both"/>
        <w:rPr>
          <w:rFonts w:ascii="Arial" w:hAnsi="Arial" w:cs="Arial"/>
          <w:sz w:val="20"/>
          <w:szCs w:val="20"/>
        </w:rPr>
      </w:pPr>
    </w:p>
    <w:p w:rsidR="006924D7" w:rsidRPr="00086D7C" w:rsidRDefault="00C3651C" w:rsidP="00690E7B">
      <w:pPr>
        <w:ind w:left="720"/>
        <w:jc w:val="both"/>
        <w:rPr>
          <w:rFonts w:ascii="Arial" w:hAnsi="Arial" w:cs="Arial"/>
          <w:sz w:val="20"/>
          <w:szCs w:val="20"/>
        </w:rPr>
      </w:pPr>
      <w:r>
        <w:rPr>
          <w:rFonts w:ascii="Arial" w:hAnsi="Arial" w:cs="Arial"/>
          <w:sz w:val="20"/>
          <w:szCs w:val="20"/>
        </w:rPr>
        <w:t xml:space="preserve"> </w:t>
      </w:r>
    </w:p>
    <w:p w:rsidR="006924D7" w:rsidRPr="00086D7C" w:rsidRDefault="006924D7" w:rsidP="00690E7B">
      <w:pPr>
        <w:ind w:left="720"/>
        <w:jc w:val="both"/>
        <w:rPr>
          <w:rFonts w:ascii="Arial" w:hAnsi="Arial" w:cs="Arial"/>
          <w:sz w:val="20"/>
          <w:szCs w:val="20"/>
        </w:rPr>
      </w:pPr>
    </w:p>
    <w:p w:rsidR="006924D7" w:rsidRPr="00086D7C" w:rsidRDefault="006924D7" w:rsidP="00690E7B">
      <w:pPr>
        <w:ind w:left="720"/>
        <w:jc w:val="both"/>
        <w:rPr>
          <w:rFonts w:ascii="Arial" w:hAnsi="Arial" w:cs="Arial"/>
          <w:sz w:val="20"/>
          <w:szCs w:val="20"/>
        </w:rPr>
      </w:pPr>
    </w:p>
    <w:p w:rsidR="000475B6" w:rsidRDefault="000475B6" w:rsidP="00690E7B">
      <w:pPr>
        <w:jc w:val="both"/>
        <w:rPr>
          <w:rFonts w:ascii="Arial" w:hAnsi="Arial" w:cs="Arial"/>
          <w:b/>
          <w:sz w:val="20"/>
          <w:szCs w:val="20"/>
        </w:rPr>
      </w:pPr>
    </w:p>
    <w:p w:rsidR="000475B6" w:rsidRDefault="000475B6" w:rsidP="00690E7B">
      <w:pPr>
        <w:jc w:val="both"/>
        <w:rPr>
          <w:rFonts w:ascii="Arial" w:hAnsi="Arial" w:cs="Arial"/>
          <w:b/>
          <w:sz w:val="20"/>
          <w:szCs w:val="20"/>
        </w:rPr>
      </w:pPr>
    </w:p>
    <w:p w:rsidR="000475B6" w:rsidRDefault="000475B6" w:rsidP="00690E7B">
      <w:pPr>
        <w:jc w:val="both"/>
        <w:rPr>
          <w:rFonts w:ascii="Arial" w:hAnsi="Arial" w:cs="Arial"/>
          <w:b/>
          <w:sz w:val="20"/>
          <w:szCs w:val="20"/>
        </w:rPr>
      </w:pPr>
    </w:p>
    <w:p w:rsidR="000475B6" w:rsidRDefault="000475B6" w:rsidP="00690E7B">
      <w:pPr>
        <w:jc w:val="both"/>
        <w:rPr>
          <w:rFonts w:ascii="Arial" w:hAnsi="Arial" w:cs="Arial"/>
          <w:b/>
          <w:sz w:val="20"/>
          <w:szCs w:val="20"/>
        </w:rPr>
      </w:pPr>
    </w:p>
    <w:p w:rsidR="000475B6" w:rsidRDefault="000475B6" w:rsidP="00690E7B">
      <w:pPr>
        <w:jc w:val="both"/>
        <w:rPr>
          <w:rFonts w:ascii="Arial" w:hAnsi="Arial" w:cs="Arial"/>
          <w:b/>
          <w:sz w:val="20"/>
          <w:szCs w:val="20"/>
        </w:rPr>
      </w:pPr>
    </w:p>
    <w:p w:rsidR="000475B6" w:rsidRDefault="000475B6" w:rsidP="00690E7B">
      <w:pPr>
        <w:jc w:val="both"/>
        <w:rPr>
          <w:rFonts w:ascii="Arial" w:hAnsi="Arial" w:cs="Arial"/>
          <w:b/>
          <w:sz w:val="20"/>
          <w:szCs w:val="20"/>
        </w:rPr>
      </w:pPr>
    </w:p>
    <w:p w:rsidR="000475B6" w:rsidRDefault="000475B6" w:rsidP="00690E7B">
      <w:pPr>
        <w:jc w:val="both"/>
        <w:rPr>
          <w:rFonts w:ascii="Arial" w:hAnsi="Arial" w:cs="Arial"/>
          <w:b/>
          <w:sz w:val="20"/>
          <w:szCs w:val="20"/>
        </w:rPr>
      </w:pPr>
    </w:p>
    <w:p w:rsidR="000475B6" w:rsidRDefault="000475B6" w:rsidP="00690E7B">
      <w:pPr>
        <w:jc w:val="both"/>
        <w:rPr>
          <w:rFonts w:ascii="Arial" w:hAnsi="Arial" w:cs="Arial"/>
          <w:b/>
          <w:sz w:val="20"/>
          <w:szCs w:val="20"/>
        </w:rPr>
      </w:pPr>
    </w:p>
    <w:p w:rsidR="00772625" w:rsidRDefault="00772625" w:rsidP="00690E7B">
      <w:pPr>
        <w:jc w:val="both"/>
        <w:rPr>
          <w:rFonts w:ascii="Arial" w:hAnsi="Arial" w:cs="Arial"/>
          <w:b/>
          <w:sz w:val="20"/>
          <w:szCs w:val="20"/>
        </w:rPr>
      </w:pPr>
    </w:p>
    <w:p w:rsidR="00772625" w:rsidRDefault="00772625" w:rsidP="00690E7B">
      <w:pPr>
        <w:jc w:val="both"/>
        <w:rPr>
          <w:rFonts w:ascii="Arial" w:hAnsi="Arial" w:cs="Arial"/>
          <w:b/>
          <w:sz w:val="20"/>
          <w:szCs w:val="20"/>
        </w:rPr>
      </w:pPr>
    </w:p>
    <w:p w:rsidR="00114CB5" w:rsidRDefault="00114CB5" w:rsidP="00690E7B">
      <w:pPr>
        <w:jc w:val="both"/>
        <w:rPr>
          <w:rFonts w:ascii="Arial" w:hAnsi="Arial" w:cs="Arial"/>
          <w:b/>
          <w:sz w:val="20"/>
          <w:szCs w:val="20"/>
        </w:rPr>
      </w:pPr>
    </w:p>
    <w:p w:rsidR="00690E7B" w:rsidRPr="00690E7B" w:rsidRDefault="00690E7B" w:rsidP="00690E7B">
      <w:pPr>
        <w:jc w:val="both"/>
        <w:rPr>
          <w:rFonts w:ascii="Arial" w:hAnsi="Arial" w:cs="Arial"/>
          <w:b/>
          <w:sz w:val="20"/>
          <w:szCs w:val="20"/>
        </w:rPr>
      </w:pPr>
      <w:r w:rsidRPr="00690E7B">
        <w:rPr>
          <w:rFonts w:ascii="Arial" w:hAnsi="Arial" w:cs="Arial"/>
          <w:b/>
          <w:sz w:val="20"/>
          <w:szCs w:val="20"/>
        </w:rPr>
        <w:t>11. Información sobre la Deuda y el Reporte Analítico de la Deuda:</w:t>
      </w:r>
    </w:p>
    <w:p w:rsidR="00690E7B" w:rsidRPr="00690E7B" w:rsidRDefault="00690E7B" w:rsidP="00690E7B">
      <w:pPr>
        <w:jc w:val="both"/>
        <w:rPr>
          <w:rFonts w:ascii="Arial" w:hAnsi="Arial" w:cs="Arial"/>
          <w:sz w:val="20"/>
          <w:szCs w:val="20"/>
        </w:rPr>
      </w:pPr>
      <w:r w:rsidRPr="00690E7B">
        <w:rPr>
          <w:rFonts w:ascii="Arial" w:hAnsi="Arial" w:cs="Arial"/>
          <w:sz w:val="20"/>
          <w:szCs w:val="20"/>
        </w:rPr>
        <w:t>Se informará lo siguiente:</w:t>
      </w:r>
    </w:p>
    <w:p w:rsidR="00690E7B" w:rsidRPr="00690E7B" w:rsidRDefault="00690E7B" w:rsidP="00690E7B">
      <w:pPr>
        <w:jc w:val="both"/>
        <w:rPr>
          <w:rFonts w:ascii="Arial" w:hAnsi="Arial" w:cs="Arial"/>
          <w:sz w:val="20"/>
          <w:szCs w:val="20"/>
        </w:rPr>
      </w:pPr>
      <w:r w:rsidRPr="00690E7B">
        <w:rPr>
          <w:rFonts w:ascii="Arial" w:hAnsi="Arial" w:cs="Arial"/>
          <w:b/>
          <w:sz w:val="20"/>
          <w:szCs w:val="20"/>
        </w:rPr>
        <w:t>a)</w:t>
      </w:r>
      <w:r w:rsidRPr="00690E7B">
        <w:rPr>
          <w:rFonts w:ascii="Arial" w:hAnsi="Arial" w:cs="Arial"/>
          <w:sz w:val="20"/>
          <w:szCs w:val="20"/>
        </w:rPr>
        <w:t xml:space="preserve"> Utilizar al menos los siguientes indicadores: deuda respecto al PIB y deuda respecto a la recaudación tomando, como mínimo, un período igual o menor a 5 años.</w:t>
      </w:r>
    </w:p>
    <w:p w:rsidR="00690E7B" w:rsidRPr="00690E7B" w:rsidRDefault="00C733BC" w:rsidP="00690E7B">
      <w:pPr>
        <w:jc w:val="both"/>
        <w:rPr>
          <w:rFonts w:ascii="Arial" w:hAnsi="Arial" w:cs="Arial"/>
          <w:sz w:val="20"/>
          <w:szCs w:val="20"/>
        </w:rPr>
      </w:pPr>
      <w:r>
        <w:rPr>
          <w:rFonts w:ascii="Arial" w:hAnsi="Arial" w:cs="Arial"/>
          <w:sz w:val="20"/>
          <w:szCs w:val="20"/>
        </w:rPr>
        <w:t>Este apartado no aplica para el INGUDIS.</w:t>
      </w:r>
    </w:p>
    <w:p w:rsidR="00690E7B" w:rsidRPr="00690E7B" w:rsidRDefault="00690E7B" w:rsidP="00690E7B">
      <w:pPr>
        <w:jc w:val="both"/>
        <w:rPr>
          <w:rFonts w:ascii="Arial" w:hAnsi="Arial" w:cs="Arial"/>
          <w:sz w:val="20"/>
          <w:szCs w:val="20"/>
        </w:rPr>
      </w:pPr>
      <w:r w:rsidRPr="00690E7B">
        <w:rPr>
          <w:rFonts w:ascii="Arial" w:hAnsi="Arial" w:cs="Arial"/>
          <w:b/>
          <w:sz w:val="20"/>
          <w:szCs w:val="20"/>
        </w:rPr>
        <w:t>b)</w:t>
      </w:r>
      <w:r w:rsidRPr="00690E7B">
        <w:rPr>
          <w:rFonts w:ascii="Arial" w:hAnsi="Arial" w:cs="Arial"/>
          <w:sz w:val="20"/>
          <w:szCs w:val="20"/>
        </w:rPr>
        <w:t xml:space="preserve"> Información de manera agrupada por tipo de valor gubernamental o instrumento financiero en la que se considere intereses, comisiones, tasa, perfil de vencimiento y otros gastos de la deuda.</w:t>
      </w:r>
    </w:p>
    <w:p w:rsidR="00690E7B" w:rsidRDefault="00690E7B" w:rsidP="00690E7B">
      <w:pPr>
        <w:jc w:val="both"/>
        <w:rPr>
          <w:rFonts w:ascii="Arial" w:hAnsi="Arial" w:cs="Arial"/>
          <w:b/>
          <w:sz w:val="20"/>
          <w:szCs w:val="20"/>
        </w:rPr>
      </w:pPr>
      <w:r w:rsidRPr="00690E7B">
        <w:rPr>
          <w:rFonts w:ascii="Arial" w:hAnsi="Arial" w:cs="Arial"/>
          <w:b/>
          <w:color w:val="1F497D"/>
          <w:sz w:val="20"/>
          <w:szCs w:val="20"/>
        </w:rPr>
        <w:t>* Se anexa la información en las notas de desglose y se refiere al Estado Analítico de Deuda y Otros Pasivos</w:t>
      </w:r>
      <w:r w:rsidRPr="00690E7B">
        <w:rPr>
          <w:rFonts w:ascii="Arial" w:hAnsi="Arial" w:cs="Arial"/>
          <w:b/>
          <w:sz w:val="20"/>
          <w:szCs w:val="20"/>
        </w:rPr>
        <w:t>.</w:t>
      </w:r>
    </w:p>
    <w:p w:rsidR="00C733BC" w:rsidRPr="00690E7B" w:rsidRDefault="00C733BC" w:rsidP="00690E7B">
      <w:pPr>
        <w:jc w:val="both"/>
        <w:rPr>
          <w:rFonts w:ascii="Arial" w:hAnsi="Arial" w:cs="Arial"/>
          <w:b/>
          <w:sz w:val="20"/>
          <w:szCs w:val="20"/>
        </w:rPr>
      </w:pPr>
    </w:p>
    <w:p w:rsidR="00690E7B" w:rsidRPr="00690E7B" w:rsidRDefault="00690E7B" w:rsidP="00690E7B">
      <w:pPr>
        <w:jc w:val="both"/>
        <w:rPr>
          <w:rFonts w:ascii="Arial" w:hAnsi="Arial" w:cs="Arial"/>
          <w:b/>
          <w:sz w:val="20"/>
          <w:szCs w:val="20"/>
        </w:rPr>
      </w:pPr>
    </w:p>
    <w:p w:rsidR="00690E7B" w:rsidRPr="00690E7B" w:rsidRDefault="00690E7B" w:rsidP="00690E7B">
      <w:pPr>
        <w:jc w:val="both"/>
        <w:rPr>
          <w:rFonts w:ascii="Arial" w:hAnsi="Arial" w:cs="Arial"/>
          <w:b/>
          <w:sz w:val="20"/>
          <w:szCs w:val="20"/>
        </w:rPr>
      </w:pPr>
      <w:r w:rsidRPr="00690E7B">
        <w:rPr>
          <w:rFonts w:ascii="Arial" w:hAnsi="Arial" w:cs="Arial"/>
          <w:b/>
          <w:sz w:val="20"/>
          <w:szCs w:val="20"/>
        </w:rPr>
        <w:t>12. Calificaciones otorgadas:</w:t>
      </w:r>
    </w:p>
    <w:p w:rsidR="00690E7B" w:rsidRPr="00C733BC" w:rsidRDefault="004949D2" w:rsidP="00690E7B">
      <w:pPr>
        <w:jc w:val="both"/>
        <w:rPr>
          <w:rFonts w:ascii="Arial" w:hAnsi="Arial" w:cs="Arial"/>
          <w:sz w:val="20"/>
          <w:szCs w:val="20"/>
        </w:rPr>
      </w:pPr>
      <w:r>
        <w:rPr>
          <w:rFonts w:ascii="Arial" w:hAnsi="Arial" w:cs="Arial"/>
          <w:sz w:val="20"/>
          <w:szCs w:val="20"/>
        </w:rPr>
        <w:t>NA</w:t>
      </w:r>
    </w:p>
    <w:p w:rsidR="00C733BC" w:rsidRPr="00C733BC" w:rsidRDefault="00C733BC" w:rsidP="00690E7B">
      <w:pPr>
        <w:jc w:val="both"/>
        <w:rPr>
          <w:rFonts w:ascii="Arial" w:hAnsi="Arial" w:cs="Arial"/>
          <w:sz w:val="20"/>
          <w:szCs w:val="20"/>
        </w:rPr>
      </w:pPr>
    </w:p>
    <w:p w:rsidR="00690E7B" w:rsidRPr="00C733BC" w:rsidRDefault="00690E7B" w:rsidP="00690E7B">
      <w:pPr>
        <w:jc w:val="both"/>
        <w:rPr>
          <w:rFonts w:ascii="Arial" w:hAnsi="Arial" w:cs="Arial"/>
          <w:b/>
          <w:sz w:val="20"/>
          <w:szCs w:val="20"/>
        </w:rPr>
      </w:pPr>
      <w:r w:rsidRPr="00C733BC">
        <w:rPr>
          <w:rFonts w:ascii="Arial" w:hAnsi="Arial" w:cs="Arial"/>
          <w:b/>
          <w:sz w:val="20"/>
          <w:szCs w:val="20"/>
        </w:rPr>
        <w:t>13. Proceso de Mejora:</w:t>
      </w:r>
    </w:p>
    <w:p w:rsidR="00690E7B" w:rsidRPr="00C733BC" w:rsidRDefault="00690E7B" w:rsidP="00D46D94">
      <w:pPr>
        <w:tabs>
          <w:tab w:val="center" w:pos="6644"/>
        </w:tabs>
        <w:jc w:val="both"/>
        <w:rPr>
          <w:rFonts w:ascii="Arial" w:hAnsi="Arial" w:cs="Arial"/>
          <w:sz w:val="20"/>
          <w:szCs w:val="20"/>
        </w:rPr>
      </w:pPr>
      <w:r w:rsidRPr="00C733BC">
        <w:rPr>
          <w:rFonts w:ascii="Arial" w:hAnsi="Arial" w:cs="Arial"/>
          <w:b/>
          <w:sz w:val="20"/>
          <w:szCs w:val="20"/>
        </w:rPr>
        <w:t>a)</w:t>
      </w:r>
      <w:r w:rsidRPr="00C733BC">
        <w:rPr>
          <w:rFonts w:ascii="Arial" w:hAnsi="Arial" w:cs="Arial"/>
          <w:sz w:val="20"/>
          <w:szCs w:val="20"/>
        </w:rPr>
        <w:t xml:space="preserve"> Principales Políticas de control interno:</w:t>
      </w:r>
      <w:r w:rsidR="00D46D94">
        <w:rPr>
          <w:rFonts w:ascii="Arial" w:hAnsi="Arial" w:cs="Arial"/>
          <w:sz w:val="20"/>
          <w:szCs w:val="20"/>
        </w:rPr>
        <w:t xml:space="preserve"> </w:t>
      </w:r>
      <w:r w:rsidRPr="00C733BC">
        <w:rPr>
          <w:rFonts w:ascii="Arial" w:hAnsi="Arial" w:cs="Arial"/>
          <w:sz w:val="20"/>
          <w:szCs w:val="20"/>
        </w:rPr>
        <w:t xml:space="preserve">Se fortalece el control de los ingresos propios </w:t>
      </w:r>
      <w:r w:rsidR="00394F5E" w:rsidRPr="00C733BC">
        <w:rPr>
          <w:rFonts w:ascii="Arial" w:hAnsi="Arial" w:cs="Arial"/>
          <w:sz w:val="20"/>
          <w:szCs w:val="20"/>
        </w:rPr>
        <w:t>mediante arqueos de caja</w:t>
      </w:r>
      <w:r w:rsidRPr="00C733BC">
        <w:rPr>
          <w:rFonts w:ascii="Arial" w:hAnsi="Arial" w:cs="Arial"/>
          <w:sz w:val="20"/>
          <w:szCs w:val="20"/>
        </w:rPr>
        <w:t xml:space="preserve"> y aleatorios.</w:t>
      </w:r>
      <w:r w:rsidR="00D46D94">
        <w:rPr>
          <w:rFonts w:ascii="Arial" w:hAnsi="Arial" w:cs="Arial"/>
          <w:sz w:val="20"/>
          <w:szCs w:val="20"/>
        </w:rPr>
        <w:t xml:space="preserve"> </w:t>
      </w:r>
      <w:r w:rsidRPr="00C733BC">
        <w:rPr>
          <w:rFonts w:ascii="Arial" w:hAnsi="Arial" w:cs="Arial"/>
          <w:sz w:val="20"/>
          <w:szCs w:val="20"/>
        </w:rPr>
        <w:t>Cabe mencionar que las medidas anteriormente mencionadas son generadas con base al análisis arrojado por la matriz de riesgos</w:t>
      </w:r>
      <w:r w:rsidR="00D46D94">
        <w:rPr>
          <w:rFonts w:ascii="Arial" w:hAnsi="Arial" w:cs="Arial"/>
          <w:sz w:val="20"/>
          <w:szCs w:val="20"/>
        </w:rPr>
        <w:t xml:space="preserve"> </w:t>
      </w:r>
      <w:r w:rsidRPr="00C733BC">
        <w:rPr>
          <w:rFonts w:ascii="Arial" w:hAnsi="Arial" w:cs="Arial"/>
          <w:b/>
          <w:sz w:val="20"/>
          <w:szCs w:val="20"/>
        </w:rPr>
        <w:t>b)</w:t>
      </w:r>
      <w:r w:rsidRPr="00C733BC">
        <w:rPr>
          <w:rFonts w:ascii="Arial" w:hAnsi="Arial" w:cs="Arial"/>
          <w:sz w:val="20"/>
          <w:szCs w:val="20"/>
        </w:rPr>
        <w:t xml:space="preserve"> Medidas de desempeño financiero, metas y alcance:</w:t>
      </w:r>
      <w:r w:rsidR="00D46D94">
        <w:rPr>
          <w:rFonts w:ascii="Arial" w:hAnsi="Arial" w:cs="Arial"/>
          <w:sz w:val="20"/>
          <w:szCs w:val="20"/>
        </w:rPr>
        <w:t xml:space="preserve"> </w:t>
      </w:r>
      <w:r w:rsidRPr="00C733BC">
        <w:rPr>
          <w:rFonts w:ascii="Arial" w:hAnsi="Arial" w:cs="Arial"/>
          <w:sz w:val="20"/>
          <w:szCs w:val="20"/>
        </w:rPr>
        <w:t>El desempeño financiero se lleva a cabo a través de reportes emitidos por el sistema SAP R3, cuya información se genera cuando se realizan los registros contables y presupuestales por parte de los centros operativos adscritos al INGUDIS, el seguimiento al cumplimiento de las metas se lleva a través del SED.</w:t>
      </w:r>
    </w:p>
    <w:p w:rsidR="00690E7B" w:rsidRPr="00690E7B" w:rsidRDefault="00690E7B" w:rsidP="00690E7B">
      <w:pPr>
        <w:jc w:val="both"/>
        <w:rPr>
          <w:rFonts w:ascii="Arial" w:hAnsi="Arial" w:cs="Arial"/>
          <w:sz w:val="20"/>
          <w:szCs w:val="20"/>
        </w:rPr>
      </w:pPr>
    </w:p>
    <w:p w:rsidR="00690E7B" w:rsidRPr="00690E7B" w:rsidRDefault="00690E7B" w:rsidP="00690E7B">
      <w:pPr>
        <w:jc w:val="both"/>
        <w:rPr>
          <w:rFonts w:ascii="Arial" w:hAnsi="Arial" w:cs="Arial"/>
          <w:b/>
          <w:sz w:val="20"/>
          <w:szCs w:val="20"/>
        </w:rPr>
      </w:pPr>
      <w:r w:rsidRPr="00690E7B">
        <w:rPr>
          <w:rFonts w:ascii="Arial" w:hAnsi="Arial" w:cs="Arial"/>
          <w:b/>
          <w:sz w:val="20"/>
          <w:szCs w:val="20"/>
        </w:rPr>
        <w:lastRenderedPageBreak/>
        <w:t>14. Información por Segmentos:</w:t>
      </w:r>
    </w:p>
    <w:p w:rsidR="00690E7B" w:rsidRDefault="00202E6E" w:rsidP="00690E7B">
      <w:pPr>
        <w:jc w:val="both"/>
        <w:rPr>
          <w:rFonts w:ascii="Arial" w:hAnsi="Arial" w:cs="Arial"/>
          <w:sz w:val="20"/>
          <w:szCs w:val="20"/>
        </w:rPr>
      </w:pPr>
      <w:r>
        <w:rPr>
          <w:rFonts w:ascii="Arial" w:hAnsi="Arial" w:cs="Arial"/>
          <w:sz w:val="20"/>
          <w:szCs w:val="20"/>
        </w:rPr>
        <w:t>INGUDIS no proporciona información por segmentos</w:t>
      </w:r>
    </w:p>
    <w:p w:rsidR="00653136" w:rsidRDefault="00653136" w:rsidP="00690E7B">
      <w:pPr>
        <w:jc w:val="both"/>
        <w:rPr>
          <w:rFonts w:ascii="Arial" w:hAnsi="Arial" w:cs="Arial"/>
          <w:sz w:val="20"/>
          <w:szCs w:val="20"/>
        </w:rPr>
      </w:pPr>
    </w:p>
    <w:p w:rsidR="00690E7B" w:rsidRPr="00690E7B" w:rsidRDefault="00690E7B" w:rsidP="00690E7B">
      <w:pPr>
        <w:jc w:val="both"/>
        <w:rPr>
          <w:rFonts w:ascii="Arial" w:hAnsi="Arial" w:cs="Arial"/>
          <w:b/>
          <w:sz w:val="20"/>
          <w:szCs w:val="20"/>
        </w:rPr>
      </w:pPr>
      <w:r w:rsidRPr="00690E7B">
        <w:rPr>
          <w:rFonts w:ascii="Arial" w:hAnsi="Arial" w:cs="Arial"/>
          <w:b/>
          <w:sz w:val="20"/>
          <w:szCs w:val="20"/>
        </w:rPr>
        <w:t>15. Eventos Posteriores al Cierre:</w:t>
      </w:r>
    </w:p>
    <w:p w:rsidR="00690E7B" w:rsidRPr="00690E7B" w:rsidRDefault="00202E6E" w:rsidP="00690E7B">
      <w:pPr>
        <w:tabs>
          <w:tab w:val="left" w:pos="1245"/>
        </w:tabs>
        <w:jc w:val="both"/>
        <w:rPr>
          <w:rFonts w:ascii="Arial" w:hAnsi="Arial" w:cs="Arial"/>
          <w:sz w:val="20"/>
          <w:szCs w:val="20"/>
        </w:rPr>
      </w:pPr>
      <w:r>
        <w:rPr>
          <w:rFonts w:ascii="Arial" w:hAnsi="Arial" w:cs="Arial"/>
          <w:sz w:val="20"/>
          <w:szCs w:val="20"/>
        </w:rPr>
        <w:t>No existieron eventos posteriores al cierre</w:t>
      </w:r>
    </w:p>
    <w:p w:rsidR="00690E7B" w:rsidRPr="00690E7B" w:rsidRDefault="00690E7B" w:rsidP="00690E7B">
      <w:pPr>
        <w:tabs>
          <w:tab w:val="left" w:pos="1245"/>
        </w:tabs>
        <w:jc w:val="both"/>
        <w:rPr>
          <w:rFonts w:ascii="Arial" w:hAnsi="Arial" w:cs="Arial"/>
          <w:sz w:val="20"/>
          <w:szCs w:val="20"/>
        </w:rPr>
      </w:pPr>
    </w:p>
    <w:p w:rsidR="00690E7B" w:rsidRPr="00690E7B" w:rsidRDefault="00690E7B" w:rsidP="00690E7B">
      <w:pPr>
        <w:jc w:val="both"/>
        <w:rPr>
          <w:rFonts w:ascii="Arial" w:hAnsi="Arial" w:cs="Arial"/>
          <w:b/>
          <w:sz w:val="20"/>
          <w:szCs w:val="20"/>
        </w:rPr>
      </w:pPr>
      <w:r w:rsidRPr="00690E7B">
        <w:rPr>
          <w:rFonts w:ascii="Arial" w:hAnsi="Arial" w:cs="Arial"/>
          <w:b/>
          <w:sz w:val="20"/>
          <w:szCs w:val="20"/>
        </w:rPr>
        <w:t>16. Partes Relacionadas:</w:t>
      </w:r>
    </w:p>
    <w:p w:rsidR="00690E7B" w:rsidRPr="00690E7B" w:rsidRDefault="00202E6E" w:rsidP="00690E7B">
      <w:pPr>
        <w:jc w:val="both"/>
        <w:rPr>
          <w:rFonts w:ascii="Arial" w:hAnsi="Arial" w:cs="Arial"/>
          <w:sz w:val="20"/>
          <w:szCs w:val="20"/>
        </w:rPr>
      </w:pPr>
      <w:r>
        <w:rPr>
          <w:rFonts w:ascii="Arial" w:hAnsi="Arial" w:cs="Arial"/>
          <w:sz w:val="20"/>
          <w:szCs w:val="20"/>
        </w:rPr>
        <w:t>N</w:t>
      </w:r>
      <w:r w:rsidR="00690E7B" w:rsidRPr="00690E7B">
        <w:rPr>
          <w:rFonts w:ascii="Arial" w:hAnsi="Arial" w:cs="Arial"/>
          <w:sz w:val="20"/>
          <w:szCs w:val="20"/>
        </w:rPr>
        <w:t>o existen partes relacionadas que pudieran ejercer influencia significativa sobre la toma de decisiones financieras y operativas:</w:t>
      </w:r>
    </w:p>
    <w:p w:rsidR="00690E7B" w:rsidRPr="00690E7B" w:rsidRDefault="00690E7B" w:rsidP="00690E7B">
      <w:pPr>
        <w:jc w:val="both"/>
        <w:rPr>
          <w:rFonts w:ascii="Arial" w:hAnsi="Arial" w:cs="Arial"/>
          <w:b/>
          <w:sz w:val="20"/>
          <w:szCs w:val="20"/>
        </w:rPr>
      </w:pPr>
    </w:p>
    <w:p w:rsidR="00690E7B" w:rsidRPr="00690E7B" w:rsidRDefault="00690E7B" w:rsidP="00690E7B">
      <w:pPr>
        <w:jc w:val="both"/>
        <w:rPr>
          <w:rFonts w:ascii="Arial" w:hAnsi="Arial" w:cs="Arial"/>
          <w:b/>
          <w:sz w:val="20"/>
          <w:szCs w:val="20"/>
        </w:rPr>
      </w:pPr>
      <w:r w:rsidRPr="00690E7B">
        <w:rPr>
          <w:rFonts w:ascii="Arial" w:hAnsi="Arial" w:cs="Arial"/>
          <w:b/>
          <w:sz w:val="20"/>
          <w:szCs w:val="20"/>
        </w:rPr>
        <w:t>17. Responsabilidad sobre la presentación razonable de los Estados Financieros:</w:t>
      </w:r>
    </w:p>
    <w:p w:rsidR="00690E7B" w:rsidRPr="00690E7B" w:rsidRDefault="00CC1657" w:rsidP="00690E7B">
      <w:pPr>
        <w:jc w:val="both"/>
        <w:rPr>
          <w:rFonts w:ascii="Arial" w:hAnsi="Arial" w:cs="Arial"/>
          <w:sz w:val="20"/>
          <w:szCs w:val="20"/>
        </w:rPr>
      </w:pPr>
      <w:r>
        <w:rPr>
          <w:rFonts w:ascii="Arial" w:hAnsi="Arial" w:cs="Arial"/>
          <w:sz w:val="20"/>
          <w:szCs w:val="20"/>
        </w:rPr>
        <w:t>Los Estados Financieros están</w:t>
      </w:r>
      <w:r w:rsidR="00690E7B" w:rsidRPr="00690E7B">
        <w:rPr>
          <w:rFonts w:ascii="Arial" w:hAnsi="Arial" w:cs="Arial"/>
          <w:sz w:val="20"/>
          <w:szCs w:val="20"/>
        </w:rPr>
        <w:t xml:space="preserve"> rubricados en cad</w:t>
      </w:r>
      <w:r>
        <w:rPr>
          <w:rFonts w:ascii="Arial" w:hAnsi="Arial" w:cs="Arial"/>
          <w:sz w:val="20"/>
          <w:szCs w:val="20"/>
        </w:rPr>
        <w:t>a página de los mismos e incluyen</w:t>
      </w:r>
      <w:r w:rsidR="00690E7B" w:rsidRPr="00690E7B">
        <w:rPr>
          <w:rFonts w:ascii="Arial" w:hAnsi="Arial" w:cs="Arial"/>
          <w:sz w:val="20"/>
          <w:szCs w:val="20"/>
        </w:rPr>
        <w:t xml:space="preserve"> al final la siguiente leyenda: “Bajo protesta de decir verdad declaramos que los Estados Financieros y sus notas, son razonablemente correctos y son responsabilidad del emisor”.</w:t>
      </w:r>
    </w:p>
    <w:p w:rsidR="00603A5D" w:rsidRDefault="00603A5D" w:rsidP="00690E7B">
      <w:pPr>
        <w:jc w:val="both"/>
        <w:rPr>
          <w:rFonts w:ascii="Arial" w:hAnsi="Arial" w:cs="Arial"/>
          <w:i/>
          <w:sz w:val="20"/>
          <w:szCs w:val="20"/>
        </w:rPr>
      </w:pPr>
    </w:p>
    <w:p w:rsidR="00202E6E" w:rsidRDefault="00202E6E" w:rsidP="00690E7B">
      <w:pPr>
        <w:jc w:val="both"/>
        <w:rPr>
          <w:rFonts w:ascii="Arial" w:hAnsi="Arial" w:cs="Arial"/>
          <w:i/>
          <w:sz w:val="20"/>
          <w:szCs w:val="20"/>
        </w:rPr>
      </w:pPr>
    </w:p>
    <w:p w:rsidR="00690E7B" w:rsidRDefault="00690E7B" w:rsidP="00690E7B">
      <w:pPr>
        <w:jc w:val="both"/>
        <w:rPr>
          <w:rFonts w:ascii="Arial" w:hAnsi="Arial" w:cs="Arial"/>
          <w:i/>
          <w:sz w:val="20"/>
          <w:szCs w:val="20"/>
        </w:rPr>
      </w:pPr>
      <w:r w:rsidRPr="00690E7B">
        <w:rPr>
          <w:rFonts w:ascii="Arial" w:hAnsi="Arial" w:cs="Arial"/>
          <w:i/>
          <w:sz w:val="20"/>
          <w:szCs w:val="20"/>
        </w:rPr>
        <w:t>“Bajo protesta de decir verdad declaramos que los Estados Financieros y sus notas, son razonablemente correctos y son responsabilidad del emisor”.</w:t>
      </w:r>
    </w:p>
    <w:p w:rsidR="00B34C94" w:rsidRDefault="00B34C94" w:rsidP="00690E7B">
      <w:pPr>
        <w:jc w:val="both"/>
        <w:rPr>
          <w:rFonts w:ascii="Arial" w:hAnsi="Arial" w:cs="Arial"/>
          <w:i/>
          <w:sz w:val="20"/>
          <w:szCs w:val="20"/>
        </w:rPr>
      </w:pPr>
    </w:p>
    <w:p w:rsidR="00B34C94" w:rsidRDefault="00B34C94" w:rsidP="00690E7B">
      <w:pPr>
        <w:jc w:val="both"/>
        <w:rPr>
          <w:rFonts w:ascii="Arial" w:hAnsi="Arial" w:cs="Arial"/>
          <w:i/>
          <w:sz w:val="20"/>
          <w:szCs w:val="20"/>
        </w:rPr>
      </w:pPr>
    </w:p>
    <w:p w:rsidR="00B34C94" w:rsidRDefault="00B34C94" w:rsidP="00690E7B">
      <w:pPr>
        <w:jc w:val="both"/>
        <w:rPr>
          <w:rFonts w:ascii="Arial" w:hAnsi="Arial" w:cs="Arial"/>
          <w:i/>
          <w:sz w:val="20"/>
          <w:szCs w:val="20"/>
        </w:rPr>
      </w:pPr>
    </w:p>
    <w:p w:rsidR="00B34C94" w:rsidRDefault="00B34C94" w:rsidP="00690E7B">
      <w:pPr>
        <w:jc w:val="both"/>
        <w:rPr>
          <w:rFonts w:ascii="Arial" w:hAnsi="Arial" w:cs="Arial"/>
          <w:i/>
          <w:sz w:val="20"/>
          <w:szCs w:val="20"/>
        </w:rPr>
      </w:pPr>
    </w:p>
    <w:p w:rsidR="00B34C94" w:rsidRDefault="00B34C94" w:rsidP="00690E7B">
      <w:pPr>
        <w:jc w:val="both"/>
        <w:rPr>
          <w:rFonts w:ascii="Arial" w:hAnsi="Arial" w:cs="Arial"/>
          <w:i/>
          <w:sz w:val="20"/>
          <w:szCs w:val="20"/>
        </w:rPr>
      </w:pPr>
    </w:p>
    <w:tbl>
      <w:tblPr>
        <w:tblW w:w="13960" w:type="dxa"/>
        <w:tblCellMar>
          <w:left w:w="70" w:type="dxa"/>
          <w:right w:w="70" w:type="dxa"/>
        </w:tblCellMar>
        <w:tblLook w:val="04A0" w:firstRow="1" w:lastRow="0" w:firstColumn="1" w:lastColumn="0" w:noHBand="0" w:noVBand="1"/>
      </w:tblPr>
      <w:tblGrid>
        <w:gridCol w:w="5560"/>
        <w:gridCol w:w="1420"/>
        <w:gridCol w:w="1420"/>
        <w:gridCol w:w="5560"/>
      </w:tblGrid>
      <w:tr w:rsidR="000C3CC4" w:rsidRPr="000C3CC4" w:rsidTr="000C3CC4">
        <w:trPr>
          <w:trHeight w:val="240"/>
        </w:trPr>
        <w:tc>
          <w:tcPr>
            <w:tcW w:w="5560" w:type="dxa"/>
            <w:tcBorders>
              <w:top w:val="nil"/>
              <w:left w:val="nil"/>
              <w:bottom w:val="nil"/>
              <w:right w:val="nil"/>
            </w:tcBorders>
            <w:shd w:val="clear" w:color="auto" w:fill="auto"/>
            <w:noWrap/>
            <w:vAlign w:val="bottom"/>
            <w:hideMark/>
          </w:tcPr>
          <w:p w:rsidR="000C3CC4" w:rsidRPr="000C3CC4" w:rsidRDefault="000C3CC4" w:rsidP="000C3CC4">
            <w:pPr>
              <w:rPr>
                <w:rFonts w:ascii="Calibri" w:eastAsia="Times New Roman" w:hAnsi="Calibri" w:cs="Calibri"/>
                <w:b/>
                <w:bCs/>
                <w:color w:val="000000"/>
                <w:sz w:val="18"/>
                <w:szCs w:val="18"/>
                <w:lang w:eastAsia="es-MX"/>
              </w:rPr>
            </w:pPr>
            <w:r w:rsidRPr="000C3CC4">
              <w:rPr>
                <w:rFonts w:ascii="Calibri" w:eastAsia="Times New Roman" w:hAnsi="Calibri" w:cs="Calibri"/>
                <w:b/>
                <w:bCs/>
                <w:color w:val="000000"/>
                <w:sz w:val="18"/>
                <w:szCs w:val="18"/>
                <w:lang w:eastAsia="es-MX"/>
              </w:rPr>
              <w:t>LIC. LIZ ALEJANDRA ESPARZA FRAUSTO</w:t>
            </w:r>
          </w:p>
        </w:tc>
        <w:tc>
          <w:tcPr>
            <w:tcW w:w="1420" w:type="dxa"/>
            <w:tcBorders>
              <w:top w:val="nil"/>
              <w:left w:val="nil"/>
              <w:bottom w:val="nil"/>
              <w:right w:val="nil"/>
            </w:tcBorders>
            <w:shd w:val="clear" w:color="auto" w:fill="auto"/>
            <w:hideMark/>
          </w:tcPr>
          <w:p w:rsidR="000C3CC4" w:rsidRPr="000C3CC4" w:rsidRDefault="000C3CC4" w:rsidP="000C3CC4">
            <w:pPr>
              <w:rPr>
                <w:rFonts w:ascii="Calibri" w:eastAsia="Times New Roman" w:hAnsi="Calibri" w:cs="Calibri"/>
                <w:b/>
                <w:bCs/>
                <w:color w:val="000000"/>
                <w:sz w:val="18"/>
                <w:szCs w:val="18"/>
                <w:lang w:eastAsia="es-MX"/>
              </w:rPr>
            </w:pPr>
          </w:p>
        </w:tc>
        <w:tc>
          <w:tcPr>
            <w:tcW w:w="1420" w:type="dxa"/>
            <w:tcBorders>
              <w:top w:val="nil"/>
              <w:left w:val="nil"/>
              <w:bottom w:val="nil"/>
              <w:right w:val="nil"/>
            </w:tcBorders>
            <w:shd w:val="clear" w:color="auto" w:fill="auto"/>
            <w:noWrap/>
            <w:vAlign w:val="bottom"/>
            <w:hideMark/>
          </w:tcPr>
          <w:p w:rsidR="000C3CC4" w:rsidRPr="000C3CC4" w:rsidRDefault="000C3CC4" w:rsidP="000C3CC4">
            <w:pPr>
              <w:rPr>
                <w:rFonts w:ascii="Times New Roman" w:eastAsia="Times New Roman" w:hAnsi="Times New Roman" w:cs="Times New Roman"/>
                <w:sz w:val="20"/>
                <w:szCs w:val="20"/>
                <w:lang w:eastAsia="es-MX"/>
              </w:rPr>
            </w:pPr>
          </w:p>
        </w:tc>
        <w:tc>
          <w:tcPr>
            <w:tcW w:w="5560" w:type="dxa"/>
            <w:tcBorders>
              <w:top w:val="nil"/>
              <w:left w:val="nil"/>
              <w:bottom w:val="nil"/>
              <w:right w:val="nil"/>
            </w:tcBorders>
            <w:shd w:val="clear" w:color="auto" w:fill="auto"/>
            <w:noWrap/>
            <w:vAlign w:val="center"/>
            <w:hideMark/>
          </w:tcPr>
          <w:p w:rsidR="000C3CC4" w:rsidRPr="000C3CC4" w:rsidRDefault="000C3CC4" w:rsidP="000C3CC4">
            <w:pPr>
              <w:rPr>
                <w:rFonts w:ascii="Calibri" w:eastAsia="Times New Roman" w:hAnsi="Calibri" w:cs="Calibri"/>
                <w:b/>
                <w:bCs/>
                <w:color w:val="000000"/>
                <w:sz w:val="18"/>
                <w:szCs w:val="18"/>
                <w:lang w:eastAsia="es-MX"/>
              </w:rPr>
            </w:pPr>
            <w:r w:rsidRPr="000C3CC4">
              <w:rPr>
                <w:rFonts w:ascii="Calibri" w:eastAsia="Times New Roman" w:hAnsi="Calibri" w:cs="Calibri"/>
                <w:b/>
                <w:bCs/>
                <w:color w:val="000000"/>
                <w:sz w:val="18"/>
                <w:szCs w:val="18"/>
                <w:lang w:eastAsia="es-MX"/>
              </w:rPr>
              <w:t xml:space="preserve">CP. MARIA ELENA SANCHEZ ARREDONDO </w:t>
            </w:r>
          </w:p>
        </w:tc>
      </w:tr>
      <w:tr w:rsidR="000C3CC4" w:rsidRPr="000C3CC4" w:rsidTr="000C3CC4">
        <w:trPr>
          <w:trHeight w:val="240"/>
        </w:trPr>
        <w:tc>
          <w:tcPr>
            <w:tcW w:w="5560" w:type="dxa"/>
            <w:tcBorders>
              <w:top w:val="nil"/>
              <w:left w:val="nil"/>
              <w:bottom w:val="nil"/>
              <w:right w:val="nil"/>
            </w:tcBorders>
            <w:shd w:val="clear" w:color="auto" w:fill="auto"/>
            <w:noWrap/>
            <w:vAlign w:val="center"/>
            <w:hideMark/>
          </w:tcPr>
          <w:p w:rsidR="000C3CC4" w:rsidRPr="000C3CC4" w:rsidRDefault="000C3CC4" w:rsidP="000C3CC4">
            <w:pPr>
              <w:rPr>
                <w:rFonts w:ascii="Calibri" w:eastAsia="Times New Roman" w:hAnsi="Calibri" w:cs="Calibri"/>
                <w:b/>
                <w:bCs/>
                <w:color w:val="000000"/>
                <w:sz w:val="18"/>
                <w:szCs w:val="18"/>
                <w:lang w:eastAsia="es-MX"/>
              </w:rPr>
            </w:pPr>
            <w:r w:rsidRPr="000C3CC4">
              <w:rPr>
                <w:rFonts w:ascii="Calibri" w:eastAsia="Times New Roman" w:hAnsi="Calibri" w:cs="Calibri"/>
                <w:b/>
                <w:bCs/>
                <w:color w:val="000000"/>
                <w:sz w:val="18"/>
                <w:szCs w:val="18"/>
                <w:lang w:eastAsia="es-MX"/>
              </w:rPr>
              <w:t xml:space="preserve">ENCARGADA DE DESPACHO DE LA DIRECCION GENERAL </w:t>
            </w:r>
          </w:p>
        </w:tc>
        <w:tc>
          <w:tcPr>
            <w:tcW w:w="1420" w:type="dxa"/>
            <w:tcBorders>
              <w:top w:val="nil"/>
              <w:left w:val="nil"/>
              <w:bottom w:val="nil"/>
              <w:right w:val="nil"/>
            </w:tcBorders>
            <w:shd w:val="clear" w:color="auto" w:fill="auto"/>
            <w:hideMark/>
          </w:tcPr>
          <w:p w:rsidR="000C3CC4" w:rsidRPr="000C3CC4" w:rsidRDefault="000C3CC4" w:rsidP="000C3CC4">
            <w:pPr>
              <w:rPr>
                <w:rFonts w:ascii="Calibri" w:eastAsia="Times New Roman" w:hAnsi="Calibri" w:cs="Calibri"/>
                <w:b/>
                <w:bCs/>
                <w:color w:val="000000"/>
                <w:sz w:val="18"/>
                <w:szCs w:val="18"/>
                <w:lang w:eastAsia="es-MX"/>
              </w:rPr>
            </w:pPr>
          </w:p>
        </w:tc>
        <w:tc>
          <w:tcPr>
            <w:tcW w:w="1420" w:type="dxa"/>
            <w:tcBorders>
              <w:top w:val="nil"/>
              <w:left w:val="nil"/>
              <w:bottom w:val="nil"/>
              <w:right w:val="nil"/>
            </w:tcBorders>
            <w:shd w:val="clear" w:color="auto" w:fill="auto"/>
            <w:noWrap/>
            <w:vAlign w:val="bottom"/>
            <w:hideMark/>
          </w:tcPr>
          <w:p w:rsidR="000C3CC4" w:rsidRPr="000C3CC4" w:rsidRDefault="000C3CC4" w:rsidP="000C3CC4">
            <w:pPr>
              <w:rPr>
                <w:rFonts w:ascii="Times New Roman" w:eastAsia="Times New Roman" w:hAnsi="Times New Roman" w:cs="Times New Roman"/>
                <w:sz w:val="20"/>
                <w:szCs w:val="20"/>
                <w:lang w:eastAsia="es-MX"/>
              </w:rPr>
            </w:pPr>
          </w:p>
        </w:tc>
        <w:tc>
          <w:tcPr>
            <w:tcW w:w="5560" w:type="dxa"/>
            <w:tcBorders>
              <w:top w:val="nil"/>
              <w:left w:val="nil"/>
              <w:bottom w:val="nil"/>
              <w:right w:val="nil"/>
            </w:tcBorders>
            <w:shd w:val="clear" w:color="auto" w:fill="auto"/>
            <w:noWrap/>
            <w:vAlign w:val="center"/>
            <w:hideMark/>
          </w:tcPr>
          <w:p w:rsidR="000C3CC4" w:rsidRPr="000C3CC4" w:rsidRDefault="000C3CC4" w:rsidP="000C3CC4">
            <w:pPr>
              <w:rPr>
                <w:rFonts w:ascii="Calibri" w:eastAsia="Times New Roman" w:hAnsi="Calibri" w:cs="Calibri"/>
                <w:b/>
                <w:bCs/>
                <w:color w:val="000000"/>
                <w:sz w:val="18"/>
                <w:szCs w:val="18"/>
                <w:lang w:eastAsia="es-MX"/>
              </w:rPr>
            </w:pPr>
            <w:r w:rsidRPr="000C3CC4">
              <w:rPr>
                <w:rFonts w:ascii="Calibri" w:eastAsia="Times New Roman" w:hAnsi="Calibri" w:cs="Calibri"/>
                <w:b/>
                <w:bCs/>
                <w:color w:val="000000"/>
                <w:sz w:val="18"/>
                <w:szCs w:val="18"/>
                <w:lang w:eastAsia="es-MX"/>
              </w:rPr>
              <w:t>ENCARGADA DE DESPACHO DE LA DIRECCION ADMINISTRATIVA</w:t>
            </w:r>
          </w:p>
        </w:tc>
      </w:tr>
    </w:tbl>
    <w:p w:rsidR="00B34C94" w:rsidRDefault="00B34C94" w:rsidP="00690E7B">
      <w:pPr>
        <w:jc w:val="both"/>
        <w:rPr>
          <w:rFonts w:ascii="Arial" w:hAnsi="Arial" w:cs="Arial"/>
          <w:i/>
          <w:sz w:val="20"/>
          <w:szCs w:val="20"/>
        </w:rPr>
      </w:pPr>
    </w:p>
    <w:tbl>
      <w:tblPr>
        <w:tblW w:w="10940" w:type="dxa"/>
        <w:tblCellMar>
          <w:left w:w="70" w:type="dxa"/>
          <w:right w:w="70" w:type="dxa"/>
        </w:tblCellMar>
        <w:tblLook w:val="04A0" w:firstRow="1" w:lastRow="0" w:firstColumn="1" w:lastColumn="0" w:noHBand="0" w:noVBand="1"/>
      </w:tblPr>
      <w:tblGrid>
        <w:gridCol w:w="5920"/>
        <w:gridCol w:w="5020"/>
      </w:tblGrid>
      <w:tr w:rsidR="00777414" w:rsidRPr="00777414" w:rsidTr="000C3CC4">
        <w:trPr>
          <w:trHeight w:val="300"/>
        </w:trPr>
        <w:tc>
          <w:tcPr>
            <w:tcW w:w="5920" w:type="dxa"/>
            <w:tcBorders>
              <w:top w:val="nil"/>
              <w:left w:val="nil"/>
              <w:bottom w:val="nil"/>
              <w:right w:val="nil"/>
            </w:tcBorders>
            <w:shd w:val="clear" w:color="auto" w:fill="auto"/>
            <w:noWrap/>
            <w:vAlign w:val="bottom"/>
          </w:tcPr>
          <w:p w:rsidR="00777414" w:rsidRPr="00777414" w:rsidRDefault="00777414" w:rsidP="00777414">
            <w:pPr>
              <w:rPr>
                <w:rFonts w:ascii="Calibri" w:eastAsia="Times New Roman" w:hAnsi="Calibri" w:cs="Calibri"/>
                <w:b/>
                <w:bCs/>
                <w:color w:val="000000"/>
                <w:sz w:val="18"/>
                <w:szCs w:val="18"/>
                <w:lang w:eastAsia="es-MX"/>
              </w:rPr>
            </w:pPr>
          </w:p>
        </w:tc>
        <w:tc>
          <w:tcPr>
            <w:tcW w:w="5020" w:type="dxa"/>
            <w:tcBorders>
              <w:top w:val="nil"/>
              <w:left w:val="nil"/>
              <w:bottom w:val="nil"/>
              <w:right w:val="nil"/>
            </w:tcBorders>
            <w:shd w:val="clear" w:color="auto" w:fill="auto"/>
            <w:noWrap/>
            <w:vAlign w:val="center"/>
          </w:tcPr>
          <w:p w:rsidR="00777414" w:rsidRPr="00777414" w:rsidRDefault="00777414" w:rsidP="00777414">
            <w:pPr>
              <w:rPr>
                <w:rFonts w:ascii="Calibri" w:eastAsia="Times New Roman" w:hAnsi="Calibri" w:cs="Calibri"/>
                <w:b/>
                <w:bCs/>
                <w:color w:val="000000"/>
                <w:sz w:val="18"/>
                <w:szCs w:val="18"/>
                <w:lang w:eastAsia="es-MX"/>
              </w:rPr>
            </w:pPr>
          </w:p>
        </w:tc>
      </w:tr>
      <w:tr w:rsidR="00777414" w:rsidRPr="00777414" w:rsidTr="000C3CC4">
        <w:trPr>
          <w:trHeight w:val="300"/>
        </w:trPr>
        <w:tc>
          <w:tcPr>
            <w:tcW w:w="5920" w:type="dxa"/>
            <w:tcBorders>
              <w:top w:val="nil"/>
              <w:left w:val="nil"/>
              <w:bottom w:val="nil"/>
              <w:right w:val="nil"/>
            </w:tcBorders>
            <w:shd w:val="clear" w:color="auto" w:fill="auto"/>
            <w:noWrap/>
            <w:vAlign w:val="center"/>
          </w:tcPr>
          <w:p w:rsidR="00777414" w:rsidRPr="00777414" w:rsidRDefault="00777414" w:rsidP="00777414">
            <w:pPr>
              <w:rPr>
                <w:rFonts w:ascii="Calibri" w:eastAsia="Times New Roman" w:hAnsi="Calibri" w:cs="Calibri"/>
                <w:b/>
                <w:bCs/>
                <w:color w:val="000000"/>
                <w:sz w:val="18"/>
                <w:szCs w:val="18"/>
                <w:lang w:eastAsia="es-MX"/>
              </w:rPr>
            </w:pPr>
          </w:p>
        </w:tc>
        <w:tc>
          <w:tcPr>
            <w:tcW w:w="5020" w:type="dxa"/>
            <w:tcBorders>
              <w:top w:val="nil"/>
              <w:left w:val="nil"/>
              <w:bottom w:val="nil"/>
              <w:right w:val="nil"/>
            </w:tcBorders>
            <w:shd w:val="clear" w:color="auto" w:fill="auto"/>
            <w:noWrap/>
            <w:vAlign w:val="center"/>
          </w:tcPr>
          <w:p w:rsidR="00777414" w:rsidRPr="00777414" w:rsidRDefault="00777414" w:rsidP="00777414">
            <w:pPr>
              <w:rPr>
                <w:rFonts w:ascii="Calibri" w:eastAsia="Times New Roman" w:hAnsi="Calibri" w:cs="Calibri"/>
                <w:b/>
                <w:bCs/>
                <w:color w:val="000000"/>
                <w:sz w:val="18"/>
                <w:szCs w:val="18"/>
                <w:lang w:eastAsia="es-MX"/>
              </w:rPr>
            </w:pPr>
          </w:p>
        </w:tc>
      </w:tr>
    </w:tbl>
    <w:p w:rsidR="00B34C94" w:rsidRDefault="00B34C94" w:rsidP="00690E7B">
      <w:pPr>
        <w:jc w:val="both"/>
        <w:rPr>
          <w:rFonts w:ascii="Arial" w:hAnsi="Arial" w:cs="Arial"/>
          <w:i/>
          <w:sz w:val="20"/>
          <w:szCs w:val="20"/>
        </w:rPr>
      </w:pPr>
      <w:bookmarkStart w:id="0" w:name="_GoBack"/>
      <w:bookmarkEnd w:id="0"/>
    </w:p>
    <w:sectPr w:rsidR="00B34C94" w:rsidSect="003B51CB">
      <w:headerReference w:type="even" r:id="rId9"/>
      <w:footerReference w:type="even" r:id="rId10"/>
      <w:pgSz w:w="15840" w:h="12240" w:orient="landscape" w:code="1"/>
      <w:pgMar w:top="1276" w:right="1077" w:bottom="1077" w:left="1077"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420" w:rsidRDefault="00946420" w:rsidP="00690E7B">
      <w:r>
        <w:separator/>
      </w:r>
    </w:p>
  </w:endnote>
  <w:endnote w:type="continuationSeparator" w:id="0">
    <w:p w:rsidR="00946420" w:rsidRDefault="00946420" w:rsidP="0069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berana Sans Light">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978" w:rsidRPr="001E3B9D" w:rsidRDefault="00E92AD8" w:rsidP="0013011C">
    <w:pPr>
      <w:pStyle w:val="Piedepgina"/>
      <w:jc w:val="center"/>
      <w:rPr>
        <w:rFonts w:ascii="Arial" w:hAnsi="Arial" w:cs="Arial"/>
        <w:color w:val="808080" w:themeColor="background1" w:themeShade="80"/>
        <w:sz w:val="20"/>
        <w:szCs w:val="20"/>
      </w:rPr>
    </w:pPr>
    <w:r>
      <w:rPr>
        <w:rFonts w:ascii="Arial" w:hAnsi="Arial" w:cs="Arial"/>
        <w:noProof/>
        <w:color w:val="808080" w:themeColor="background1" w:themeShade="80"/>
        <w:sz w:val="20"/>
        <w:szCs w:val="20"/>
        <w:lang w:val="es-MX" w:eastAsia="es-MX"/>
      </w:rPr>
      <mc:AlternateContent>
        <mc:Choice Requires="wps">
          <w:drawing>
            <wp:anchor distT="0" distB="0" distL="114300" distR="114300" simplePos="0" relativeHeight="251662336" behindDoc="0" locked="0" layoutInCell="1" allowOverlap="1" wp14:anchorId="34974884" wp14:editId="2AC5BD95">
              <wp:simplePos x="0" y="0"/>
              <wp:positionH relativeFrom="column">
                <wp:posOffset>-676275</wp:posOffset>
              </wp:positionH>
              <wp:positionV relativeFrom="paragraph">
                <wp:posOffset>-32385</wp:posOffset>
              </wp:positionV>
              <wp:extent cx="10029825" cy="0"/>
              <wp:effectExtent l="9525" t="15240" r="9525" b="13335"/>
              <wp:wrapNone/>
              <wp:docPr id="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29825" cy="0"/>
                      </a:xfrm>
                      <a:prstGeom prst="line">
                        <a:avLst/>
                      </a:prstGeom>
                      <a:noFill/>
                      <a:ln w="1905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63143F0" id="Line 29"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25pt,-2.55pt" to="736.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" strokecolor="#4e92d1 [3044]" strokeweight="1.5pt"/>
          </w:pict>
        </mc:Fallback>
      </mc:AlternateContent>
    </w:r>
    <w:r>
      <w:rPr>
        <w:rFonts w:ascii="Arial" w:hAnsi="Arial" w:cs="Arial"/>
        <w:color w:val="808080" w:themeColor="background1" w:themeShade="80"/>
        <w:sz w:val="20"/>
        <w:szCs w:val="20"/>
      </w:rPr>
      <w:t>Información Financiera</w:t>
    </w:r>
    <w:r w:rsidRPr="001E3B9D">
      <w:rPr>
        <w:rFonts w:ascii="Arial" w:hAnsi="Arial" w:cs="Arial"/>
        <w:color w:val="808080" w:themeColor="background1" w:themeShade="80"/>
        <w:sz w:val="20"/>
        <w:szCs w:val="20"/>
      </w:rPr>
      <w:t xml:space="preserve"> / </w:t>
    </w:r>
    <w:sdt>
      <w:sdtPr>
        <w:rPr>
          <w:rFonts w:ascii="Arial" w:hAnsi="Arial" w:cs="Arial"/>
          <w:color w:val="808080" w:themeColor="background1" w:themeShade="80"/>
          <w:sz w:val="20"/>
          <w:szCs w:val="20"/>
        </w:rPr>
        <w:id w:val="1925684569"/>
        <w:docPartObj>
          <w:docPartGallery w:val="Page Numbers (Bottom of Page)"/>
          <w:docPartUnique/>
        </w:docPartObj>
      </w:sdtPr>
      <w:sdtEndPr/>
      <w:sdtContent>
        <w:r>
          <w:rPr>
            <w:rFonts w:ascii="Arial" w:hAnsi="Arial" w:cs="Arial"/>
            <w:color w:val="808080" w:themeColor="background1" w:themeShade="80"/>
            <w:sz w:val="20"/>
            <w:szCs w:val="20"/>
          </w:rPr>
          <w:t>3</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420" w:rsidRDefault="00946420" w:rsidP="00690E7B">
      <w:r>
        <w:separator/>
      </w:r>
    </w:p>
  </w:footnote>
  <w:footnote w:type="continuationSeparator" w:id="0">
    <w:p w:rsidR="00946420" w:rsidRDefault="00946420" w:rsidP="00690E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978" w:rsidRDefault="00E92AD8" w:rsidP="000B489A">
    <w:pPr>
      <w:pStyle w:val="Encabezado"/>
      <w:tabs>
        <w:tab w:val="clear" w:pos="4419"/>
        <w:tab w:val="clear" w:pos="8838"/>
        <w:tab w:val="left" w:pos="6804"/>
        <w:tab w:val="left" w:pos="7961"/>
      </w:tabs>
    </w:pPr>
    <w:r w:rsidRPr="000B489A">
      <w:rPr>
        <w:noProof/>
        <w:lang w:val="es-MX" w:eastAsia="es-MX"/>
      </w:rPr>
      <mc:AlternateContent>
        <mc:Choice Requires="wps">
          <w:drawing>
            <wp:anchor distT="0" distB="0" distL="114300" distR="114300" simplePos="0" relativeHeight="251663360" behindDoc="0" locked="0" layoutInCell="1" allowOverlap="1" wp14:anchorId="02D67CF4" wp14:editId="79845C67">
              <wp:simplePos x="0" y="0"/>
              <wp:positionH relativeFrom="column">
                <wp:posOffset>4307205</wp:posOffset>
              </wp:positionH>
              <wp:positionV relativeFrom="paragraph">
                <wp:posOffset>-245745</wp:posOffset>
              </wp:positionV>
              <wp:extent cx="838835" cy="328930"/>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328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0978" w:rsidRPr="002904C4" w:rsidRDefault="00E92AD8" w:rsidP="000B489A">
                          <w:pPr>
                            <w:jc w:val="both"/>
                            <w:rPr>
                              <w:rFonts w:ascii="Arial" w:hAnsi="Arial" w:cs="Arial"/>
                              <w:color w:val="808080" w:themeColor="background1" w:themeShade="80"/>
                              <w:sz w:val="32"/>
                              <w:szCs w:val="32"/>
                            </w:rPr>
                          </w:pPr>
                          <w:r>
                            <w:rPr>
                              <w:rFonts w:ascii="Arial" w:hAnsi="Arial" w:cs="Arial"/>
                              <w:color w:val="808080" w:themeColor="background1" w:themeShade="80"/>
                              <w:sz w:val="32"/>
                              <w:szCs w:val="32"/>
                            </w:rPr>
                            <w:t>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D67CF4" id="_x0000_t202" coordsize="21600,21600" o:spt="202" path="m,l,21600r21600,l21600,xe">
              <v:stroke joinstyle="miter"/>
              <v:path gradientshapeok="t" o:connecttype="rect"/>
            </v:shapetype>
            <v:shape id="Cuadro de texto 18" o:spid="_x0000_s1026" type="#_x0000_t202" style="position:absolute;margin-left:339.15pt;margin-top:-19.35pt;width:66.05pt;height:2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" stroked="f">
              <v:textbox>
                <w:txbxContent>
                  <w:p w:rsidR="00D80978" w:rsidRPr="002904C4" w:rsidRDefault="00E92AD8" w:rsidP="000B489A">
                    <w:pPr>
                      <w:jc w:val="both"/>
                      <w:rPr>
                        <w:rFonts w:ascii="Arial" w:hAnsi="Arial" w:cs="Arial"/>
                        <w:color w:val="808080" w:themeColor="background1" w:themeShade="80"/>
                        <w:sz w:val="32"/>
                        <w:szCs w:val="32"/>
                      </w:rPr>
                    </w:pPr>
                    <w:r>
                      <w:rPr>
                        <w:rFonts w:ascii="Arial" w:hAnsi="Arial" w:cs="Arial"/>
                        <w:color w:val="808080" w:themeColor="background1" w:themeShade="80"/>
                        <w:sz w:val="32"/>
                        <w:szCs w:val="32"/>
                      </w:rPr>
                      <w:t>2019</w:t>
                    </w:r>
                  </w:p>
                </w:txbxContent>
              </v:textbox>
            </v:shape>
          </w:pict>
        </mc:Fallback>
      </mc:AlternateContent>
    </w:r>
    <w:r w:rsidRPr="000B489A">
      <w:rPr>
        <w:noProof/>
        <w:lang w:val="es-MX" w:eastAsia="es-MX"/>
      </w:rPr>
      <mc:AlternateContent>
        <mc:Choice Requires="wps">
          <w:drawing>
            <wp:anchor distT="0" distB="0" distL="114300" distR="114300" simplePos="0" relativeHeight="251664384" behindDoc="0" locked="0" layoutInCell="1" allowOverlap="1" wp14:anchorId="65D9CB5C" wp14:editId="6F5B8793">
              <wp:simplePos x="0" y="0"/>
              <wp:positionH relativeFrom="column">
                <wp:posOffset>1591310</wp:posOffset>
              </wp:positionH>
              <wp:positionV relativeFrom="paragraph">
                <wp:posOffset>-287020</wp:posOffset>
              </wp:positionV>
              <wp:extent cx="2767330" cy="398780"/>
              <wp:effectExtent l="0" t="0" r="0" b="127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7330" cy="39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0978" w:rsidRDefault="00E92AD8" w:rsidP="000B489A">
                          <w:pPr>
                            <w:jc w:val="right"/>
                            <w:rPr>
                              <w:rFonts w:ascii="Arial" w:hAnsi="Arial" w:cs="Arial"/>
                              <w:color w:val="808080" w:themeColor="background1" w:themeShade="80"/>
                              <w:sz w:val="20"/>
                              <w:szCs w:val="20"/>
                            </w:rPr>
                          </w:pPr>
                          <w:r>
                            <w:rPr>
                              <w:rFonts w:ascii="Arial" w:hAnsi="Arial" w:cs="Arial"/>
                              <w:color w:val="808080" w:themeColor="background1" w:themeShade="80"/>
                              <w:sz w:val="20"/>
                              <w:szCs w:val="20"/>
                            </w:rPr>
                            <w:t>CUENTA</w:t>
                          </w:r>
                        </w:p>
                        <w:p w:rsidR="00D80978" w:rsidRPr="009D62C5" w:rsidRDefault="00E92AD8" w:rsidP="000B489A">
                          <w:pPr>
                            <w:jc w:val="right"/>
                            <w:rPr>
                              <w:rFonts w:ascii="Arial" w:hAnsi="Arial" w:cs="Arial"/>
                              <w:color w:val="808080" w:themeColor="background1" w:themeShade="80"/>
                              <w:sz w:val="20"/>
                              <w:szCs w:val="20"/>
                            </w:rPr>
                          </w:pPr>
                          <w:r>
                            <w:rPr>
                              <w:rFonts w:ascii="Arial" w:hAnsi="Arial" w:cs="Arial"/>
                              <w:color w:val="808080" w:themeColor="background1" w:themeShade="80"/>
                              <w:sz w:val="20"/>
                              <w:szCs w:val="20"/>
                            </w:rPr>
                            <w:t xml:space="preserve"> PÚBLICA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D9CB5C" id="Cuadro de texto 17" o:spid="_x0000_s1027" type="#_x0000_t202" style="position:absolute;margin-left:125.3pt;margin-top:-22.6pt;width:217.9pt;height:3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" stroked="f">
              <v:textbox>
                <w:txbxContent>
                  <w:p w:rsidR="00D80978" w:rsidRDefault="00E92AD8" w:rsidP="000B489A">
                    <w:pPr>
                      <w:jc w:val="right"/>
                      <w:rPr>
                        <w:rFonts w:ascii="Arial" w:hAnsi="Arial" w:cs="Arial"/>
                        <w:color w:val="808080" w:themeColor="background1" w:themeShade="80"/>
                        <w:sz w:val="20"/>
                        <w:szCs w:val="20"/>
                      </w:rPr>
                    </w:pPr>
                    <w:r>
                      <w:rPr>
                        <w:rFonts w:ascii="Arial" w:hAnsi="Arial" w:cs="Arial"/>
                        <w:color w:val="808080" w:themeColor="background1" w:themeShade="80"/>
                        <w:sz w:val="20"/>
                        <w:szCs w:val="20"/>
                      </w:rPr>
                      <w:t>CUENTA</w:t>
                    </w:r>
                  </w:p>
                  <w:p w:rsidR="00D80978" w:rsidRPr="009D62C5" w:rsidRDefault="00E92AD8" w:rsidP="000B489A">
                    <w:pPr>
                      <w:jc w:val="right"/>
                      <w:rPr>
                        <w:rFonts w:ascii="Arial" w:hAnsi="Arial" w:cs="Arial"/>
                        <w:color w:val="808080" w:themeColor="background1" w:themeShade="80"/>
                        <w:sz w:val="20"/>
                        <w:szCs w:val="20"/>
                      </w:rPr>
                    </w:pPr>
                    <w:r>
                      <w:rPr>
                        <w:rFonts w:ascii="Arial" w:hAnsi="Arial" w:cs="Arial"/>
                        <w:color w:val="808080" w:themeColor="background1" w:themeShade="80"/>
                        <w:sz w:val="20"/>
                        <w:szCs w:val="20"/>
                      </w:rPr>
                      <w:t xml:space="preserve"> PÚBLICA</w:t>
                    </w:r>
                  </w:p>
                </w:txbxContent>
              </v:textbox>
            </v:shape>
          </w:pict>
        </mc:Fallback>
      </mc:AlternateContent>
    </w:r>
    <w:r>
      <w:rPr>
        <w:rFonts w:ascii="Soberana Sans Light" w:hAnsi="Soberana Sans Light"/>
        <w:noProof/>
        <w:lang w:val="es-MX" w:eastAsia="es-MX"/>
      </w:rPr>
      <mc:AlternateContent>
        <mc:Choice Requires="wps">
          <w:drawing>
            <wp:anchor distT="0" distB="0" distL="114300" distR="114300" simplePos="0" relativeHeight="251659264" behindDoc="0" locked="0" layoutInCell="1" allowOverlap="1" wp14:anchorId="256CF59C" wp14:editId="60172807">
              <wp:simplePos x="0" y="0"/>
              <wp:positionH relativeFrom="column">
                <wp:posOffset>-676275</wp:posOffset>
              </wp:positionH>
              <wp:positionV relativeFrom="paragraph">
                <wp:posOffset>210820</wp:posOffset>
              </wp:positionV>
              <wp:extent cx="10029825" cy="0"/>
              <wp:effectExtent l="9525" t="10795" r="9525" b="17780"/>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29825" cy="0"/>
                      </a:xfrm>
                      <a:prstGeom prst="line">
                        <a:avLst/>
                      </a:prstGeom>
                      <a:noFill/>
                      <a:ln w="19050">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E88FA78" id="4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25pt,16.6pt" to="736.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" strokecolor="#4579b8"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10EF1"/>
    <w:multiLevelType w:val="hybridMultilevel"/>
    <w:tmpl w:val="B69E6E46"/>
    <w:lvl w:ilvl="0" w:tplc="62CA7BD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877882"/>
    <w:multiLevelType w:val="hybridMultilevel"/>
    <w:tmpl w:val="D7EC20C0"/>
    <w:lvl w:ilvl="0" w:tplc="D5DC081E">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1A9628B2"/>
    <w:multiLevelType w:val="hybridMultilevel"/>
    <w:tmpl w:val="E3AE1144"/>
    <w:lvl w:ilvl="0" w:tplc="C37E3DA6">
      <w:start w:val="1"/>
      <w:numFmt w:val="lowerLetter"/>
      <w:lvlText w:val="%1)"/>
      <w:lvlJc w:val="left"/>
      <w:pPr>
        <w:ind w:left="114" w:hanging="708"/>
      </w:pPr>
      <w:rPr>
        <w:rFonts w:ascii="Arial" w:eastAsia="Arial" w:hAnsi="Arial" w:cs="Arial" w:hint="default"/>
        <w:w w:val="99"/>
        <w:sz w:val="18"/>
        <w:szCs w:val="18"/>
      </w:rPr>
    </w:lvl>
    <w:lvl w:ilvl="1" w:tplc="94F86594">
      <w:numFmt w:val="bullet"/>
      <w:lvlText w:val="•"/>
      <w:lvlJc w:val="left"/>
      <w:pPr>
        <w:ind w:left="1128" w:hanging="708"/>
      </w:pPr>
      <w:rPr>
        <w:rFonts w:hint="default"/>
      </w:rPr>
    </w:lvl>
    <w:lvl w:ilvl="2" w:tplc="3E64013A">
      <w:numFmt w:val="bullet"/>
      <w:lvlText w:val="•"/>
      <w:lvlJc w:val="left"/>
      <w:pPr>
        <w:ind w:left="2136" w:hanging="708"/>
      </w:pPr>
      <w:rPr>
        <w:rFonts w:hint="default"/>
      </w:rPr>
    </w:lvl>
    <w:lvl w:ilvl="3" w:tplc="6F2423A4">
      <w:numFmt w:val="bullet"/>
      <w:lvlText w:val="•"/>
      <w:lvlJc w:val="left"/>
      <w:pPr>
        <w:ind w:left="3144" w:hanging="708"/>
      </w:pPr>
      <w:rPr>
        <w:rFonts w:hint="default"/>
      </w:rPr>
    </w:lvl>
    <w:lvl w:ilvl="4" w:tplc="A21E057C">
      <w:numFmt w:val="bullet"/>
      <w:lvlText w:val="•"/>
      <w:lvlJc w:val="left"/>
      <w:pPr>
        <w:ind w:left="4152" w:hanging="708"/>
      </w:pPr>
      <w:rPr>
        <w:rFonts w:hint="default"/>
      </w:rPr>
    </w:lvl>
    <w:lvl w:ilvl="5" w:tplc="B41E82C2">
      <w:numFmt w:val="bullet"/>
      <w:lvlText w:val="•"/>
      <w:lvlJc w:val="left"/>
      <w:pPr>
        <w:ind w:left="5160" w:hanging="708"/>
      </w:pPr>
      <w:rPr>
        <w:rFonts w:hint="default"/>
      </w:rPr>
    </w:lvl>
    <w:lvl w:ilvl="6" w:tplc="E2DCA702">
      <w:numFmt w:val="bullet"/>
      <w:lvlText w:val="•"/>
      <w:lvlJc w:val="left"/>
      <w:pPr>
        <w:ind w:left="6169" w:hanging="708"/>
      </w:pPr>
      <w:rPr>
        <w:rFonts w:hint="default"/>
      </w:rPr>
    </w:lvl>
    <w:lvl w:ilvl="7" w:tplc="7F229868">
      <w:numFmt w:val="bullet"/>
      <w:lvlText w:val="•"/>
      <w:lvlJc w:val="left"/>
      <w:pPr>
        <w:ind w:left="7177" w:hanging="708"/>
      </w:pPr>
      <w:rPr>
        <w:rFonts w:hint="default"/>
      </w:rPr>
    </w:lvl>
    <w:lvl w:ilvl="8" w:tplc="418277AA">
      <w:numFmt w:val="bullet"/>
      <w:lvlText w:val="•"/>
      <w:lvlJc w:val="left"/>
      <w:pPr>
        <w:ind w:left="8185" w:hanging="708"/>
      </w:pPr>
      <w:rPr>
        <w:rFonts w:hint="default"/>
      </w:rPr>
    </w:lvl>
  </w:abstractNum>
  <w:abstractNum w:abstractNumId="3" w15:restartNumberingAfterBreak="0">
    <w:nsid w:val="2B1C1B9A"/>
    <w:multiLevelType w:val="hybridMultilevel"/>
    <w:tmpl w:val="3216E95E"/>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4D7956BB"/>
    <w:multiLevelType w:val="hybridMultilevel"/>
    <w:tmpl w:val="A390685A"/>
    <w:lvl w:ilvl="0" w:tplc="6504A7D2">
      <w:start w:val="5"/>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C3D5573"/>
    <w:multiLevelType w:val="hybridMultilevel"/>
    <w:tmpl w:val="B13282A2"/>
    <w:lvl w:ilvl="0" w:tplc="2AAED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3747F3D"/>
    <w:multiLevelType w:val="hybridMultilevel"/>
    <w:tmpl w:val="40767F4E"/>
    <w:lvl w:ilvl="0" w:tplc="52921D46">
      <w:start w:val="1"/>
      <w:numFmt w:val="decimal"/>
      <w:lvlText w:val="%1)"/>
      <w:lvlJc w:val="left"/>
      <w:pPr>
        <w:ind w:left="324" w:hanging="211"/>
      </w:pPr>
      <w:rPr>
        <w:rFonts w:ascii="Arial" w:eastAsia="Arial" w:hAnsi="Arial" w:cs="Arial" w:hint="default"/>
        <w:b/>
        <w:bCs/>
        <w:w w:val="99"/>
        <w:sz w:val="18"/>
        <w:szCs w:val="18"/>
      </w:rPr>
    </w:lvl>
    <w:lvl w:ilvl="1" w:tplc="56D6E86C">
      <w:numFmt w:val="bullet"/>
      <w:lvlText w:val="•"/>
      <w:lvlJc w:val="left"/>
      <w:pPr>
        <w:ind w:left="1308" w:hanging="211"/>
      </w:pPr>
      <w:rPr>
        <w:rFonts w:hint="default"/>
      </w:rPr>
    </w:lvl>
    <w:lvl w:ilvl="2" w:tplc="3ACC1940">
      <w:numFmt w:val="bullet"/>
      <w:lvlText w:val="•"/>
      <w:lvlJc w:val="left"/>
      <w:pPr>
        <w:ind w:left="2296" w:hanging="211"/>
      </w:pPr>
      <w:rPr>
        <w:rFonts w:hint="default"/>
      </w:rPr>
    </w:lvl>
    <w:lvl w:ilvl="3" w:tplc="F376AC36">
      <w:numFmt w:val="bullet"/>
      <w:lvlText w:val="•"/>
      <w:lvlJc w:val="left"/>
      <w:pPr>
        <w:ind w:left="3284" w:hanging="211"/>
      </w:pPr>
      <w:rPr>
        <w:rFonts w:hint="default"/>
      </w:rPr>
    </w:lvl>
    <w:lvl w:ilvl="4" w:tplc="108A0550">
      <w:numFmt w:val="bullet"/>
      <w:lvlText w:val="•"/>
      <w:lvlJc w:val="left"/>
      <w:pPr>
        <w:ind w:left="4272" w:hanging="211"/>
      </w:pPr>
      <w:rPr>
        <w:rFonts w:hint="default"/>
      </w:rPr>
    </w:lvl>
    <w:lvl w:ilvl="5" w:tplc="2230091E">
      <w:numFmt w:val="bullet"/>
      <w:lvlText w:val="•"/>
      <w:lvlJc w:val="left"/>
      <w:pPr>
        <w:ind w:left="5260" w:hanging="211"/>
      </w:pPr>
      <w:rPr>
        <w:rFonts w:hint="default"/>
      </w:rPr>
    </w:lvl>
    <w:lvl w:ilvl="6" w:tplc="2090886A">
      <w:numFmt w:val="bullet"/>
      <w:lvlText w:val="•"/>
      <w:lvlJc w:val="left"/>
      <w:pPr>
        <w:ind w:left="6249" w:hanging="211"/>
      </w:pPr>
      <w:rPr>
        <w:rFonts w:hint="default"/>
      </w:rPr>
    </w:lvl>
    <w:lvl w:ilvl="7" w:tplc="E456640C">
      <w:numFmt w:val="bullet"/>
      <w:lvlText w:val="•"/>
      <w:lvlJc w:val="left"/>
      <w:pPr>
        <w:ind w:left="7237" w:hanging="211"/>
      </w:pPr>
      <w:rPr>
        <w:rFonts w:hint="default"/>
      </w:rPr>
    </w:lvl>
    <w:lvl w:ilvl="8" w:tplc="B560C99A">
      <w:numFmt w:val="bullet"/>
      <w:lvlText w:val="•"/>
      <w:lvlJc w:val="left"/>
      <w:pPr>
        <w:ind w:left="8225" w:hanging="211"/>
      </w:pPr>
      <w:rPr>
        <w:rFonts w:hint="default"/>
      </w:rPr>
    </w:lvl>
  </w:abstractNum>
  <w:abstractNum w:abstractNumId="7" w15:restartNumberingAfterBreak="0">
    <w:nsid w:val="796F68C0"/>
    <w:multiLevelType w:val="hybridMultilevel"/>
    <w:tmpl w:val="D340B802"/>
    <w:lvl w:ilvl="0" w:tplc="36D60442">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5"/>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E7B"/>
    <w:rsid w:val="000127A8"/>
    <w:rsid w:val="00020D19"/>
    <w:rsid w:val="000475B6"/>
    <w:rsid w:val="00086D7C"/>
    <w:rsid w:val="000C38F1"/>
    <w:rsid w:val="000C3CC4"/>
    <w:rsid w:val="000D0C9C"/>
    <w:rsid w:val="00114CB5"/>
    <w:rsid w:val="00151B06"/>
    <w:rsid w:val="001555CE"/>
    <w:rsid w:val="001B1293"/>
    <w:rsid w:val="001E70E4"/>
    <w:rsid w:val="001F3ECC"/>
    <w:rsid w:val="00202E6E"/>
    <w:rsid w:val="00273C08"/>
    <w:rsid w:val="002968F2"/>
    <w:rsid w:val="002A36FF"/>
    <w:rsid w:val="002B114F"/>
    <w:rsid w:val="002C610E"/>
    <w:rsid w:val="002C7634"/>
    <w:rsid w:val="002D6669"/>
    <w:rsid w:val="002E4775"/>
    <w:rsid w:val="002E680F"/>
    <w:rsid w:val="0031609F"/>
    <w:rsid w:val="00371E40"/>
    <w:rsid w:val="00394F5E"/>
    <w:rsid w:val="003A0E17"/>
    <w:rsid w:val="003B51CB"/>
    <w:rsid w:val="003C487B"/>
    <w:rsid w:val="004210F1"/>
    <w:rsid w:val="004832C6"/>
    <w:rsid w:val="004949D2"/>
    <w:rsid w:val="005205AD"/>
    <w:rsid w:val="00523289"/>
    <w:rsid w:val="00537FD9"/>
    <w:rsid w:val="00543F97"/>
    <w:rsid w:val="00577BC6"/>
    <w:rsid w:val="005D29BB"/>
    <w:rsid w:val="005D4B4E"/>
    <w:rsid w:val="005E0A54"/>
    <w:rsid w:val="00603A5D"/>
    <w:rsid w:val="00624608"/>
    <w:rsid w:val="00641FCF"/>
    <w:rsid w:val="00653136"/>
    <w:rsid w:val="00690E7B"/>
    <w:rsid w:val="006924D7"/>
    <w:rsid w:val="006D608C"/>
    <w:rsid w:val="006E4078"/>
    <w:rsid w:val="006F4C5E"/>
    <w:rsid w:val="00701B23"/>
    <w:rsid w:val="00752EEA"/>
    <w:rsid w:val="007538D1"/>
    <w:rsid w:val="00772625"/>
    <w:rsid w:val="00777414"/>
    <w:rsid w:val="00783405"/>
    <w:rsid w:val="007C1623"/>
    <w:rsid w:val="007C32AD"/>
    <w:rsid w:val="007C3735"/>
    <w:rsid w:val="0080380F"/>
    <w:rsid w:val="00862924"/>
    <w:rsid w:val="00894427"/>
    <w:rsid w:val="008B5D2C"/>
    <w:rsid w:val="00925E40"/>
    <w:rsid w:val="00946420"/>
    <w:rsid w:val="0098435A"/>
    <w:rsid w:val="00991766"/>
    <w:rsid w:val="009D7A57"/>
    <w:rsid w:val="009E5345"/>
    <w:rsid w:val="00A03B21"/>
    <w:rsid w:val="00A162C8"/>
    <w:rsid w:val="00A32176"/>
    <w:rsid w:val="00A57197"/>
    <w:rsid w:val="00A73610"/>
    <w:rsid w:val="00A85DF1"/>
    <w:rsid w:val="00AC0420"/>
    <w:rsid w:val="00AD0139"/>
    <w:rsid w:val="00AD34CA"/>
    <w:rsid w:val="00AD34E7"/>
    <w:rsid w:val="00AE19C8"/>
    <w:rsid w:val="00AE46C9"/>
    <w:rsid w:val="00B0215F"/>
    <w:rsid w:val="00B32DF1"/>
    <w:rsid w:val="00B33B48"/>
    <w:rsid w:val="00B34C94"/>
    <w:rsid w:val="00B41257"/>
    <w:rsid w:val="00B67A4E"/>
    <w:rsid w:val="00B97E99"/>
    <w:rsid w:val="00C13AEA"/>
    <w:rsid w:val="00C34964"/>
    <w:rsid w:val="00C3651C"/>
    <w:rsid w:val="00C464FA"/>
    <w:rsid w:val="00C472BA"/>
    <w:rsid w:val="00C56568"/>
    <w:rsid w:val="00C733BC"/>
    <w:rsid w:val="00C91E35"/>
    <w:rsid w:val="00C92CF2"/>
    <w:rsid w:val="00C958D0"/>
    <w:rsid w:val="00CB7A43"/>
    <w:rsid w:val="00CC1657"/>
    <w:rsid w:val="00CC3E34"/>
    <w:rsid w:val="00CD27C9"/>
    <w:rsid w:val="00CD6203"/>
    <w:rsid w:val="00D05C7B"/>
    <w:rsid w:val="00D46D94"/>
    <w:rsid w:val="00D71E72"/>
    <w:rsid w:val="00E92AD8"/>
    <w:rsid w:val="00EC0DF9"/>
    <w:rsid w:val="00EF166A"/>
    <w:rsid w:val="00F32EB0"/>
    <w:rsid w:val="00F44F46"/>
    <w:rsid w:val="00F938CD"/>
    <w:rsid w:val="00FB3ABD"/>
    <w:rsid w:val="00FC09D1"/>
    <w:rsid w:val="00FD4CD3"/>
    <w:rsid w:val="00FF23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01E8D"/>
  <w15:chartTrackingRefBased/>
  <w15:docId w15:val="{5EA62AF8-D1ED-440A-8342-6C78F42AD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next w:val="Normal"/>
    <w:link w:val="Ttulo3Car"/>
    <w:uiPriority w:val="9"/>
    <w:unhideWhenUsed/>
    <w:qFormat/>
    <w:rsid w:val="00690E7B"/>
    <w:pPr>
      <w:keepNext/>
      <w:keepLines/>
      <w:spacing w:before="40" w:line="276" w:lineRule="auto"/>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690E7B"/>
    <w:rPr>
      <w:rFonts w:asciiTheme="majorHAnsi" w:eastAsiaTheme="majorEastAsia" w:hAnsiTheme="majorHAnsi" w:cstheme="majorBidi"/>
      <w:color w:val="1F4D78" w:themeColor="accent1" w:themeShade="7F"/>
      <w:sz w:val="24"/>
      <w:szCs w:val="24"/>
    </w:rPr>
  </w:style>
  <w:style w:type="paragraph" w:styleId="Encabezado">
    <w:name w:val="header"/>
    <w:basedOn w:val="Normal"/>
    <w:link w:val="EncabezadoCar"/>
    <w:uiPriority w:val="99"/>
    <w:unhideWhenUsed/>
    <w:rsid w:val="00690E7B"/>
    <w:pPr>
      <w:tabs>
        <w:tab w:val="center" w:pos="4419"/>
        <w:tab w:val="right" w:pos="8838"/>
      </w:tabs>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690E7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690E7B"/>
    <w:pPr>
      <w:tabs>
        <w:tab w:val="center" w:pos="4419"/>
        <w:tab w:val="right" w:pos="8838"/>
      </w:tabs>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90E7B"/>
    <w:rPr>
      <w:rFonts w:ascii="Times New Roman" w:eastAsia="Times New Roman" w:hAnsi="Times New Roman" w:cs="Times New Roman"/>
      <w:sz w:val="24"/>
      <w:szCs w:val="24"/>
      <w:lang w:val="es-ES" w:eastAsia="es-ES"/>
    </w:rPr>
  </w:style>
  <w:style w:type="paragraph" w:customStyle="1" w:styleId="Texto">
    <w:name w:val="Texto"/>
    <w:basedOn w:val="Normal"/>
    <w:link w:val="TextoCar"/>
    <w:qFormat/>
    <w:rsid w:val="00690E7B"/>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690E7B"/>
    <w:rPr>
      <w:rFonts w:ascii="Arial" w:eastAsia="Times New Roman" w:hAnsi="Arial" w:cs="Arial"/>
      <w:sz w:val="18"/>
      <w:szCs w:val="20"/>
      <w:lang w:val="es-ES" w:eastAsia="es-ES"/>
    </w:rPr>
  </w:style>
  <w:style w:type="paragraph" w:styleId="Prrafodelista">
    <w:name w:val="List Paragraph"/>
    <w:basedOn w:val="Normal"/>
    <w:link w:val="PrrafodelistaCar"/>
    <w:uiPriority w:val="1"/>
    <w:qFormat/>
    <w:rsid w:val="00690E7B"/>
    <w:pPr>
      <w:ind w:left="720"/>
      <w:contextualSpacing/>
    </w:pPr>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unhideWhenUsed/>
    <w:rsid w:val="00690E7B"/>
    <w:pPr>
      <w:spacing w:after="120"/>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99"/>
    <w:rsid w:val="00690E7B"/>
    <w:rPr>
      <w:rFonts w:ascii="Times New Roman" w:eastAsia="Times New Roman" w:hAnsi="Times New Roman" w:cs="Times New Roman"/>
      <w:sz w:val="24"/>
      <w:szCs w:val="24"/>
      <w:lang w:val="es-ES" w:eastAsia="es-ES"/>
    </w:rPr>
  </w:style>
  <w:style w:type="character" w:customStyle="1" w:styleId="PrrafodelistaCar">
    <w:name w:val="Párrafo de lista Car"/>
    <w:basedOn w:val="Fuentedeprrafopredeter"/>
    <w:link w:val="Prrafodelista"/>
    <w:uiPriority w:val="1"/>
    <w:locked/>
    <w:rsid w:val="00690E7B"/>
    <w:rPr>
      <w:rFonts w:ascii="Times New Roman" w:eastAsia="Times New Roman" w:hAnsi="Times New Roman" w:cs="Times New Roman"/>
      <w:sz w:val="24"/>
      <w:szCs w:val="24"/>
      <w:lang w:val="es-ES" w:eastAsia="es-ES"/>
    </w:rPr>
  </w:style>
  <w:style w:type="paragraph" w:customStyle="1" w:styleId="Default">
    <w:name w:val="Default"/>
    <w:rsid w:val="00690E7B"/>
    <w:pPr>
      <w:autoSpaceDE w:val="0"/>
      <w:autoSpaceDN w:val="0"/>
      <w:adjustRightInd w:val="0"/>
    </w:pPr>
    <w:rPr>
      <w:rFonts w:ascii="Arial" w:eastAsia="Calibri" w:hAnsi="Arial" w:cs="Arial"/>
      <w:color w:val="000000"/>
      <w:sz w:val="24"/>
      <w:szCs w:val="24"/>
      <w:lang w:eastAsia="es-MX"/>
    </w:rPr>
  </w:style>
  <w:style w:type="paragraph" w:styleId="Textodeglobo">
    <w:name w:val="Balloon Text"/>
    <w:basedOn w:val="Normal"/>
    <w:link w:val="TextodegloboCar"/>
    <w:uiPriority w:val="99"/>
    <w:semiHidden/>
    <w:unhideWhenUsed/>
    <w:rsid w:val="00690E7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90E7B"/>
    <w:rPr>
      <w:rFonts w:ascii="Segoe UI" w:hAnsi="Segoe UI" w:cs="Segoe UI"/>
      <w:sz w:val="18"/>
      <w:szCs w:val="18"/>
    </w:rPr>
  </w:style>
  <w:style w:type="character" w:customStyle="1" w:styleId="gd">
    <w:name w:val="gd"/>
    <w:basedOn w:val="Fuentedeprrafopredeter"/>
    <w:rsid w:val="00777414"/>
  </w:style>
  <w:style w:type="character" w:customStyle="1" w:styleId="g3">
    <w:name w:val="g3"/>
    <w:basedOn w:val="Fuentedeprrafopredeter"/>
    <w:rsid w:val="00777414"/>
  </w:style>
  <w:style w:type="character" w:customStyle="1" w:styleId="hb">
    <w:name w:val="hb"/>
    <w:basedOn w:val="Fuentedeprrafopredeter"/>
    <w:rsid w:val="00777414"/>
  </w:style>
  <w:style w:type="character" w:customStyle="1" w:styleId="g2">
    <w:name w:val="g2"/>
    <w:basedOn w:val="Fuentedeprrafopredeter"/>
    <w:rsid w:val="00777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922">
      <w:bodyDiv w:val="1"/>
      <w:marLeft w:val="0"/>
      <w:marRight w:val="0"/>
      <w:marTop w:val="0"/>
      <w:marBottom w:val="0"/>
      <w:divBdr>
        <w:top w:val="none" w:sz="0" w:space="0" w:color="auto"/>
        <w:left w:val="none" w:sz="0" w:space="0" w:color="auto"/>
        <w:bottom w:val="none" w:sz="0" w:space="0" w:color="auto"/>
        <w:right w:val="none" w:sz="0" w:space="0" w:color="auto"/>
      </w:divBdr>
    </w:div>
    <w:div w:id="41565968">
      <w:bodyDiv w:val="1"/>
      <w:marLeft w:val="0"/>
      <w:marRight w:val="0"/>
      <w:marTop w:val="0"/>
      <w:marBottom w:val="0"/>
      <w:divBdr>
        <w:top w:val="none" w:sz="0" w:space="0" w:color="auto"/>
        <w:left w:val="none" w:sz="0" w:space="0" w:color="auto"/>
        <w:bottom w:val="none" w:sz="0" w:space="0" w:color="auto"/>
        <w:right w:val="none" w:sz="0" w:space="0" w:color="auto"/>
      </w:divBdr>
    </w:div>
    <w:div w:id="63646539">
      <w:bodyDiv w:val="1"/>
      <w:marLeft w:val="0"/>
      <w:marRight w:val="0"/>
      <w:marTop w:val="0"/>
      <w:marBottom w:val="0"/>
      <w:divBdr>
        <w:top w:val="none" w:sz="0" w:space="0" w:color="auto"/>
        <w:left w:val="none" w:sz="0" w:space="0" w:color="auto"/>
        <w:bottom w:val="none" w:sz="0" w:space="0" w:color="auto"/>
        <w:right w:val="none" w:sz="0" w:space="0" w:color="auto"/>
      </w:divBdr>
    </w:div>
    <w:div w:id="93790279">
      <w:bodyDiv w:val="1"/>
      <w:marLeft w:val="0"/>
      <w:marRight w:val="0"/>
      <w:marTop w:val="0"/>
      <w:marBottom w:val="0"/>
      <w:divBdr>
        <w:top w:val="none" w:sz="0" w:space="0" w:color="auto"/>
        <w:left w:val="none" w:sz="0" w:space="0" w:color="auto"/>
        <w:bottom w:val="none" w:sz="0" w:space="0" w:color="auto"/>
        <w:right w:val="none" w:sz="0" w:space="0" w:color="auto"/>
      </w:divBdr>
      <w:divsChild>
        <w:div w:id="394936654">
          <w:marLeft w:val="0"/>
          <w:marRight w:val="0"/>
          <w:marTop w:val="0"/>
          <w:marBottom w:val="0"/>
          <w:divBdr>
            <w:top w:val="none" w:sz="0" w:space="0" w:color="auto"/>
            <w:left w:val="none" w:sz="0" w:space="0" w:color="auto"/>
            <w:bottom w:val="none" w:sz="0" w:space="0" w:color="auto"/>
            <w:right w:val="none" w:sz="0" w:space="0" w:color="auto"/>
          </w:divBdr>
          <w:divsChild>
            <w:div w:id="1131749425">
              <w:marLeft w:val="0"/>
              <w:marRight w:val="0"/>
              <w:marTop w:val="0"/>
              <w:marBottom w:val="0"/>
              <w:divBdr>
                <w:top w:val="none" w:sz="0" w:space="0" w:color="auto"/>
                <w:left w:val="none" w:sz="0" w:space="0" w:color="auto"/>
                <w:bottom w:val="none" w:sz="0" w:space="0" w:color="auto"/>
                <w:right w:val="none" w:sz="0" w:space="0" w:color="auto"/>
              </w:divBdr>
            </w:div>
            <w:div w:id="44330371">
              <w:marLeft w:val="300"/>
              <w:marRight w:val="0"/>
              <w:marTop w:val="0"/>
              <w:marBottom w:val="0"/>
              <w:divBdr>
                <w:top w:val="none" w:sz="0" w:space="0" w:color="auto"/>
                <w:left w:val="none" w:sz="0" w:space="0" w:color="auto"/>
                <w:bottom w:val="none" w:sz="0" w:space="0" w:color="auto"/>
                <w:right w:val="none" w:sz="0" w:space="0" w:color="auto"/>
              </w:divBdr>
            </w:div>
            <w:div w:id="1854224609">
              <w:marLeft w:val="300"/>
              <w:marRight w:val="0"/>
              <w:marTop w:val="0"/>
              <w:marBottom w:val="0"/>
              <w:divBdr>
                <w:top w:val="none" w:sz="0" w:space="0" w:color="auto"/>
                <w:left w:val="none" w:sz="0" w:space="0" w:color="auto"/>
                <w:bottom w:val="none" w:sz="0" w:space="0" w:color="auto"/>
                <w:right w:val="none" w:sz="0" w:space="0" w:color="auto"/>
              </w:divBdr>
            </w:div>
            <w:div w:id="960068785">
              <w:marLeft w:val="0"/>
              <w:marRight w:val="0"/>
              <w:marTop w:val="0"/>
              <w:marBottom w:val="0"/>
              <w:divBdr>
                <w:top w:val="none" w:sz="0" w:space="0" w:color="auto"/>
                <w:left w:val="none" w:sz="0" w:space="0" w:color="auto"/>
                <w:bottom w:val="none" w:sz="0" w:space="0" w:color="auto"/>
                <w:right w:val="none" w:sz="0" w:space="0" w:color="auto"/>
              </w:divBdr>
            </w:div>
            <w:div w:id="1264998751">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91461296">
      <w:bodyDiv w:val="1"/>
      <w:marLeft w:val="0"/>
      <w:marRight w:val="0"/>
      <w:marTop w:val="0"/>
      <w:marBottom w:val="0"/>
      <w:divBdr>
        <w:top w:val="none" w:sz="0" w:space="0" w:color="auto"/>
        <w:left w:val="none" w:sz="0" w:space="0" w:color="auto"/>
        <w:bottom w:val="none" w:sz="0" w:space="0" w:color="auto"/>
        <w:right w:val="none" w:sz="0" w:space="0" w:color="auto"/>
      </w:divBdr>
    </w:div>
    <w:div w:id="251865395">
      <w:bodyDiv w:val="1"/>
      <w:marLeft w:val="0"/>
      <w:marRight w:val="0"/>
      <w:marTop w:val="0"/>
      <w:marBottom w:val="0"/>
      <w:divBdr>
        <w:top w:val="none" w:sz="0" w:space="0" w:color="auto"/>
        <w:left w:val="none" w:sz="0" w:space="0" w:color="auto"/>
        <w:bottom w:val="none" w:sz="0" w:space="0" w:color="auto"/>
        <w:right w:val="none" w:sz="0" w:space="0" w:color="auto"/>
      </w:divBdr>
    </w:div>
    <w:div w:id="309209409">
      <w:bodyDiv w:val="1"/>
      <w:marLeft w:val="0"/>
      <w:marRight w:val="0"/>
      <w:marTop w:val="0"/>
      <w:marBottom w:val="0"/>
      <w:divBdr>
        <w:top w:val="none" w:sz="0" w:space="0" w:color="auto"/>
        <w:left w:val="none" w:sz="0" w:space="0" w:color="auto"/>
        <w:bottom w:val="none" w:sz="0" w:space="0" w:color="auto"/>
        <w:right w:val="none" w:sz="0" w:space="0" w:color="auto"/>
      </w:divBdr>
    </w:div>
    <w:div w:id="351347705">
      <w:bodyDiv w:val="1"/>
      <w:marLeft w:val="0"/>
      <w:marRight w:val="0"/>
      <w:marTop w:val="0"/>
      <w:marBottom w:val="0"/>
      <w:divBdr>
        <w:top w:val="none" w:sz="0" w:space="0" w:color="auto"/>
        <w:left w:val="none" w:sz="0" w:space="0" w:color="auto"/>
        <w:bottom w:val="none" w:sz="0" w:space="0" w:color="auto"/>
        <w:right w:val="none" w:sz="0" w:space="0" w:color="auto"/>
      </w:divBdr>
    </w:div>
    <w:div w:id="485126160">
      <w:bodyDiv w:val="1"/>
      <w:marLeft w:val="0"/>
      <w:marRight w:val="0"/>
      <w:marTop w:val="0"/>
      <w:marBottom w:val="0"/>
      <w:divBdr>
        <w:top w:val="none" w:sz="0" w:space="0" w:color="auto"/>
        <w:left w:val="none" w:sz="0" w:space="0" w:color="auto"/>
        <w:bottom w:val="none" w:sz="0" w:space="0" w:color="auto"/>
        <w:right w:val="none" w:sz="0" w:space="0" w:color="auto"/>
      </w:divBdr>
    </w:div>
    <w:div w:id="660277734">
      <w:bodyDiv w:val="1"/>
      <w:marLeft w:val="0"/>
      <w:marRight w:val="0"/>
      <w:marTop w:val="0"/>
      <w:marBottom w:val="0"/>
      <w:divBdr>
        <w:top w:val="none" w:sz="0" w:space="0" w:color="auto"/>
        <w:left w:val="none" w:sz="0" w:space="0" w:color="auto"/>
        <w:bottom w:val="none" w:sz="0" w:space="0" w:color="auto"/>
        <w:right w:val="none" w:sz="0" w:space="0" w:color="auto"/>
      </w:divBdr>
    </w:div>
    <w:div w:id="717630068">
      <w:bodyDiv w:val="1"/>
      <w:marLeft w:val="0"/>
      <w:marRight w:val="0"/>
      <w:marTop w:val="0"/>
      <w:marBottom w:val="0"/>
      <w:divBdr>
        <w:top w:val="none" w:sz="0" w:space="0" w:color="auto"/>
        <w:left w:val="none" w:sz="0" w:space="0" w:color="auto"/>
        <w:bottom w:val="none" w:sz="0" w:space="0" w:color="auto"/>
        <w:right w:val="none" w:sz="0" w:space="0" w:color="auto"/>
      </w:divBdr>
    </w:div>
    <w:div w:id="846283756">
      <w:bodyDiv w:val="1"/>
      <w:marLeft w:val="0"/>
      <w:marRight w:val="0"/>
      <w:marTop w:val="0"/>
      <w:marBottom w:val="0"/>
      <w:divBdr>
        <w:top w:val="none" w:sz="0" w:space="0" w:color="auto"/>
        <w:left w:val="none" w:sz="0" w:space="0" w:color="auto"/>
        <w:bottom w:val="none" w:sz="0" w:space="0" w:color="auto"/>
        <w:right w:val="none" w:sz="0" w:space="0" w:color="auto"/>
      </w:divBdr>
    </w:div>
    <w:div w:id="853691142">
      <w:bodyDiv w:val="1"/>
      <w:marLeft w:val="0"/>
      <w:marRight w:val="0"/>
      <w:marTop w:val="0"/>
      <w:marBottom w:val="0"/>
      <w:divBdr>
        <w:top w:val="none" w:sz="0" w:space="0" w:color="auto"/>
        <w:left w:val="none" w:sz="0" w:space="0" w:color="auto"/>
        <w:bottom w:val="none" w:sz="0" w:space="0" w:color="auto"/>
        <w:right w:val="none" w:sz="0" w:space="0" w:color="auto"/>
      </w:divBdr>
    </w:div>
    <w:div w:id="857357071">
      <w:bodyDiv w:val="1"/>
      <w:marLeft w:val="0"/>
      <w:marRight w:val="0"/>
      <w:marTop w:val="0"/>
      <w:marBottom w:val="0"/>
      <w:divBdr>
        <w:top w:val="none" w:sz="0" w:space="0" w:color="auto"/>
        <w:left w:val="none" w:sz="0" w:space="0" w:color="auto"/>
        <w:bottom w:val="none" w:sz="0" w:space="0" w:color="auto"/>
        <w:right w:val="none" w:sz="0" w:space="0" w:color="auto"/>
      </w:divBdr>
    </w:div>
    <w:div w:id="871453359">
      <w:bodyDiv w:val="1"/>
      <w:marLeft w:val="0"/>
      <w:marRight w:val="0"/>
      <w:marTop w:val="0"/>
      <w:marBottom w:val="0"/>
      <w:divBdr>
        <w:top w:val="none" w:sz="0" w:space="0" w:color="auto"/>
        <w:left w:val="none" w:sz="0" w:space="0" w:color="auto"/>
        <w:bottom w:val="none" w:sz="0" w:space="0" w:color="auto"/>
        <w:right w:val="none" w:sz="0" w:space="0" w:color="auto"/>
      </w:divBdr>
    </w:div>
    <w:div w:id="907223646">
      <w:bodyDiv w:val="1"/>
      <w:marLeft w:val="0"/>
      <w:marRight w:val="0"/>
      <w:marTop w:val="0"/>
      <w:marBottom w:val="0"/>
      <w:divBdr>
        <w:top w:val="none" w:sz="0" w:space="0" w:color="auto"/>
        <w:left w:val="none" w:sz="0" w:space="0" w:color="auto"/>
        <w:bottom w:val="none" w:sz="0" w:space="0" w:color="auto"/>
        <w:right w:val="none" w:sz="0" w:space="0" w:color="auto"/>
      </w:divBdr>
    </w:div>
    <w:div w:id="926353020">
      <w:bodyDiv w:val="1"/>
      <w:marLeft w:val="0"/>
      <w:marRight w:val="0"/>
      <w:marTop w:val="0"/>
      <w:marBottom w:val="0"/>
      <w:divBdr>
        <w:top w:val="none" w:sz="0" w:space="0" w:color="auto"/>
        <w:left w:val="none" w:sz="0" w:space="0" w:color="auto"/>
        <w:bottom w:val="none" w:sz="0" w:space="0" w:color="auto"/>
        <w:right w:val="none" w:sz="0" w:space="0" w:color="auto"/>
      </w:divBdr>
    </w:div>
    <w:div w:id="1026522264">
      <w:bodyDiv w:val="1"/>
      <w:marLeft w:val="0"/>
      <w:marRight w:val="0"/>
      <w:marTop w:val="0"/>
      <w:marBottom w:val="0"/>
      <w:divBdr>
        <w:top w:val="none" w:sz="0" w:space="0" w:color="auto"/>
        <w:left w:val="none" w:sz="0" w:space="0" w:color="auto"/>
        <w:bottom w:val="none" w:sz="0" w:space="0" w:color="auto"/>
        <w:right w:val="none" w:sz="0" w:space="0" w:color="auto"/>
      </w:divBdr>
    </w:div>
    <w:div w:id="1125931702">
      <w:bodyDiv w:val="1"/>
      <w:marLeft w:val="0"/>
      <w:marRight w:val="0"/>
      <w:marTop w:val="0"/>
      <w:marBottom w:val="0"/>
      <w:divBdr>
        <w:top w:val="none" w:sz="0" w:space="0" w:color="auto"/>
        <w:left w:val="none" w:sz="0" w:space="0" w:color="auto"/>
        <w:bottom w:val="none" w:sz="0" w:space="0" w:color="auto"/>
        <w:right w:val="none" w:sz="0" w:space="0" w:color="auto"/>
      </w:divBdr>
    </w:div>
    <w:div w:id="1229656293">
      <w:bodyDiv w:val="1"/>
      <w:marLeft w:val="0"/>
      <w:marRight w:val="0"/>
      <w:marTop w:val="0"/>
      <w:marBottom w:val="0"/>
      <w:divBdr>
        <w:top w:val="none" w:sz="0" w:space="0" w:color="auto"/>
        <w:left w:val="none" w:sz="0" w:space="0" w:color="auto"/>
        <w:bottom w:val="none" w:sz="0" w:space="0" w:color="auto"/>
        <w:right w:val="none" w:sz="0" w:space="0" w:color="auto"/>
      </w:divBdr>
    </w:div>
    <w:div w:id="1289315064">
      <w:bodyDiv w:val="1"/>
      <w:marLeft w:val="0"/>
      <w:marRight w:val="0"/>
      <w:marTop w:val="0"/>
      <w:marBottom w:val="0"/>
      <w:divBdr>
        <w:top w:val="none" w:sz="0" w:space="0" w:color="auto"/>
        <w:left w:val="none" w:sz="0" w:space="0" w:color="auto"/>
        <w:bottom w:val="none" w:sz="0" w:space="0" w:color="auto"/>
        <w:right w:val="none" w:sz="0" w:space="0" w:color="auto"/>
      </w:divBdr>
    </w:div>
    <w:div w:id="1293055355">
      <w:bodyDiv w:val="1"/>
      <w:marLeft w:val="0"/>
      <w:marRight w:val="0"/>
      <w:marTop w:val="0"/>
      <w:marBottom w:val="0"/>
      <w:divBdr>
        <w:top w:val="none" w:sz="0" w:space="0" w:color="auto"/>
        <w:left w:val="none" w:sz="0" w:space="0" w:color="auto"/>
        <w:bottom w:val="none" w:sz="0" w:space="0" w:color="auto"/>
        <w:right w:val="none" w:sz="0" w:space="0" w:color="auto"/>
      </w:divBdr>
    </w:div>
    <w:div w:id="1437363973">
      <w:bodyDiv w:val="1"/>
      <w:marLeft w:val="0"/>
      <w:marRight w:val="0"/>
      <w:marTop w:val="0"/>
      <w:marBottom w:val="0"/>
      <w:divBdr>
        <w:top w:val="none" w:sz="0" w:space="0" w:color="auto"/>
        <w:left w:val="none" w:sz="0" w:space="0" w:color="auto"/>
        <w:bottom w:val="none" w:sz="0" w:space="0" w:color="auto"/>
        <w:right w:val="none" w:sz="0" w:space="0" w:color="auto"/>
      </w:divBdr>
    </w:div>
    <w:div w:id="1531603021">
      <w:bodyDiv w:val="1"/>
      <w:marLeft w:val="0"/>
      <w:marRight w:val="0"/>
      <w:marTop w:val="0"/>
      <w:marBottom w:val="0"/>
      <w:divBdr>
        <w:top w:val="none" w:sz="0" w:space="0" w:color="auto"/>
        <w:left w:val="none" w:sz="0" w:space="0" w:color="auto"/>
        <w:bottom w:val="none" w:sz="0" w:space="0" w:color="auto"/>
        <w:right w:val="none" w:sz="0" w:space="0" w:color="auto"/>
      </w:divBdr>
    </w:div>
    <w:div w:id="1614938189">
      <w:bodyDiv w:val="1"/>
      <w:marLeft w:val="0"/>
      <w:marRight w:val="0"/>
      <w:marTop w:val="0"/>
      <w:marBottom w:val="0"/>
      <w:divBdr>
        <w:top w:val="none" w:sz="0" w:space="0" w:color="auto"/>
        <w:left w:val="none" w:sz="0" w:space="0" w:color="auto"/>
        <w:bottom w:val="none" w:sz="0" w:space="0" w:color="auto"/>
        <w:right w:val="none" w:sz="0" w:space="0" w:color="auto"/>
      </w:divBdr>
    </w:div>
    <w:div w:id="1742100022">
      <w:bodyDiv w:val="1"/>
      <w:marLeft w:val="0"/>
      <w:marRight w:val="0"/>
      <w:marTop w:val="0"/>
      <w:marBottom w:val="0"/>
      <w:divBdr>
        <w:top w:val="none" w:sz="0" w:space="0" w:color="auto"/>
        <w:left w:val="none" w:sz="0" w:space="0" w:color="auto"/>
        <w:bottom w:val="none" w:sz="0" w:space="0" w:color="auto"/>
        <w:right w:val="none" w:sz="0" w:space="0" w:color="auto"/>
      </w:divBdr>
    </w:div>
    <w:div w:id="1750616190">
      <w:bodyDiv w:val="1"/>
      <w:marLeft w:val="0"/>
      <w:marRight w:val="0"/>
      <w:marTop w:val="0"/>
      <w:marBottom w:val="0"/>
      <w:divBdr>
        <w:top w:val="none" w:sz="0" w:space="0" w:color="auto"/>
        <w:left w:val="none" w:sz="0" w:space="0" w:color="auto"/>
        <w:bottom w:val="none" w:sz="0" w:space="0" w:color="auto"/>
        <w:right w:val="none" w:sz="0" w:space="0" w:color="auto"/>
      </w:divBdr>
    </w:div>
    <w:div w:id="1839037884">
      <w:bodyDiv w:val="1"/>
      <w:marLeft w:val="0"/>
      <w:marRight w:val="0"/>
      <w:marTop w:val="0"/>
      <w:marBottom w:val="0"/>
      <w:divBdr>
        <w:top w:val="none" w:sz="0" w:space="0" w:color="auto"/>
        <w:left w:val="none" w:sz="0" w:space="0" w:color="auto"/>
        <w:bottom w:val="none" w:sz="0" w:space="0" w:color="auto"/>
        <w:right w:val="none" w:sz="0" w:space="0" w:color="auto"/>
      </w:divBdr>
    </w:div>
    <w:div w:id="1922444153">
      <w:bodyDiv w:val="1"/>
      <w:marLeft w:val="0"/>
      <w:marRight w:val="0"/>
      <w:marTop w:val="0"/>
      <w:marBottom w:val="0"/>
      <w:divBdr>
        <w:top w:val="none" w:sz="0" w:space="0" w:color="auto"/>
        <w:left w:val="none" w:sz="0" w:space="0" w:color="auto"/>
        <w:bottom w:val="none" w:sz="0" w:space="0" w:color="auto"/>
        <w:right w:val="none" w:sz="0" w:space="0" w:color="auto"/>
      </w:divBdr>
    </w:div>
    <w:div w:id="202285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ingudis.guanajuato.gob.m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TotalTime>
  <Pages>9</Pages>
  <Words>3295</Words>
  <Characters>18124</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Maleni</dc:creator>
  <cp:keywords/>
  <dc:description/>
  <cp:lastModifiedBy>msancheza</cp:lastModifiedBy>
  <cp:revision>36</cp:revision>
  <cp:lastPrinted>2025-01-29T19:57:00Z</cp:lastPrinted>
  <dcterms:created xsi:type="dcterms:W3CDTF">2022-07-11T18:34:00Z</dcterms:created>
  <dcterms:modified xsi:type="dcterms:W3CDTF">2025-01-30T03:18:00Z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6e71656fcf8c6a123b7a7efd2d3041c5865155d0f105c59642c836efe2f9c9a9</vt:lpwstr>
  </property>
</Properties>
</file>