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7B" w:rsidRPr="00690E7B" w:rsidRDefault="00690E7B" w:rsidP="00690E7B">
      <w:pPr>
        <w:pStyle w:val="Texto"/>
        <w:spacing w:after="0" w:line="240" w:lineRule="exact"/>
        <w:ind w:firstLine="0"/>
        <w:jc w:val="center"/>
        <w:rPr>
          <w:b/>
          <w:sz w:val="20"/>
          <w:lang w:val="es-MX"/>
        </w:rPr>
      </w:pPr>
      <w:r w:rsidRPr="00690E7B">
        <w:rPr>
          <w:b/>
          <w:sz w:val="20"/>
          <w:lang w:val="es-MX"/>
        </w:rPr>
        <w:t>c) NOTAS DE GESTIÓN ADMINISTRATIVA</w:t>
      </w:r>
    </w:p>
    <w:p w:rsidR="00690E7B" w:rsidRPr="00690E7B" w:rsidRDefault="00690E7B" w:rsidP="00690E7B">
      <w:pPr>
        <w:pStyle w:val="Texto"/>
        <w:spacing w:after="0" w:line="240" w:lineRule="exact"/>
        <w:ind w:firstLine="0"/>
        <w:jc w:val="left"/>
        <w:rPr>
          <w:b/>
          <w:sz w:val="20"/>
          <w:lang w:val="es-MX"/>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1. Introducción:</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t>El Sistema de Contabilidad Gubernamental que se aplica en el INGUDIS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del INGUDIS y expresados en términos monetarios, modifican su situación patrimonial y de finanzas públicas. El Sistema de Contabilidad Gubernamental, al que está sujeto el INGUDIS, registra de manera armónica, delimitada y específica las operaciones presupuestarias y contables derivadas de la gestión pública, así como otros flujos económicos. De igual forma, generamos trimestralmente estados financieros, confiables, oportunos, comprensibles, periódicos y comparables, expresados en términos monetarios y publicados en la página de Internet del INGUDIS (</w:t>
      </w:r>
      <w:hyperlink r:id="rId7" w:history="1">
        <w:r w:rsidRPr="00690E7B">
          <w:rPr>
            <w:rFonts w:ascii="Arial" w:hAnsi="Arial" w:cs="Arial"/>
            <w:sz w:val="20"/>
            <w:szCs w:val="20"/>
          </w:rPr>
          <w:t>www.ingudis.guanajuato.gob.mx</w:t>
        </w:r>
      </w:hyperlink>
      <w:r w:rsidRPr="00690E7B">
        <w:rPr>
          <w:rFonts w:ascii="Arial" w:hAnsi="Arial" w:cs="Arial"/>
          <w:sz w:val="20"/>
          <w:szCs w:val="20"/>
        </w:rPr>
        <w:t xml:space="preserve">), </w:t>
      </w:r>
      <w:r w:rsidRPr="00690E7B">
        <w:rPr>
          <w:rFonts w:ascii="Arial" w:hAnsi="Arial" w:cs="Arial"/>
          <w:b/>
          <w:i/>
          <w:sz w:val="20"/>
          <w:szCs w:val="20"/>
        </w:rPr>
        <w:t>sección Información Financiera</w:t>
      </w:r>
      <w:r w:rsidRPr="00690E7B">
        <w:rPr>
          <w:rFonts w:ascii="Arial" w:hAnsi="Arial" w:cs="Arial"/>
          <w:sz w:val="20"/>
          <w:szCs w:val="20"/>
        </w:rPr>
        <w:t xml:space="preserve">. </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34 de la Ley de Contabilidad establece que “Los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Los postulados básicos de contabilidad Gubernamental están armonizados del acuerdo por el que se emite el marco conceptual de contabilidad gubernamental, así como las normas de carácter general que se aplican al interior del INGUDIS, políticas de registro. La lista de cuentas e instructivo de cuentas la guía contabilizadora que contiene la descripción detallada de las principales operaciones; los documentos fuente que respaldan cada operación, señalando su periodicidad durante un ejercicio e incluye las cuentas a afectar tanto contable como presupuestalmente.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Finalmente, los principales reportes que genera el Sistema Integral de Hacienda SAP R3 y que responden a las necesidades de información del INGUDIS para cuenta pública que incluye los registros contables, presupuestales y programáticos, indicadores, conciliaciones entre ingreso gasto, tanto presupuestales como contables y finalizando con los formatos de la ley de disciplina financiera.</w:t>
      </w:r>
    </w:p>
    <w:p w:rsidR="00690E7B" w:rsidRPr="00690E7B" w:rsidRDefault="00690E7B" w:rsidP="00690E7B">
      <w:pPr>
        <w:jc w:val="center"/>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2. Describir el panorama Económico y Financiero:</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rsidR="00690E7B" w:rsidRPr="00690E7B" w:rsidRDefault="00690E7B" w:rsidP="00690E7B">
      <w:pPr>
        <w:jc w:val="both"/>
        <w:rPr>
          <w:rFonts w:ascii="Arial" w:hAnsi="Arial" w:cs="Arial"/>
          <w:sz w:val="20"/>
          <w:szCs w:val="20"/>
        </w:rPr>
      </w:pPr>
      <w:r w:rsidRPr="00690E7B">
        <w:rPr>
          <w:rFonts w:ascii="Arial" w:hAnsi="Arial" w:cs="Arial"/>
          <w:sz w:val="20"/>
          <w:szCs w:val="20"/>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rsidR="00690E7B" w:rsidRPr="00690E7B" w:rsidRDefault="00690E7B" w:rsidP="00690E7B">
      <w:pPr>
        <w:jc w:val="both"/>
        <w:rPr>
          <w:rFonts w:ascii="Arial" w:hAnsi="Arial" w:cs="Arial"/>
          <w:sz w:val="20"/>
          <w:szCs w:val="20"/>
        </w:rPr>
      </w:pPr>
      <w:r w:rsidRPr="00690E7B">
        <w:rPr>
          <w:rFonts w:ascii="Arial" w:hAnsi="Arial" w:cs="Arial"/>
          <w:sz w:val="20"/>
          <w:szCs w:val="20"/>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 y un sistema estructurado de trabajo social que determina el grado de vulnerabilidad del beneficiario a efecto de otorgar igualdad de condiciones en el otorgamiento de los servicios y apoyos, siguiendo el principio de publicidad y difusión en el periódico oficial del Gobierno del Estado, las reglas de operación y los tabuladores son autorizados por el consejo Directivo del Instituto cada año presupuestal para su aplicación. Los recursos federales que opera el instituto provienen del ramo general 23 FOTRADIS. </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programas presupuestales son evaluados anualmente para determinar su permanencia, corrección, alineación, e integración en un banco de iniciativas de programas, cumpliendo con el proceso de planeación a fin de implementar las mejores políticas públicas y de atención.</w:t>
      </w:r>
    </w:p>
    <w:p w:rsidR="00690E7B" w:rsidRPr="00690E7B" w:rsidRDefault="00690E7B" w:rsidP="00690E7B">
      <w:pPr>
        <w:jc w:val="both"/>
        <w:rPr>
          <w:rFonts w:ascii="Arial" w:hAnsi="Arial" w:cs="Arial"/>
          <w:sz w:val="20"/>
          <w:szCs w:val="20"/>
        </w:rPr>
      </w:pPr>
      <w:r w:rsidRPr="00690E7B">
        <w:rPr>
          <w:rFonts w:ascii="Arial" w:hAnsi="Arial" w:cs="Arial"/>
          <w:sz w:val="20"/>
          <w:szCs w:val="20"/>
        </w:rPr>
        <w:t>Se aclara que los ingresos por cuotas de recuperación de los programas presupuestales asignados a los centros de atención y proyectos de Inversión, se aplican dentro del gasto para la operación y pago de servicios básicos en los mismos centros en atención al artículo 12 del reglamento Interior del Instituto.</w:t>
      </w:r>
    </w:p>
    <w:p w:rsidR="00690E7B" w:rsidRPr="00690E7B" w:rsidRDefault="00690E7B" w:rsidP="00690E7B">
      <w:pPr>
        <w:jc w:val="both"/>
        <w:rPr>
          <w:rFonts w:ascii="Arial" w:hAnsi="Arial" w:cs="Arial"/>
          <w:b/>
          <w:sz w:val="20"/>
          <w:szCs w:val="20"/>
        </w:rPr>
      </w:pPr>
      <w:r w:rsidRPr="00690E7B">
        <w:rPr>
          <w:rFonts w:ascii="Arial" w:hAnsi="Arial" w:cs="Arial"/>
          <w:b/>
          <w:sz w:val="20"/>
          <w:szCs w:val="20"/>
        </w:rPr>
        <w:t>3. Autorización e Historia: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Fecha de creación del ente.</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El 14 de septiembre de 2012, se publicó la Ley de Inclusión</w:t>
      </w:r>
      <w:r w:rsidR="00A03B21">
        <w:rPr>
          <w:color w:val="auto"/>
          <w:sz w:val="20"/>
          <w:szCs w:val="20"/>
          <w:lang w:eastAsia="en-US"/>
        </w:rPr>
        <w:t xml:space="preserve"> para Personas con Discapacidad y</w:t>
      </w:r>
      <w:r w:rsidRPr="00690E7B">
        <w:rPr>
          <w:color w:val="auto"/>
          <w:sz w:val="20"/>
          <w:szCs w:val="20"/>
          <w:lang w:eastAsia="en-US"/>
        </w:rPr>
        <w:t xml:space="preserve"> de acuerdo con el artículo 10 se crea el Instituto Guanajuatense para personas con Discapacidad, Ingudis (Decreto Legislativo 289).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dispone que: Los recursos humanos, materiales y financieros del Sistema para el Desarrollo Integral de la Familia, DIF del Estado, destinados para la operación y funcionamiento de la Dirección de Asistencia para Personas con Discapacidad, se reasignen al Instituto Guanajuatense para personas con Discapacidad (artículo 4 transitorio).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De igual manera dispone que la estructura orgánica y las funciones de la Dirección de Rehabilitación e Inclusión Social de Personas con Discapacidad del DIF, Estatal, se integre como plantilla inicial de 109 plazas y 30 de honorarios.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2012 toma protesta el director general del Instituto y se crea el Instituto Guanajuatense para las Personas con Discapacidad y es a partir del 01 de enero del 2013 que el Instituto entra en operaciones, en las instalaciones del DIF estatal ubicadas en paseo de la Presa 73, a partir 26 de noviembre del 2015 inaugura instalaciones en la Cd. De Silao de la Victoria, siendo hasta la fecha las oficinas de la Dirección General y Administrativas, con domicilio en calle hacienda Silao No. 900, Colonia Hacienda. C.P. 36100.</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Principales cambios en su estructura (interna históricamente).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2013 se publica el reglamento interior del instituto en el periódico oficial del Gobierno del Estado, número 193 tercera parte, donde se aprueba la estructura orgánica y atribuciones de las áreas que conforman al 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Y el 5 de marzo de 2018 en el periódico oficial del gobierno en su tercera parte, se publica el nuevo reglamento del INGUDIS teniendo por objeto regular la estructura, organización, funcionamiento y atribuciones de las unidades administrativas del Instituto, iniciando su vigencia a partir del 6 de marzo del 2018.</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4. Organización y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 actividad: Centro del sector público dedicado a la atención y cuidado diurno de ancianos y discapacitados.</w:t>
      </w:r>
    </w:p>
    <w:p w:rsidR="00F938CD" w:rsidRDefault="00690E7B" w:rsidP="00690E7B">
      <w:pPr>
        <w:tabs>
          <w:tab w:val="center" w:pos="6644"/>
        </w:tabs>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Ejercicio fiscal: ENERO A </w:t>
      </w:r>
      <w:r w:rsidR="00F938CD">
        <w:rPr>
          <w:rFonts w:ascii="Arial" w:hAnsi="Arial" w:cs="Arial"/>
          <w:sz w:val="20"/>
          <w:szCs w:val="20"/>
        </w:rPr>
        <w:t>MARZO DEL 2022</w:t>
      </w:r>
      <w:r w:rsidRPr="00690E7B">
        <w:rPr>
          <w:rFonts w:ascii="Arial" w:hAnsi="Arial" w:cs="Arial"/>
          <w:sz w:val="20"/>
          <w:szCs w:val="20"/>
        </w:rPr>
        <w:t>.</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d)</w:t>
      </w:r>
      <w:r w:rsidRPr="00690E7B">
        <w:rPr>
          <w:rFonts w:ascii="Arial" w:hAnsi="Arial" w:cs="Arial"/>
          <w:sz w:val="20"/>
          <w:szCs w:val="20"/>
        </w:rPr>
        <w:t xml:space="preserve"> Régimen jurídico: Persona moral sin fines de lucro.</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Consideraciones fiscales del ente: </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de retenciones de impuesto sobre la renta por sueldos y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Presentación de declaración anual de impuesto sobre la renta donde se informa sobre los pagos y retenciones de servicios profesionales.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anual donde se informa sobre las retenciones de los trabajadores que recibieron sueldos y salarios y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sobre el impuesto sobre la renta por las retenciones realizadas a los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informativa anual de subsidio para el empleo.</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y pago provisional mensual de impuesto sobre la renta por las retenciones realizadas por servicios profesionales</w:t>
      </w:r>
    </w:p>
    <w:p w:rsidR="00690E7B" w:rsidRPr="00F938CD" w:rsidRDefault="00690E7B" w:rsidP="00F938CD">
      <w:pPr>
        <w:ind w:left="720"/>
        <w:rPr>
          <w:rFonts w:ascii="Arial" w:hAnsi="Arial" w:cs="Arial"/>
          <w:sz w:val="20"/>
          <w:szCs w:val="20"/>
        </w:rPr>
      </w:pPr>
      <w:r w:rsidRPr="00F938CD">
        <w:rPr>
          <w:rFonts w:ascii="Arial" w:hAnsi="Arial" w:cs="Arial"/>
          <w:sz w:val="20"/>
          <w:szCs w:val="20"/>
        </w:rPr>
        <w:t>Presentar declaración informativa mensual de proveedores por tasas de IVA y IEPS.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Estructura organizacional básica.</w:t>
      </w:r>
    </w:p>
    <w:p w:rsidR="00690E7B" w:rsidRPr="00690E7B" w:rsidRDefault="00690E7B" w:rsidP="00690E7B">
      <w:pPr>
        <w:jc w:val="center"/>
        <w:rPr>
          <w:rFonts w:ascii="Arial" w:hAnsi="Arial" w:cs="Arial"/>
          <w:b/>
          <w:sz w:val="20"/>
          <w:szCs w:val="20"/>
        </w:rPr>
      </w:pPr>
      <w:r w:rsidRPr="00690E7B">
        <w:rPr>
          <w:rFonts w:ascii="Arial" w:hAnsi="Arial" w:cs="Arial"/>
          <w:b/>
          <w:noProof/>
          <w:sz w:val="20"/>
          <w:szCs w:val="20"/>
          <w:lang w:eastAsia="es-MX"/>
        </w:rPr>
        <w:drawing>
          <wp:inline distT="0" distB="0" distL="0" distR="0" wp14:anchorId="11DD0334" wp14:editId="66D0AFD0">
            <wp:extent cx="6791325" cy="29527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2952750"/>
                    </a:xfrm>
                    <a:prstGeom prst="rect">
                      <a:avLst/>
                    </a:prstGeom>
                    <a:noFill/>
                    <a:ln>
                      <a:noFill/>
                    </a:ln>
                  </pic:spPr>
                </pic:pic>
              </a:graphicData>
            </a:graphic>
          </wp:inline>
        </w:drawing>
      </w:r>
    </w:p>
    <w:p w:rsidR="00C958D0" w:rsidRDefault="00C958D0"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Fideicomisos, mandatos y análogos de los cuales es fideicomitente o fiduciario.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cuenta con Fideicomisos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5. Bases de Preparación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Si se ha observado la 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Los Estados Financieros son emitidos de conformidad con la Ley General de Contabilidad Gubernamental vigente, las reglas de registro, postulados básicos de contabilidad y demás normativa emitida por el CONAC y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El Sistema de Contabilidad Gubernamental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y expresados en términos monetarios, modifican la situación patrimonial de los entes públicos en particular y de las finanzas públicas en general. El SCG, al que está sujeto el Instituto, registrará de manera armónica, delimitada y específica las operaciones presupuestarias y contables derivadas de la gestión pública, así como otros flujos económicos. De igual forma, generará periódicamente estados financieros de los entes públicos, confiables, oportunos, comprensibles, periódicos y comparables, expresados en términos monetarios. </w:t>
      </w:r>
    </w:p>
    <w:p w:rsidR="00690E7B" w:rsidRPr="00690E7B" w:rsidRDefault="00690E7B" w:rsidP="00690E7B">
      <w:pPr>
        <w:jc w:val="both"/>
        <w:rPr>
          <w:rFonts w:ascii="Arial" w:hAnsi="Arial" w:cs="Arial"/>
          <w:sz w:val="20"/>
          <w:szCs w:val="20"/>
        </w:rPr>
      </w:pPr>
      <w:r w:rsidRPr="00690E7B">
        <w:rPr>
          <w:rFonts w:ascii="Arial" w:hAnsi="Arial" w:cs="Arial"/>
          <w:sz w:val="20"/>
          <w:szCs w:val="20"/>
        </w:rPr>
        <w:t>La normatividad aplicada es la que nos señala el CONAC;</w:t>
      </w:r>
    </w:p>
    <w:p w:rsidR="00690E7B" w:rsidRPr="00690E7B" w:rsidRDefault="00690E7B" w:rsidP="00690E7B">
      <w:pPr>
        <w:jc w:val="both"/>
        <w:rPr>
          <w:rFonts w:ascii="Arial" w:hAnsi="Arial" w:cs="Arial"/>
          <w:sz w:val="20"/>
          <w:szCs w:val="20"/>
        </w:rPr>
      </w:pPr>
      <w:r w:rsidRPr="00690E7B">
        <w:rPr>
          <w:rFonts w:ascii="Arial" w:hAnsi="Arial" w:cs="Arial"/>
          <w:sz w:val="20"/>
          <w:szCs w:val="20"/>
        </w:rPr>
        <w:t>- Principales reglas de registro y valoración del patrimonio</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ingresos</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egresos</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Contabilidad Gubernamental aplicada en el Instituto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de Contabilidad identifica a los entes públicos de cada orden de gobierno e instituye las normas y responsabilidades de los mismos con respecto a la contabilidad gubernamental.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4 fracción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su parte, el Artículo 2 dispone que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Dicha contabilidad, tal como lo establece la citada Ley, deberá seguir las mejores prácticas contables nacionales e internacionales en apoyo a las tareas de planeación financiera, control de recursos, análisis y fiscalización. Asimismo, dispone en su Artículo 17 que “cada ente público será responsable de su contabilidad, de la operación del sistema; así como del cumplimiento de lo dispuesto por Ley y las decisiones que emita el Consejo”.</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Finalmente, el Artículo 52 señala que “Los entes públicos deberán elaborar los estados de conformidad con las disposiciones normativas y técnicas que emanen de esta Ley o que emita el consejo”.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Postulados básicos.</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postulados sustentan de manera técnica el registro de las operaciones, la elaboración y presentación de estados financieros; basados en su razonamiento, eficiencia demostrada, respaldo en legislación especializada y aplicación de la Ley General de Contabilidad Gubernamental, con la finalidad de uniformar los métodos, procedimientos y prácticas contables y otros eventos que afectan al INGUDIS</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 continuación, se presentan y explican los Postulados Básicos de Contabilidad Gubernamental:</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SUSTANCIA ECONÓMICA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Es el reconocimiento contable de las transacciones, transformaciones internas y otros eventos, que afectan económicamente al ente público y delimitan la operación del Sistema de Contabilidad Gubernamental (SCG).</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ENTES PÚBLICOS</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EXISTENCIA PERMANENTE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La actividad del ente público se establece por tiempo indefinido, salvo disposición legal en la que se especifique lo contrario.</w:t>
      </w:r>
    </w:p>
    <w:p w:rsidR="00690E7B" w:rsidRPr="00690E7B" w:rsidRDefault="00690E7B" w:rsidP="00690E7B">
      <w:pPr>
        <w:pStyle w:val="Ttulo3"/>
        <w:spacing w:before="138"/>
        <w:jc w:val="both"/>
        <w:rPr>
          <w:rFonts w:ascii="Arial" w:eastAsia="Calibri" w:hAnsi="Arial" w:cs="Arial"/>
          <w:color w:val="auto"/>
          <w:sz w:val="20"/>
          <w:szCs w:val="20"/>
        </w:rPr>
      </w:pPr>
      <w:r w:rsidRPr="00690E7B">
        <w:rPr>
          <w:rFonts w:ascii="Arial" w:eastAsia="Calibri" w:hAnsi="Arial" w:cs="Arial"/>
          <w:color w:val="auto"/>
          <w:sz w:val="20"/>
          <w:szCs w:val="20"/>
        </w:rPr>
        <w:t>Explicación del postulado</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El sistema contable del ente público se establece considerando que el periodo de vida del mismo es indefinido.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REVELACIÓN SUFICIENTE</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estados y la información financiera deben mostrar amplia y claramente la situación financiera y los resultados del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3"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IMPORTANCIA RELATIVA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La información debe mostrar los aspectos importantes de la entidad que fueron reconocidos contablemente.</w:t>
      </w:r>
    </w:p>
    <w:p w:rsid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REGISTRO E INTEGRACIÓN PRESUPUESTARIA</w:t>
      </w:r>
    </w:p>
    <w:p w:rsidR="00C91E35" w:rsidRPr="00C91E35" w:rsidRDefault="00C91E35" w:rsidP="00C91E35"/>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La información presupuestaria de los entes públicos se integra en la contabilidad en los mismos términos que se presentan en la ley de Ingresos y en el Decreto del Presupuesto Egresos, de acuerdo a la naturaleza económica que le corresponda.</w:t>
      </w:r>
    </w:p>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El registro presupuestario del ingreso y del egreso en los entes públicos se debe reflejar en la contabilidad, considerando sus efectos patrimoniales y su vinculación con las etapas presupuestarias correspondientes.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CONSOLIDACIÓN DE LA INFORMACIÓN FINANCIERA</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DEVENGO CONTABLE</w:t>
      </w:r>
    </w:p>
    <w:p w:rsid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Los registros contables de los entes públicos se llevarán con base acumulativa. El ingreso devengado, es el momento contable que se realiza cuando existe jurídicamente el derecho de cobro en los impuestos, cuotas y aportaciones de seguridad social, contribuciones de mejoras, derechos, productos, aprovechamientos, financiamientos internos y externos; así como de la venta de bienes y servicios, además de participaciones, aportaciones, recursos convenios y otros ingresos por parte de los entes públicos. En el caso de resoluciones en firme (definitivas) y pago en parcialidades, respectivamente.  El 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F938CD" w:rsidRPr="00690E7B" w:rsidRDefault="00F938CD" w:rsidP="00690E7B">
      <w:pPr>
        <w:pStyle w:val="Textoindependiente"/>
        <w:spacing w:before="137"/>
        <w:jc w:val="both"/>
        <w:rPr>
          <w:rFonts w:ascii="Arial" w:eastAsia="Calibri" w:hAnsi="Arial" w:cs="Arial"/>
          <w:sz w:val="20"/>
          <w:szCs w:val="20"/>
          <w:lang w:val="es-MX"/>
        </w:rPr>
      </w:pP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VALUACIÓN</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Todos los eventos que afecten económicamente al ente público deben ser cuantificados en términos monetarios y se registrarán al costo histórico o al valor económico más objetivo registrándose en moneda nacional.</w:t>
      </w:r>
    </w:p>
    <w:p w:rsidR="00690E7B" w:rsidRPr="00690E7B" w:rsidRDefault="00690E7B" w:rsidP="00690E7B">
      <w:pPr>
        <w:pStyle w:val="Prrafodelista"/>
        <w:widowControl w:val="0"/>
        <w:numPr>
          <w:ilvl w:val="0"/>
          <w:numId w:val="4"/>
        </w:numPr>
        <w:tabs>
          <w:tab w:val="left" w:pos="284"/>
        </w:tabs>
        <w:autoSpaceDE w:val="0"/>
        <w:autoSpaceDN w:val="0"/>
        <w:spacing w:before="147"/>
        <w:ind w:left="0" w:firstLine="0"/>
        <w:contextualSpacing w:val="0"/>
        <w:jc w:val="both"/>
        <w:rPr>
          <w:rFonts w:ascii="Arial" w:hAnsi="Arial" w:cs="Arial"/>
          <w:sz w:val="20"/>
          <w:szCs w:val="20"/>
        </w:rPr>
      </w:pPr>
      <w:r w:rsidRPr="00690E7B">
        <w:rPr>
          <w:rFonts w:ascii="Arial" w:hAnsi="Arial" w:cs="Arial"/>
          <w:sz w:val="20"/>
          <w:szCs w:val="20"/>
        </w:rPr>
        <w:t>La información reflejada en los estados financieros deberá ser revaluada aplicando los métodos y lineamientos que para tal efecto emita el CONAC.</w:t>
      </w:r>
    </w:p>
    <w:p w:rsidR="00690E7B" w:rsidRPr="00690E7B" w:rsidRDefault="00690E7B" w:rsidP="00690E7B">
      <w:pPr>
        <w:pStyle w:val="Ttulo3"/>
        <w:keepNext w:val="0"/>
        <w:keepLines w:val="0"/>
        <w:widowControl w:val="0"/>
        <w:numPr>
          <w:ilvl w:val="0"/>
          <w:numId w:val="5"/>
        </w:numPr>
        <w:tabs>
          <w:tab w:val="left" w:pos="284"/>
          <w:tab w:val="left" w:pos="4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 xml:space="preserve"> DUALIDAD ECONÓMICA</w:t>
      </w:r>
    </w:p>
    <w:p w:rsidR="00690E7B" w:rsidRPr="00690E7B" w:rsidRDefault="00690E7B" w:rsidP="00690E7B">
      <w:pPr>
        <w:pStyle w:val="Textoindependiente"/>
        <w:tabs>
          <w:tab w:val="left" w:pos="284"/>
        </w:tabs>
        <w:spacing w:before="137"/>
        <w:jc w:val="both"/>
        <w:rPr>
          <w:rFonts w:ascii="Arial" w:eastAsia="Calibri" w:hAnsi="Arial" w:cs="Arial"/>
          <w:sz w:val="20"/>
          <w:szCs w:val="20"/>
          <w:lang w:val="es-MX"/>
        </w:rPr>
      </w:pPr>
      <w:r w:rsidRPr="00690E7B">
        <w:rPr>
          <w:rFonts w:ascii="Arial" w:eastAsia="Calibri" w:hAnsi="Arial" w:cs="Arial"/>
          <w:sz w:val="20"/>
          <w:szCs w:val="20"/>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690E7B" w:rsidRPr="00690E7B" w:rsidRDefault="00690E7B" w:rsidP="00690E7B">
      <w:pPr>
        <w:pStyle w:val="Ttulo3"/>
        <w:keepNext w:val="0"/>
        <w:keepLines w:val="0"/>
        <w:widowControl w:val="0"/>
        <w:numPr>
          <w:ilvl w:val="0"/>
          <w:numId w:val="5"/>
        </w:numPr>
        <w:tabs>
          <w:tab w:val="left" w:pos="4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CONSISTENCIA</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Ante la existencia de operaciones similares en un ente público, debe corresponder un mismo tratamiento contable, el cual debe permanecer a través del tiempo, en tanto no cambie la esencia económica de las operaciones.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aplica supletoriamente ninguna normatividad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Para las entidades que por primera vez estén implementando la base del devengado de acuerdo a la Ley de Contabilidad, deberán:</w:t>
      </w:r>
    </w:p>
    <w:p w:rsidR="00690E7B" w:rsidRPr="00690E7B" w:rsidRDefault="00690E7B" w:rsidP="00690E7B">
      <w:pPr>
        <w:jc w:val="both"/>
        <w:rPr>
          <w:rFonts w:ascii="Arial" w:hAnsi="Arial" w:cs="Arial"/>
          <w:sz w:val="20"/>
          <w:szCs w:val="20"/>
        </w:rPr>
      </w:pPr>
      <w:r w:rsidRPr="00690E7B">
        <w:rPr>
          <w:rFonts w:ascii="Arial" w:hAnsi="Arial" w:cs="Arial"/>
          <w:sz w:val="20"/>
          <w:szCs w:val="20"/>
        </w:rPr>
        <w:t>*Revelar las nuevas políticas de reconocimiento:</w:t>
      </w:r>
    </w:p>
    <w:p w:rsidR="00690E7B" w:rsidRPr="00690E7B" w:rsidRDefault="00690E7B" w:rsidP="00690E7B">
      <w:pPr>
        <w:jc w:val="both"/>
        <w:rPr>
          <w:rFonts w:ascii="Arial" w:hAnsi="Arial" w:cs="Arial"/>
          <w:sz w:val="20"/>
          <w:szCs w:val="20"/>
        </w:rPr>
      </w:pPr>
      <w:r w:rsidRPr="00690E7B">
        <w:rPr>
          <w:rFonts w:ascii="Arial" w:hAnsi="Arial" w:cs="Arial"/>
          <w:sz w:val="20"/>
          <w:szCs w:val="20"/>
        </w:rPr>
        <w:t>El ejercicio de 2018 no es el primer ejercicio donde se aplica el reconocimiento del devengo contable, por lo que 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6. Políticas de Contabilidad Significativas: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Informar sobre la realización de operaciones en el extranjero y de sus efectos en la información financiera gubernamental:</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Método de valuación de la inversión en acciones de Compañías subsidiarias no consolidadas y asociadas: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Sistema y método de valuación de inventarios y costo de lo vendido: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Provisiones: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Reservas: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Todas las operaciones del gasto cumplen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*De acuerdo a la norma establecida por el CONAC.</w:t>
      </w:r>
    </w:p>
    <w:p w:rsidR="00690E7B" w:rsidRPr="00690E7B" w:rsidRDefault="00690E7B" w:rsidP="00690E7B">
      <w:pPr>
        <w:jc w:val="both"/>
        <w:rPr>
          <w:rFonts w:ascii="Arial" w:hAnsi="Arial" w:cs="Arial"/>
          <w:sz w:val="20"/>
          <w:szCs w:val="20"/>
        </w:rPr>
      </w:pPr>
      <w:r w:rsidRPr="00690E7B">
        <w:rPr>
          <w:rFonts w:ascii="Arial" w:hAnsi="Arial" w:cs="Arial"/>
          <w:b/>
          <w:sz w:val="20"/>
          <w:szCs w:val="20"/>
        </w:rPr>
        <w:t>h)</w:t>
      </w:r>
      <w:r w:rsidRPr="00690E7B">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Como organismo descentralizado a su creación se adoptó e implemento conforme se recibieron las capacitaciones al área administrativa la nueva estructura de registro contable presupuestal normada por el CONAC, así mismo guías contabilizadoras, matriz de conversión y los nuevos procesos de registro que de ellas emanan y han sido aplicadas en el SIHP.</w:t>
      </w:r>
    </w:p>
    <w:p w:rsidR="00690E7B" w:rsidRPr="00690E7B" w:rsidRDefault="00690E7B" w:rsidP="00690E7B">
      <w:pPr>
        <w:jc w:val="both"/>
        <w:rPr>
          <w:rFonts w:ascii="Arial" w:hAnsi="Arial" w:cs="Arial"/>
          <w:sz w:val="20"/>
          <w:szCs w:val="20"/>
        </w:rPr>
      </w:pPr>
      <w:r w:rsidRPr="00690E7B">
        <w:rPr>
          <w:rFonts w:ascii="Arial" w:hAnsi="Arial" w:cs="Arial"/>
          <w:b/>
          <w:sz w:val="20"/>
          <w:szCs w:val="20"/>
        </w:rPr>
        <w:t>i)</w:t>
      </w:r>
      <w:r w:rsidRPr="00690E7B">
        <w:rPr>
          <w:rFonts w:ascii="Arial" w:hAnsi="Arial" w:cs="Arial"/>
          <w:sz w:val="20"/>
          <w:szCs w:val="20"/>
        </w:rPr>
        <w:t xml:space="preserve"> Reclasificaciones: Se deben revelar todos aquellos movimientos entre cuentas por efectos de cambios en los tipos de operaciones:</w:t>
      </w:r>
    </w:p>
    <w:p w:rsidR="00690E7B" w:rsidRPr="00690E7B" w:rsidRDefault="00690E7B" w:rsidP="00690E7B">
      <w:pPr>
        <w:jc w:val="both"/>
        <w:rPr>
          <w:rFonts w:ascii="Arial" w:hAnsi="Arial" w:cs="Arial"/>
          <w:sz w:val="20"/>
          <w:szCs w:val="20"/>
        </w:rPr>
      </w:pPr>
      <w:r w:rsidRPr="00690E7B">
        <w:rPr>
          <w:rFonts w:ascii="Arial" w:hAnsi="Arial" w:cs="Arial"/>
          <w:sz w:val="20"/>
          <w:szCs w:val="20"/>
        </w:rPr>
        <w:t>Las reclasificaciones se detectan para corregir las pólizas tanto a nivel contable como a nivel financiero por medio de los traspasos de esta manera después del previo análisis se procede a realizar el traslado a la otra cuenta y la información contable será la más adecuada posible.</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tal razón se da importancia a las conciliaciones para detectar y corregir oportunamente para que los movimientos y el cierre contable sea confiable veraz y oportuno para la toma de decisiones.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j)</w:t>
      </w:r>
      <w:r w:rsidRPr="00690E7B">
        <w:rPr>
          <w:rFonts w:ascii="Arial" w:hAnsi="Arial" w:cs="Arial"/>
          <w:sz w:val="20"/>
          <w:szCs w:val="20"/>
        </w:rPr>
        <w:t xml:space="preserve"> Depuración y cancelación de saldos: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realiza este proceso donde se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7. Posición en Moneda Extranjera y Protección por Riesgo Cambiario: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Pasivos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c) </w:t>
      </w:r>
      <w:r w:rsidRPr="00690E7B">
        <w:rPr>
          <w:rFonts w:ascii="Arial" w:hAnsi="Arial" w:cs="Arial"/>
          <w:sz w:val="20"/>
          <w:szCs w:val="20"/>
        </w:rPr>
        <w:t>Posición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Tipo de cambio: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 xml:space="preserve">e) </w:t>
      </w:r>
      <w:r w:rsidRPr="00690E7B">
        <w:rPr>
          <w:rFonts w:ascii="Arial" w:hAnsi="Arial" w:cs="Arial"/>
          <w:sz w:val="20"/>
          <w:szCs w:val="20"/>
        </w:rPr>
        <w:t>Equivalente en moneda nacional:</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sz w:val="20"/>
          <w:szCs w:val="20"/>
        </w:rPr>
        <w:t>Lo anterior por cada tipo de moneda extranjera que se encuentre en los rubros de activo y pasivo.</w:t>
      </w:r>
    </w:p>
    <w:p w:rsidR="00690E7B" w:rsidRPr="00690E7B" w:rsidRDefault="00690E7B" w:rsidP="00690E7B">
      <w:pPr>
        <w:jc w:val="both"/>
        <w:rPr>
          <w:rFonts w:ascii="Arial" w:hAnsi="Arial" w:cs="Arial"/>
          <w:sz w:val="20"/>
          <w:szCs w:val="20"/>
        </w:rPr>
      </w:pPr>
      <w:r w:rsidRPr="00690E7B">
        <w:rPr>
          <w:rFonts w:ascii="Arial" w:hAnsi="Arial" w:cs="Arial"/>
          <w:sz w:val="20"/>
          <w:szCs w:val="20"/>
        </w:rPr>
        <w:t>Adicionalmente se informará sobre los métodos de protección de riesgo por variaciones en el tipo de cambio.</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8. Reporte Analítico del Activo:</w:t>
      </w:r>
    </w:p>
    <w:p w:rsidR="00603A5D" w:rsidRDefault="00603A5D" w:rsidP="00690E7B">
      <w:pPr>
        <w:jc w:val="both"/>
        <w:rPr>
          <w:rFonts w:ascii="Arial" w:hAnsi="Arial" w:cs="Arial"/>
          <w:sz w:val="20"/>
          <w:szCs w:val="20"/>
        </w:rPr>
      </w:pPr>
    </w:p>
    <w:p w:rsidR="00690E7B" w:rsidRDefault="00690E7B" w:rsidP="00690E7B">
      <w:pPr>
        <w:jc w:val="both"/>
        <w:rPr>
          <w:rFonts w:ascii="Arial" w:hAnsi="Arial" w:cs="Arial"/>
          <w:sz w:val="20"/>
          <w:szCs w:val="20"/>
        </w:rPr>
      </w:pPr>
      <w:r w:rsidRPr="00690E7B">
        <w:rPr>
          <w:rFonts w:ascii="Arial" w:hAnsi="Arial" w:cs="Arial"/>
          <w:sz w:val="20"/>
          <w:szCs w:val="20"/>
        </w:rPr>
        <w:t>Debe mostrar la siguiente información:</w:t>
      </w:r>
    </w:p>
    <w:p w:rsidR="00603A5D" w:rsidRPr="00690E7B" w:rsidRDefault="00603A5D" w:rsidP="00690E7B">
      <w:pPr>
        <w:jc w:val="both"/>
        <w:rPr>
          <w:rFonts w:ascii="Arial" w:hAnsi="Arial" w:cs="Arial"/>
          <w:sz w:val="20"/>
          <w:szCs w:val="20"/>
        </w:rPr>
      </w:pP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Vida útil o porcentajes de depreciación, deterioro o amortización utilizados en los diferentes tipos de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Cambios en el porcentaje de depreciación o valor residual de los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Importe de los gastos capitalizados en el ejercicio, tanto financieros como de investigación y desarrollo: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Riegos por tipo de cambio o tipo de interés de las inversiones financieras: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e) </w:t>
      </w:r>
      <w:r w:rsidRPr="00690E7B">
        <w:rPr>
          <w:rFonts w:ascii="Arial" w:hAnsi="Arial" w:cs="Arial"/>
          <w:sz w:val="20"/>
          <w:szCs w:val="20"/>
        </w:rPr>
        <w:t>Valor activado en el ejercicio de los bienes construidos por la entidad:</w:t>
      </w:r>
    </w:p>
    <w:p w:rsidR="001E70E4" w:rsidRDefault="00690E7B" w:rsidP="001E70E4">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1E70E4" w:rsidP="001E70E4">
      <w:pPr>
        <w:jc w:val="both"/>
        <w:rPr>
          <w:rFonts w:ascii="Arial" w:hAnsi="Arial" w:cs="Arial"/>
          <w:sz w:val="20"/>
          <w:szCs w:val="20"/>
        </w:rPr>
      </w:pPr>
      <w:r>
        <w:rPr>
          <w:rFonts w:ascii="Arial" w:hAnsi="Arial" w:cs="Arial"/>
          <w:sz w:val="20"/>
          <w:szCs w:val="20"/>
        </w:rPr>
        <w:t xml:space="preserve">      </w:t>
      </w:r>
      <w:r w:rsidR="00690E7B" w:rsidRPr="00690E7B">
        <w:rPr>
          <w:rFonts w:ascii="Arial" w:hAnsi="Arial" w:cs="Arial"/>
          <w:b/>
          <w:sz w:val="20"/>
          <w:szCs w:val="20"/>
        </w:rPr>
        <w:t>f)</w:t>
      </w:r>
      <w:r w:rsidR="00690E7B" w:rsidRPr="00690E7B">
        <w:rPr>
          <w:rFonts w:ascii="Arial" w:hAnsi="Arial" w:cs="Arial"/>
          <w:sz w:val="20"/>
          <w:szCs w:val="20"/>
        </w:rPr>
        <w:t xml:space="preserve"> Otras circunstancias de carácter significativo que afecten el activo, tales como bienes en garantía, señalados en embargos, litigios, títulos de </w:t>
      </w:r>
      <w:r>
        <w:rPr>
          <w:rFonts w:ascii="Arial" w:hAnsi="Arial" w:cs="Arial"/>
          <w:sz w:val="20"/>
          <w:szCs w:val="20"/>
        </w:rPr>
        <w:t xml:space="preserve">         </w:t>
      </w:r>
      <w:r w:rsidR="00690E7B" w:rsidRPr="00690E7B">
        <w:rPr>
          <w:rFonts w:ascii="Arial" w:hAnsi="Arial" w:cs="Arial"/>
          <w:sz w:val="20"/>
          <w:szCs w:val="20"/>
        </w:rPr>
        <w:t>inversiones entregados en garantías, baja significativa del valor de inversiones financieras, etc.:</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g)</w:t>
      </w:r>
      <w:r w:rsidRPr="00690E7B">
        <w:rPr>
          <w:rFonts w:ascii="Arial" w:hAnsi="Arial" w:cs="Arial"/>
          <w:sz w:val="20"/>
          <w:szCs w:val="20"/>
        </w:rPr>
        <w:t xml:space="preserve"> Desmantelamiento de Activos, procedimientos, implicaciones, efectos contables:</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 xml:space="preserve">      NO APLICA</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h)</w:t>
      </w:r>
      <w:r w:rsidRPr="00690E7B">
        <w:rPr>
          <w:rFonts w:ascii="Arial" w:hAnsi="Arial" w:cs="Arial"/>
          <w:sz w:val="20"/>
          <w:szCs w:val="20"/>
        </w:rPr>
        <w:t xml:space="preserve"> Administración de activos; planeación con el objetivo de que el ente los utilice de manera más efectiva: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Adicionalmente, se deben incluir las explicaciones de las principales variaciones en el activo, en cuadros comparativos como sigue: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a)</w:t>
      </w:r>
      <w:r w:rsidRPr="00690E7B">
        <w:rPr>
          <w:rFonts w:ascii="Arial" w:hAnsi="Arial" w:cs="Arial"/>
          <w:sz w:val="20"/>
          <w:szCs w:val="20"/>
        </w:rPr>
        <w:t xml:space="preserve"> Inversiones en valores: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b)</w:t>
      </w:r>
      <w:r w:rsidRPr="00690E7B">
        <w:rPr>
          <w:rFonts w:ascii="Arial" w:hAnsi="Arial" w:cs="Arial"/>
          <w:sz w:val="20"/>
          <w:szCs w:val="20"/>
        </w:rPr>
        <w:t xml:space="preserve"> Patrimonio de Organismos descentralizados de Control Presupuestario Indirecto: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c)</w:t>
      </w:r>
      <w:r w:rsidRPr="00690E7B">
        <w:rPr>
          <w:rFonts w:ascii="Arial" w:hAnsi="Arial" w:cs="Arial"/>
          <w:sz w:val="20"/>
          <w:szCs w:val="20"/>
        </w:rPr>
        <w:t xml:space="preserve"> Inversiones en empresas de participación mayoritaria: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Inversiones en empresas de participación minoritaria: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e)</w:t>
      </w:r>
      <w:r w:rsidRPr="00690E7B">
        <w:rPr>
          <w:rFonts w:ascii="Arial" w:hAnsi="Arial" w:cs="Arial"/>
          <w:sz w:val="20"/>
          <w:szCs w:val="20"/>
        </w:rPr>
        <w:t xml:space="preserve"> Patrimonio de organismos descentralizados de control presupuestario directo, según corresponda:</w:t>
      </w:r>
    </w:p>
    <w:p w:rsidR="00690E7B" w:rsidRPr="00690E7B" w:rsidRDefault="00690E7B" w:rsidP="00690E7B">
      <w:pPr>
        <w:jc w:val="both"/>
        <w:rPr>
          <w:rFonts w:ascii="Arial" w:hAnsi="Arial" w:cs="Arial"/>
          <w:b/>
          <w:color w:val="1F497D"/>
          <w:sz w:val="20"/>
          <w:szCs w:val="20"/>
        </w:rPr>
      </w:pPr>
      <w:r w:rsidRPr="00690E7B">
        <w:rPr>
          <w:rFonts w:ascii="Arial" w:hAnsi="Arial" w:cs="Arial"/>
          <w:b/>
          <w:color w:val="1F497D"/>
          <w:sz w:val="20"/>
          <w:szCs w:val="20"/>
        </w:rPr>
        <w:t xml:space="preserve">       *Se refiere al Estado Analítico de Activo </w:t>
      </w:r>
    </w:p>
    <w:p w:rsidR="00690E7B" w:rsidRPr="00690E7B" w:rsidRDefault="00690E7B" w:rsidP="00690E7B">
      <w:pPr>
        <w:jc w:val="both"/>
        <w:rPr>
          <w:rFonts w:ascii="Arial" w:hAnsi="Arial" w:cs="Arial"/>
          <w:b/>
          <w:color w:val="1F497D"/>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 xml:space="preserve">      9. Fideicomisos, Mandatos y Análogos: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Se deberá informar:</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a)</w:t>
      </w:r>
      <w:r w:rsidRPr="00690E7B">
        <w:rPr>
          <w:rFonts w:ascii="Arial" w:hAnsi="Arial" w:cs="Arial"/>
          <w:sz w:val="20"/>
          <w:szCs w:val="20"/>
        </w:rPr>
        <w:t xml:space="preserve"> Por ramo administrativo que los reporta: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b)</w:t>
      </w:r>
      <w:r w:rsidRPr="00690E7B">
        <w:rPr>
          <w:rFonts w:ascii="Arial" w:hAnsi="Arial" w:cs="Arial"/>
          <w:sz w:val="20"/>
          <w:szCs w:val="20"/>
        </w:rPr>
        <w:t xml:space="preserve"> Enlistar los de mayor monto de disponibilidad, relacionando aquéllos que conforman el 80% de las disponibilidades: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p>
    <w:p w:rsidR="00690E7B" w:rsidRDefault="00690E7B" w:rsidP="00690E7B">
      <w:pPr>
        <w:jc w:val="both"/>
        <w:rPr>
          <w:rFonts w:ascii="Arial" w:hAnsi="Arial" w:cs="Arial"/>
          <w:b/>
          <w:sz w:val="20"/>
          <w:szCs w:val="20"/>
        </w:rPr>
      </w:pPr>
      <w:r w:rsidRPr="00690E7B">
        <w:rPr>
          <w:rFonts w:ascii="Arial" w:hAnsi="Arial" w:cs="Arial"/>
          <w:b/>
          <w:sz w:val="20"/>
          <w:szCs w:val="20"/>
        </w:rPr>
        <w:t>10. Reporte de la Recaudación:</w:t>
      </w:r>
    </w:p>
    <w:p w:rsidR="00603A5D" w:rsidRPr="00690E7B" w:rsidRDefault="00603A5D" w:rsidP="00690E7B">
      <w:pPr>
        <w:jc w:val="both"/>
        <w:rPr>
          <w:rFonts w:ascii="Arial" w:hAnsi="Arial" w:cs="Arial"/>
          <w:b/>
          <w:sz w:val="20"/>
          <w:szCs w:val="20"/>
        </w:rPr>
      </w:pPr>
    </w:p>
    <w:p w:rsidR="00690E7B" w:rsidRDefault="00690E7B" w:rsidP="00690E7B">
      <w:pPr>
        <w:numPr>
          <w:ilvl w:val="0"/>
          <w:numId w:val="3"/>
        </w:numPr>
        <w:jc w:val="both"/>
        <w:rPr>
          <w:rFonts w:ascii="Arial" w:hAnsi="Arial" w:cs="Arial"/>
          <w:sz w:val="20"/>
          <w:szCs w:val="20"/>
        </w:rPr>
      </w:pPr>
      <w:r w:rsidRPr="00690E7B">
        <w:rPr>
          <w:rFonts w:ascii="Arial" w:hAnsi="Arial" w:cs="Arial"/>
          <w:sz w:val="20"/>
          <w:szCs w:val="20"/>
        </w:rPr>
        <w:t>Análisis del comportamiento de la recaudación correspondiente al ente público o cualquier tipo de ingreso, de forma separada los ingresos locales de los federales</w:t>
      </w:r>
    </w:p>
    <w:p w:rsidR="00603A5D" w:rsidRDefault="00603A5D" w:rsidP="00603A5D">
      <w:pPr>
        <w:ind w:left="720"/>
        <w:jc w:val="both"/>
        <w:rPr>
          <w:rFonts w:ascii="Arial" w:hAnsi="Arial" w:cs="Arial"/>
          <w:sz w:val="20"/>
          <w:szCs w:val="20"/>
        </w:rPr>
      </w:pPr>
    </w:p>
    <w:p w:rsidR="00F938CD" w:rsidRDefault="00F938CD" w:rsidP="00603A5D">
      <w:pPr>
        <w:ind w:left="720"/>
        <w:jc w:val="both"/>
        <w:rPr>
          <w:rFonts w:ascii="Arial" w:hAnsi="Arial" w:cs="Arial"/>
          <w:sz w:val="20"/>
          <w:szCs w:val="20"/>
        </w:rPr>
      </w:pPr>
    </w:p>
    <w:p w:rsidR="00F938CD" w:rsidRPr="00690E7B" w:rsidRDefault="00F938CD" w:rsidP="00603A5D">
      <w:pPr>
        <w:ind w:left="720"/>
        <w:jc w:val="both"/>
        <w:rPr>
          <w:rFonts w:ascii="Arial" w:hAnsi="Arial" w:cs="Arial"/>
          <w:sz w:val="20"/>
          <w:szCs w:val="20"/>
        </w:rPr>
      </w:pPr>
    </w:p>
    <w:tbl>
      <w:tblPr>
        <w:tblpPr w:leftFromText="141" w:rightFromText="141" w:vertAnchor="text" w:horzAnchor="page" w:tblpX="3708"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tblGrid>
      <w:tr w:rsidR="00086D7C" w:rsidRPr="00C91E35" w:rsidTr="00C91E35">
        <w:tc>
          <w:tcPr>
            <w:tcW w:w="6629" w:type="dxa"/>
            <w:gridSpan w:val="2"/>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INGRESOS PROPIOS</w:t>
            </w:r>
          </w:p>
        </w:tc>
      </w:tr>
      <w:tr w:rsidR="00086D7C" w:rsidRPr="00C91E35" w:rsidTr="00C91E35">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IMPORTE RECAUDADO</w:t>
            </w:r>
          </w:p>
        </w:tc>
      </w:tr>
      <w:tr w:rsidR="00F938CD" w:rsidRPr="00C91E35" w:rsidTr="00C91E35">
        <w:tc>
          <w:tcPr>
            <w:tcW w:w="4077" w:type="dxa"/>
            <w:shd w:val="clear" w:color="auto" w:fill="auto"/>
          </w:tcPr>
          <w:p w:rsidR="00F938CD" w:rsidRPr="00C91E35" w:rsidRDefault="00F938CD" w:rsidP="00F938CD">
            <w:pPr>
              <w:pBdr>
                <w:left w:val="single" w:sz="4" w:space="4" w:color="auto"/>
              </w:pBdr>
              <w:rPr>
                <w:rFonts w:cstheme="minorHAnsi"/>
                <w:sz w:val="18"/>
                <w:szCs w:val="18"/>
              </w:rPr>
            </w:pPr>
            <w:r w:rsidRPr="00F938CD">
              <w:rPr>
                <w:rFonts w:cstheme="minorHAnsi"/>
                <w:sz w:val="18"/>
                <w:szCs w:val="18"/>
              </w:rPr>
              <w:t>1422730000</w:t>
            </w:r>
            <w:r w:rsidRPr="00C91E35">
              <w:rPr>
                <w:rFonts w:cstheme="minorHAnsi"/>
                <w:sz w:val="18"/>
                <w:szCs w:val="18"/>
              </w:rPr>
              <w:t xml:space="preserve">  VENTA DE BIENES Y SE</w:t>
            </w:r>
          </w:p>
        </w:tc>
        <w:tc>
          <w:tcPr>
            <w:tcW w:w="2552" w:type="dxa"/>
            <w:shd w:val="clear" w:color="auto" w:fill="auto"/>
            <w:vAlign w:val="bottom"/>
          </w:tcPr>
          <w:p w:rsidR="00F938CD" w:rsidRPr="00C91E35" w:rsidRDefault="00F938CD" w:rsidP="00F938CD">
            <w:pPr>
              <w:jc w:val="right"/>
              <w:rPr>
                <w:rFonts w:cstheme="minorHAnsi"/>
                <w:color w:val="000000"/>
                <w:sz w:val="18"/>
                <w:szCs w:val="18"/>
              </w:rPr>
            </w:pPr>
            <w:r w:rsidRPr="00F938CD">
              <w:rPr>
                <w:rFonts w:cstheme="minorHAnsi"/>
                <w:color w:val="000000"/>
                <w:sz w:val="18"/>
                <w:szCs w:val="18"/>
              </w:rPr>
              <w:t>2,064,876.24</w:t>
            </w:r>
          </w:p>
        </w:tc>
      </w:tr>
      <w:tr w:rsidR="00C91E35" w:rsidRPr="00C91E35" w:rsidTr="00C91E35">
        <w:tc>
          <w:tcPr>
            <w:tcW w:w="4077" w:type="dxa"/>
            <w:shd w:val="clear" w:color="auto" w:fill="auto"/>
          </w:tcPr>
          <w:p w:rsidR="00C91E35" w:rsidRPr="00C91E35" w:rsidRDefault="00F938CD" w:rsidP="00C91E35">
            <w:pPr>
              <w:pBdr>
                <w:left w:val="single" w:sz="4" w:space="4" w:color="auto"/>
              </w:pBdr>
              <w:rPr>
                <w:rFonts w:cstheme="minorHAnsi"/>
                <w:sz w:val="18"/>
                <w:szCs w:val="18"/>
              </w:rPr>
            </w:pPr>
            <w:r w:rsidRPr="00F938CD">
              <w:rPr>
                <w:rFonts w:cstheme="minorHAnsi"/>
                <w:sz w:val="18"/>
                <w:szCs w:val="18"/>
              </w:rPr>
              <w:t>1422790000</w:t>
            </w:r>
            <w:r w:rsidR="00C91E35" w:rsidRPr="00C91E35">
              <w:rPr>
                <w:rFonts w:cstheme="minorHAnsi"/>
                <w:sz w:val="18"/>
                <w:szCs w:val="18"/>
              </w:rPr>
              <w:t xml:space="preserve">  OTRAS VENTAS DE BIEN</w:t>
            </w:r>
          </w:p>
        </w:tc>
        <w:tc>
          <w:tcPr>
            <w:tcW w:w="2552" w:type="dxa"/>
            <w:shd w:val="clear" w:color="auto" w:fill="auto"/>
            <w:vAlign w:val="bottom"/>
          </w:tcPr>
          <w:p w:rsidR="00C91E35" w:rsidRPr="00C91E35" w:rsidRDefault="00F938CD" w:rsidP="00C91E35">
            <w:pPr>
              <w:jc w:val="right"/>
              <w:rPr>
                <w:rFonts w:cstheme="minorHAnsi"/>
                <w:color w:val="000000"/>
                <w:sz w:val="18"/>
                <w:szCs w:val="18"/>
              </w:rPr>
            </w:pPr>
            <w:r w:rsidRPr="00F938CD">
              <w:rPr>
                <w:rFonts w:cstheme="minorHAnsi"/>
                <w:color w:val="000000"/>
                <w:sz w:val="18"/>
                <w:szCs w:val="18"/>
              </w:rPr>
              <w:t>193.40</w:t>
            </w:r>
          </w:p>
        </w:tc>
      </w:tr>
      <w:tr w:rsidR="00C91E35" w:rsidRPr="00C91E35" w:rsidTr="00394F5E">
        <w:trPr>
          <w:trHeight w:val="213"/>
        </w:trPr>
        <w:tc>
          <w:tcPr>
            <w:tcW w:w="4077" w:type="dxa"/>
            <w:shd w:val="clear" w:color="auto" w:fill="auto"/>
          </w:tcPr>
          <w:p w:rsidR="00C91E35" w:rsidRPr="00C91E35" w:rsidRDefault="00C91E35" w:rsidP="00C91E35">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vAlign w:val="bottom"/>
          </w:tcPr>
          <w:p w:rsidR="00394F5E" w:rsidRPr="00394F5E" w:rsidRDefault="00394F5E" w:rsidP="00394F5E">
            <w:pPr>
              <w:jc w:val="right"/>
              <w:rPr>
                <w:rFonts w:ascii="Calibri" w:hAnsi="Calibri" w:cs="Calibri"/>
                <w:color w:val="000000"/>
                <w:sz w:val="18"/>
                <w:szCs w:val="18"/>
              </w:rPr>
            </w:pPr>
            <w:r w:rsidRPr="00394F5E">
              <w:rPr>
                <w:rFonts w:ascii="Calibri" w:hAnsi="Calibri" w:cs="Calibri"/>
                <w:color w:val="000000"/>
                <w:sz w:val="18"/>
                <w:szCs w:val="18"/>
              </w:rPr>
              <w:t>8,935,306.59</w:t>
            </w:r>
          </w:p>
          <w:p w:rsidR="00C91E35" w:rsidRPr="00394F5E" w:rsidRDefault="00C91E35" w:rsidP="004832C6">
            <w:pPr>
              <w:jc w:val="right"/>
              <w:rPr>
                <w:rFonts w:cstheme="minorHAnsi"/>
                <w:b/>
                <w:color w:val="000000"/>
                <w:sz w:val="18"/>
                <w:szCs w:val="18"/>
              </w:rPr>
            </w:pPr>
          </w:p>
        </w:tc>
      </w:tr>
      <w:tr w:rsidR="00086D7C" w:rsidRPr="00C91E35" w:rsidTr="00C91E35">
        <w:tc>
          <w:tcPr>
            <w:tcW w:w="6629" w:type="dxa"/>
            <w:gridSpan w:val="2"/>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lastRenderedPageBreak/>
              <w:t>RECURSOS ESTATALES</w:t>
            </w:r>
          </w:p>
        </w:tc>
      </w:tr>
      <w:tr w:rsidR="00F938CD" w:rsidRPr="00C91E35" w:rsidTr="00C91E35">
        <w:tc>
          <w:tcPr>
            <w:tcW w:w="6629" w:type="dxa"/>
            <w:gridSpan w:val="2"/>
            <w:shd w:val="clear" w:color="auto" w:fill="auto"/>
          </w:tcPr>
          <w:p w:rsidR="00F938CD" w:rsidRPr="00C91E35" w:rsidRDefault="00F938CD" w:rsidP="00C91E35">
            <w:pPr>
              <w:pBdr>
                <w:left w:val="single" w:sz="4" w:space="4" w:color="auto"/>
              </w:pBdr>
              <w:jc w:val="center"/>
              <w:rPr>
                <w:rFonts w:cstheme="minorHAnsi"/>
                <w:b/>
                <w:sz w:val="18"/>
                <w:szCs w:val="18"/>
              </w:rPr>
            </w:pPr>
          </w:p>
        </w:tc>
      </w:tr>
      <w:tr w:rsidR="00086D7C" w:rsidRPr="00C91E35" w:rsidTr="00C91E35">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IMPORTE RECAUDADO</w:t>
            </w:r>
          </w:p>
        </w:tc>
      </w:tr>
      <w:tr w:rsidR="00C91E35" w:rsidRPr="00C91E35" w:rsidTr="00C91E35">
        <w:tc>
          <w:tcPr>
            <w:tcW w:w="4077" w:type="dxa"/>
            <w:shd w:val="clear" w:color="auto" w:fill="auto"/>
          </w:tcPr>
          <w:p w:rsidR="00C91E35" w:rsidRPr="00C91E35" w:rsidRDefault="00C34964" w:rsidP="00C91E35">
            <w:pPr>
              <w:pBdr>
                <w:left w:val="single" w:sz="4" w:space="4" w:color="auto"/>
              </w:pBdr>
              <w:rPr>
                <w:rFonts w:cstheme="minorHAnsi"/>
                <w:sz w:val="18"/>
                <w:szCs w:val="18"/>
              </w:rPr>
            </w:pPr>
            <w:r w:rsidRPr="00C34964">
              <w:rPr>
                <w:rFonts w:cstheme="minorHAnsi"/>
                <w:sz w:val="18"/>
                <w:szCs w:val="18"/>
              </w:rPr>
              <w:t>1522010000</w:t>
            </w:r>
            <w:r w:rsidR="007C3735" w:rsidRPr="007C3735">
              <w:rPr>
                <w:rFonts w:cstheme="minorHAnsi"/>
                <w:sz w:val="18"/>
                <w:szCs w:val="18"/>
              </w:rPr>
              <w:t xml:space="preserve">  RECURSOS FEDERALES S</w:t>
            </w:r>
          </w:p>
        </w:tc>
        <w:tc>
          <w:tcPr>
            <w:tcW w:w="2552" w:type="dxa"/>
            <w:shd w:val="clear" w:color="auto" w:fill="auto"/>
            <w:vAlign w:val="bottom"/>
          </w:tcPr>
          <w:p w:rsidR="00C91E35" w:rsidRPr="00C91E35" w:rsidRDefault="00C34964" w:rsidP="00C91E35">
            <w:pPr>
              <w:jc w:val="right"/>
              <w:rPr>
                <w:rFonts w:cstheme="minorHAnsi"/>
                <w:color w:val="000000"/>
                <w:sz w:val="18"/>
                <w:szCs w:val="18"/>
              </w:rPr>
            </w:pPr>
            <w:r w:rsidRPr="00C34964">
              <w:rPr>
                <w:rFonts w:cstheme="minorHAnsi"/>
                <w:color w:val="000000"/>
                <w:sz w:val="18"/>
                <w:szCs w:val="18"/>
              </w:rPr>
              <w:t>10,862,480.72</w:t>
            </w:r>
          </w:p>
        </w:tc>
      </w:tr>
      <w:tr w:rsidR="00086D7C" w:rsidRPr="00C91E35" w:rsidTr="00C91E35">
        <w:trPr>
          <w:trHeight w:val="250"/>
        </w:trPr>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tcPr>
          <w:p w:rsidR="00690E7B" w:rsidRPr="00C91E35" w:rsidRDefault="00C34964" w:rsidP="00C91E35">
            <w:pPr>
              <w:jc w:val="right"/>
              <w:rPr>
                <w:rFonts w:cstheme="minorHAnsi"/>
                <w:b/>
                <w:sz w:val="18"/>
                <w:szCs w:val="18"/>
              </w:rPr>
            </w:pPr>
            <w:r w:rsidRPr="00C34964">
              <w:rPr>
                <w:rFonts w:cstheme="minorHAnsi"/>
                <w:color w:val="000000"/>
                <w:sz w:val="18"/>
                <w:szCs w:val="18"/>
              </w:rPr>
              <w:t>10,862,480.72</w:t>
            </w:r>
          </w:p>
        </w:tc>
      </w:tr>
      <w:tr w:rsidR="007C3735" w:rsidRPr="00C91E35" w:rsidTr="001E70E4">
        <w:trPr>
          <w:trHeight w:val="362"/>
        </w:trPr>
        <w:tc>
          <w:tcPr>
            <w:tcW w:w="4077" w:type="dxa"/>
            <w:shd w:val="clear" w:color="auto" w:fill="auto"/>
          </w:tcPr>
          <w:p w:rsidR="007C3735" w:rsidRPr="00C91E35" w:rsidRDefault="007C3735" w:rsidP="007C3735">
            <w:pPr>
              <w:pBdr>
                <w:left w:val="single" w:sz="4" w:space="4" w:color="auto"/>
              </w:pBdr>
              <w:jc w:val="center"/>
              <w:rPr>
                <w:rFonts w:cstheme="minorHAnsi"/>
                <w:b/>
                <w:sz w:val="18"/>
                <w:szCs w:val="18"/>
              </w:rPr>
            </w:pPr>
            <w:r w:rsidRPr="00C91E35">
              <w:rPr>
                <w:rFonts w:cstheme="minorHAnsi"/>
                <w:b/>
                <w:sz w:val="18"/>
                <w:szCs w:val="18"/>
              </w:rPr>
              <w:t xml:space="preserve">TOTAL RECAUDADO </w:t>
            </w:r>
          </w:p>
        </w:tc>
        <w:tc>
          <w:tcPr>
            <w:tcW w:w="2552" w:type="dxa"/>
            <w:shd w:val="clear" w:color="auto" w:fill="auto"/>
            <w:vAlign w:val="bottom"/>
          </w:tcPr>
          <w:p w:rsidR="00C34964" w:rsidRDefault="00C34964" w:rsidP="00C34964">
            <w:pPr>
              <w:jc w:val="right"/>
              <w:rPr>
                <w:rFonts w:ascii="Calibri" w:hAnsi="Calibri" w:cs="Calibri"/>
                <w:color w:val="000000"/>
              </w:rPr>
            </w:pPr>
            <w:r>
              <w:rPr>
                <w:rFonts w:ascii="Calibri" w:hAnsi="Calibri" w:cs="Calibri"/>
                <w:color w:val="000000"/>
              </w:rPr>
              <w:t>12,927,550.36</w:t>
            </w:r>
          </w:p>
          <w:p w:rsidR="007C3735" w:rsidRPr="004832C6" w:rsidRDefault="007C3735" w:rsidP="007C3735">
            <w:pPr>
              <w:jc w:val="right"/>
              <w:rPr>
                <w:rFonts w:cstheme="minorHAnsi"/>
                <w:b/>
                <w:color w:val="000000"/>
                <w:sz w:val="18"/>
                <w:szCs w:val="18"/>
              </w:rPr>
            </w:pPr>
          </w:p>
        </w:tc>
      </w:tr>
    </w:tbl>
    <w:p w:rsidR="00690E7B" w:rsidRPr="00086D7C" w:rsidRDefault="00690E7B"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0E7B" w:rsidRPr="00690E7B" w:rsidRDefault="00690E7B" w:rsidP="00C34964">
      <w:pPr>
        <w:jc w:val="both"/>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11. Información sobre la Deuda y el Reporte Analítico de la Deuda: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lo siguiente: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Utilizar al menos los siguientes indicadores: deuda respecto al PIB y deuda respecto a la recaudación tomando, como mínimo, un período igual o menor a 5 años.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690E7B" w:rsidRPr="00690E7B" w:rsidRDefault="00690E7B" w:rsidP="00690E7B">
      <w:pPr>
        <w:jc w:val="both"/>
        <w:rPr>
          <w:rFonts w:ascii="Arial" w:hAnsi="Arial" w:cs="Arial"/>
          <w:b/>
          <w:sz w:val="20"/>
          <w:szCs w:val="20"/>
        </w:rPr>
      </w:pPr>
      <w:r w:rsidRPr="00690E7B">
        <w:rPr>
          <w:rFonts w:ascii="Arial" w:hAnsi="Arial" w:cs="Arial"/>
          <w:b/>
          <w:color w:val="1F497D"/>
          <w:sz w:val="20"/>
          <w:szCs w:val="20"/>
        </w:rPr>
        <w:t>* Se anexa la información en las notas de desglose y se refiere al Estado Analítico de Deuda y Otros Pasivos</w:t>
      </w:r>
      <w:r w:rsidRPr="00690E7B">
        <w:rPr>
          <w:rFonts w:ascii="Arial" w:hAnsi="Arial" w:cs="Arial"/>
          <w:b/>
          <w:sz w:val="20"/>
          <w:szCs w:val="20"/>
        </w:rPr>
        <w:t>.</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12. Calificaciones otorgadas: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Informar, tanto del ente público como cualquier transacción realizada, que haya sido sujeta a una calificación crediticia: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13. Proceso de Mejora: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de:</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Principales Políticas de control interno:</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Se fortalece el control de los ingresos propios </w:t>
      </w:r>
      <w:r w:rsidR="00394F5E">
        <w:rPr>
          <w:rFonts w:ascii="Arial" w:hAnsi="Arial" w:cs="Arial"/>
          <w:sz w:val="20"/>
          <w:szCs w:val="20"/>
        </w:rPr>
        <w:t>mediante arqueos de caja</w:t>
      </w:r>
      <w:r w:rsidRPr="00690E7B">
        <w:rPr>
          <w:rFonts w:ascii="Arial" w:hAnsi="Arial" w:cs="Arial"/>
          <w:sz w:val="20"/>
          <w:szCs w:val="20"/>
        </w:rPr>
        <w:t xml:space="preserve"> y aleatorios.</w:t>
      </w:r>
    </w:p>
    <w:p w:rsidR="00690E7B" w:rsidRPr="00690E7B" w:rsidRDefault="00690E7B" w:rsidP="00690E7B">
      <w:pPr>
        <w:jc w:val="both"/>
        <w:rPr>
          <w:rFonts w:ascii="Arial" w:hAnsi="Arial" w:cs="Arial"/>
          <w:sz w:val="20"/>
          <w:szCs w:val="20"/>
        </w:rPr>
      </w:pPr>
      <w:r w:rsidRPr="00690E7B">
        <w:rPr>
          <w:rFonts w:ascii="Arial" w:hAnsi="Arial" w:cs="Arial"/>
          <w:sz w:val="20"/>
          <w:szCs w:val="20"/>
        </w:rPr>
        <w:t>Cabe mencionar que las medidas anteriormente mencionadas son generadas con base al análisis arrojado por la matriz de riesgos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Medidas de desempeño financiero, metas y alcance: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14. Información por Segmentos:</w:t>
      </w:r>
    </w:p>
    <w:p w:rsidR="00690E7B" w:rsidRPr="00690E7B" w:rsidRDefault="00690E7B" w:rsidP="00690E7B">
      <w:pPr>
        <w:jc w:val="both"/>
        <w:rPr>
          <w:rFonts w:ascii="Arial" w:hAnsi="Arial" w:cs="Arial"/>
          <w:sz w:val="20"/>
          <w:szCs w:val="20"/>
        </w:rPr>
      </w:pPr>
      <w:r w:rsidRPr="00690E7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0E7B" w:rsidRDefault="00690E7B" w:rsidP="00690E7B">
      <w:pPr>
        <w:jc w:val="both"/>
        <w:rPr>
          <w:rFonts w:ascii="Arial" w:hAnsi="Arial" w:cs="Arial"/>
          <w:sz w:val="20"/>
          <w:szCs w:val="20"/>
        </w:rPr>
      </w:pPr>
      <w:r w:rsidRPr="00690E7B">
        <w:rPr>
          <w:rFonts w:ascii="Arial" w:hAnsi="Arial" w:cs="Arial"/>
          <w:sz w:val="20"/>
          <w:szCs w:val="20"/>
        </w:rPr>
        <w:t>Consecuentemente, esta información contribuye al análisis más preciso de la situación financiera, grados y fuentes de riesgo y crecimiento potencial de negocio.</w:t>
      </w:r>
    </w:p>
    <w:p w:rsidR="00653136" w:rsidRDefault="00653136" w:rsidP="00690E7B">
      <w:pPr>
        <w:jc w:val="both"/>
        <w:rPr>
          <w:rFonts w:ascii="Arial" w:hAnsi="Arial" w:cs="Arial"/>
          <w:sz w:val="20"/>
          <w:szCs w:val="20"/>
        </w:rPr>
      </w:pPr>
    </w:p>
    <w:p w:rsidR="00653136" w:rsidRPr="00690E7B" w:rsidRDefault="00653136"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15. Eventos Posteriores al Cierre:</w:t>
      </w:r>
    </w:p>
    <w:p w:rsidR="00690E7B" w:rsidRPr="00690E7B" w:rsidRDefault="00690E7B" w:rsidP="00690E7B">
      <w:pPr>
        <w:tabs>
          <w:tab w:val="left" w:pos="1245"/>
        </w:tabs>
        <w:jc w:val="both"/>
        <w:rPr>
          <w:rFonts w:ascii="Arial" w:hAnsi="Arial" w:cs="Arial"/>
          <w:sz w:val="20"/>
          <w:szCs w:val="20"/>
        </w:rPr>
      </w:pPr>
      <w:r w:rsidRPr="00690E7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90E7B" w:rsidRPr="00690E7B" w:rsidRDefault="00690E7B" w:rsidP="00690E7B">
      <w:pPr>
        <w:tabs>
          <w:tab w:val="left" w:pos="1245"/>
        </w:tabs>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16. Partes Relacionadas: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debe establecer por escrito que no existen partes relacionadas que pudieran ejercer influencia significativa sobre la toma de decisiones financieras y operativas: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17. Responsabilidad sobre la presentación razonable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603A5D" w:rsidRDefault="00603A5D" w:rsidP="00690E7B">
      <w:pPr>
        <w:jc w:val="both"/>
        <w:rPr>
          <w:rFonts w:ascii="Arial" w:hAnsi="Arial" w:cs="Arial"/>
          <w:i/>
          <w:sz w:val="20"/>
          <w:szCs w:val="20"/>
        </w:rPr>
      </w:pPr>
    </w:p>
    <w:p w:rsidR="00690E7B" w:rsidRPr="00690E7B" w:rsidRDefault="00690E7B" w:rsidP="00690E7B">
      <w:pPr>
        <w:jc w:val="both"/>
        <w:rPr>
          <w:rFonts w:ascii="Arial" w:hAnsi="Arial" w:cs="Arial"/>
          <w:b/>
          <w:sz w:val="20"/>
          <w:szCs w:val="20"/>
        </w:rPr>
      </w:pPr>
      <w:r w:rsidRPr="00690E7B">
        <w:rPr>
          <w:rFonts w:ascii="Arial" w:hAnsi="Arial" w:cs="Arial"/>
          <w:i/>
          <w:sz w:val="20"/>
          <w:szCs w:val="20"/>
        </w:rPr>
        <w:t>“Bajo protesta de decir verdad declaramos que los Estados Financieros y sus notas, son razonablemente correctos y son responsabilidad del emisor”.</w:t>
      </w: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bookmarkStart w:id="0" w:name="_MON_1511334970"/>
    <w:bookmarkEnd w:id="0"/>
    <w:p w:rsidR="00690E7B" w:rsidRPr="00690E7B" w:rsidRDefault="00CD6203" w:rsidP="00690E7B">
      <w:pPr>
        <w:rPr>
          <w:rFonts w:ascii="Arial" w:hAnsi="Arial" w:cs="Arial"/>
          <w:sz w:val="20"/>
          <w:szCs w:val="20"/>
        </w:rPr>
      </w:pPr>
      <w:r w:rsidRPr="00690E7B">
        <w:rPr>
          <w:rFonts w:ascii="Arial" w:hAnsi="Arial" w:cs="Arial"/>
          <w:sz w:val="20"/>
          <w:szCs w:val="20"/>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5pt" o:ole="">
            <v:imagedata r:id="rId9" o:title=""/>
          </v:shape>
          <o:OLEObject Type="Embed" ProgID="Excel.Sheet.12" ShapeID="_x0000_i1025" DrawAspect="Content" ObjectID="_1712135868" r:id="rId10"/>
        </w:object>
      </w:r>
    </w:p>
    <w:p w:rsidR="00690E7B" w:rsidRPr="00690E7B" w:rsidRDefault="00690E7B" w:rsidP="00690E7B">
      <w:pPr>
        <w:jc w:val="center"/>
        <w:rPr>
          <w:rFonts w:ascii="Arial" w:hAnsi="Arial" w:cs="Arial"/>
          <w:sz w:val="20"/>
          <w:szCs w:val="20"/>
        </w:rPr>
      </w:pPr>
    </w:p>
    <w:p w:rsidR="007538D1" w:rsidRPr="00690E7B" w:rsidRDefault="007538D1">
      <w:pPr>
        <w:rPr>
          <w:rFonts w:ascii="Arial" w:hAnsi="Arial" w:cs="Arial"/>
          <w:sz w:val="20"/>
          <w:szCs w:val="20"/>
        </w:rPr>
      </w:pPr>
      <w:bookmarkStart w:id="1" w:name="_GoBack"/>
      <w:bookmarkEnd w:id="1"/>
    </w:p>
    <w:sectPr w:rsidR="007538D1" w:rsidRPr="00690E7B" w:rsidSect="003B51CB">
      <w:headerReference w:type="even" r:id="rId11"/>
      <w:footerReference w:type="even" r:id="rId12"/>
      <w:pgSz w:w="15840" w:h="12240" w:orient="landscape" w:code="1"/>
      <w:pgMar w:top="1276"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F2" w:rsidRDefault="00C92CF2" w:rsidP="00690E7B">
      <w:r>
        <w:separator/>
      </w:r>
    </w:p>
  </w:endnote>
  <w:endnote w:type="continuationSeparator" w:id="0">
    <w:p w:rsidR="00C92CF2" w:rsidRDefault="00C92CF2" w:rsidP="0069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Pr="001E3B9D" w:rsidRDefault="00E92AD8"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2336" behindDoc="0" locked="0" layoutInCell="1" allowOverlap="1" wp14:anchorId="34974884" wp14:editId="2AC5BD9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3143F0"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925684569"/>
        <w:docPartObj>
          <w:docPartGallery w:val="Page Numbers (Bottom of Page)"/>
          <w:docPartUnique/>
        </w:docPartObj>
      </w:sdtPr>
      <w:sdtEndPr/>
      <w:sdtContent>
        <w:r>
          <w:rPr>
            <w:rFonts w:ascii="Arial" w:hAnsi="Arial" w:cs="Arial"/>
            <w:color w:val="808080" w:themeColor="background1" w:themeShade="80"/>
            <w:sz w:val="20"/>
            <w:szCs w:val="20"/>
          </w:rPr>
          <w:t>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F2" w:rsidRDefault="00C92CF2" w:rsidP="00690E7B">
      <w:r>
        <w:separator/>
      </w:r>
    </w:p>
  </w:footnote>
  <w:footnote w:type="continuationSeparator" w:id="0">
    <w:p w:rsidR="00C92CF2" w:rsidRDefault="00C92CF2" w:rsidP="0069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Default="00E92AD8" w:rsidP="000B489A">
    <w:pPr>
      <w:pStyle w:val="Encabezado"/>
      <w:tabs>
        <w:tab w:val="clear" w:pos="4419"/>
        <w:tab w:val="clear" w:pos="8838"/>
        <w:tab w:val="left" w:pos="6804"/>
        <w:tab w:val="left" w:pos="7961"/>
      </w:tabs>
    </w:pPr>
    <w:r w:rsidRPr="000B489A">
      <w:rPr>
        <w:noProof/>
        <w:lang w:val="es-MX" w:eastAsia="es-MX"/>
      </w:rPr>
      <mc:AlternateContent>
        <mc:Choice Requires="wps">
          <w:drawing>
            <wp:anchor distT="0" distB="0" distL="114300" distR="114300" simplePos="0" relativeHeight="251663360" behindDoc="0" locked="0" layoutInCell="1" allowOverlap="1" wp14:anchorId="02D67CF4" wp14:editId="79845C67">
              <wp:simplePos x="0" y="0"/>
              <wp:positionH relativeFrom="column">
                <wp:posOffset>4307205</wp:posOffset>
              </wp:positionH>
              <wp:positionV relativeFrom="paragraph">
                <wp:posOffset>-245745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7CF4" id="_x0000_t202" coordsize="21600,21600" o:spt="202" path="m,l,21600r21600,l21600,xe">
              <v:stroke joinstyle="miter"/>
              <v:path gradientshapeok="t" o:connecttype="rect"/>
            </v:shapetype>
            <v:shape id="Cuadro de texto 18" o:spid="_x0000_s1026" type="#_x0000_t202" style="position:absolute;margin-left:339.15pt;margin-top:-19.35pt;width:66.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v:textbox>
            </v:shape>
          </w:pict>
        </mc:Fallback>
      </mc:AlternateContent>
    </w:r>
    <w:r w:rsidRPr="000B489A">
      <w:rPr>
        <w:noProof/>
        <w:lang w:val="es-MX" w:eastAsia="es-MX"/>
      </w:rPr>
      <mc:AlternateContent>
        <mc:Choice Requires="wps">
          <w:drawing>
            <wp:anchor distT="0" distB="0" distL="114300" distR="114300" simplePos="0" relativeHeight="251664384" behindDoc="0" locked="0" layoutInCell="1" allowOverlap="1" wp14:anchorId="65D9CB5C" wp14:editId="6F5B8793">
              <wp:simplePos x="0" y="0"/>
              <wp:positionH relativeFrom="column">
                <wp:posOffset>1591310</wp:posOffset>
              </wp:positionH>
              <wp:positionV relativeFrom="paragraph">
                <wp:posOffset>-287020</wp:posOffset>
              </wp:positionV>
              <wp:extent cx="2767330" cy="398780"/>
              <wp:effectExtent l="0" t="0" r="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CB5C" id="Cuadro de texto 17" o:spid="_x0000_s1027" type="#_x0000_t202" style="position:absolute;margin-left:125.3pt;margin-top:-22.6pt;width:217.9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56CF59C" wp14:editId="6017280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88FA78"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A9628B2"/>
    <w:multiLevelType w:val="hybridMultilevel"/>
    <w:tmpl w:val="E3AE1144"/>
    <w:lvl w:ilvl="0" w:tplc="C37E3DA6">
      <w:start w:val="1"/>
      <w:numFmt w:val="lowerLetter"/>
      <w:lvlText w:val="%1)"/>
      <w:lvlJc w:val="left"/>
      <w:pPr>
        <w:ind w:left="114" w:hanging="708"/>
      </w:pPr>
      <w:rPr>
        <w:rFonts w:ascii="Arial" w:eastAsia="Arial" w:hAnsi="Arial" w:cs="Arial" w:hint="default"/>
        <w:w w:val="99"/>
        <w:sz w:val="18"/>
        <w:szCs w:val="18"/>
      </w:rPr>
    </w:lvl>
    <w:lvl w:ilvl="1" w:tplc="94F86594">
      <w:numFmt w:val="bullet"/>
      <w:lvlText w:val="•"/>
      <w:lvlJc w:val="left"/>
      <w:pPr>
        <w:ind w:left="1128" w:hanging="708"/>
      </w:pPr>
      <w:rPr>
        <w:rFonts w:hint="default"/>
      </w:rPr>
    </w:lvl>
    <w:lvl w:ilvl="2" w:tplc="3E64013A">
      <w:numFmt w:val="bullet"/>
      <w:lvlText w:val="•"/>
      <w:lvlJc w:val="left"/>
      <w:pPr>
        <w:ind w:left="2136" w:hanging="708"/>
      </w:pPr>
      <w:rPr>
        <w:rFonts w:hint="default"/>
      </w:rPr>
    </w:lvl>
    <w:lvl w:ilvl="3" w:tplc="6F2423A4">
      <w:numFmt w:val="bullet"/>
      <w:lvlText w:val="•"/>
      <w:lvlJc w:val="left"/>
      <w:pPr>
        <w:ind w:left="3144" w:hanging="708"/>
      </w:pPr>
      <w:rPr>
        <w:rFonts w:hint="default"/>
      </w:rPr>
    </w:lvl>
    <w:lvl w:ilvl="4" w:tplc="A21E057C">
      <w:numFmt w:val="bullet"/>
      <w:lvlText w:val="•"/>
      <w:lvlJc w:val="left"/>
      <w:pPr>
        <w:ind w:left="4152" w:hanging="708"/>
      </w:pPr>
      <w:rPr>
        <w:rFonts w:hint="default"/>
      </w:rPr>
    </w:lvl>
    <w:lvl w:ilvl="5" w:tplc="B41E82C2">
      <w:numFmt w:val="bullet"/>
      <w:lvlText w:val="•"/>
      <w:lvlJc w:val="left"/>
      <w:pPr>
        <w:ind w:left="5160" w:hanging="708"/>
      </w:pPr>
      <w:rPr>
        <w:rFonts w:hint="default"/>
      </w:rPr>
    </w:lvl>
    <w:lvl w:ilvl="6" w:tplc="E2DCA702">
      <w:numFmt w:val="bullet"/>
      <w:lvlText w:val="•"/>
      <w:lvlJc w:val="left"/>
      <w:pPr>
        <w:ind w:left="6169" w:hanging="708"/>
      </w:pPr>
      <w:rPr>
        <w:rFonts w:hint="default"/>
      </w:rPr>
    </w:lvl>
    <w:lvl w:ilvl="7" w:tplc="7F229868">
      <w:numFmt w:val="bullet"/>
      <w:lvlText w:val="•"/>
      <w:lvlJc w:val="left"/>
      <w:pPr>
        <w:ind w:left="7177" w:hanging="708"/>
      </w:pPr>
      <w:rPr>
        <w:rFonts w:hint="default"/>
      </w:rPr>
    </w:lvl>
    <w:lvl w:ilvl="8" w:tplc="418277AA">
      <w:numFmt w:val="bullet"/>
      <w:lvlText w:val="•"/>
      <w:lvlJc w:val="left"/>
      <w:pPr>
        <w:ind w:left="8185" w:hanging="708"/>
      </w:pPr>
      <w:rPr>
        <w:rFonts w:hint="default"/>
      </w:rPr>
    </w:lvl>
  </w:abstractNum>
  <w:abstractNum w:abstractNumId="2"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3747F3D"/>
    <w:multiLevelType w:val="hybridMultilevel"/>
    <w:tmpl w:val="40767F4E"/>
    <w:lvl w:ilvl="0" w:tplc="52921D46">
      <w:start w:val="1"/>
      <w:numFmt w:val="decimal"/>
      <w:lvlText w:val="%1)"/>
      <w:lvlJc w:val="left"/>
      <w:pPr>
        <w:ind w:left="324" w:hanging="211"/>
      </w:pPr>
      <w:rPr>
        <w:rFonts w:ascii="Arial" w:eastAsia="Arial" w:hAnsi="Arial" w:cs="Arial" w:hint="default"/>
        <w:b/>
        <w:bCs/>
        <w:w w:val="99"/>
        <w:sz w:val="18"/>
        <w:szCs w:val="18"/>
      </w:rPr>
    </w:lvl>
    <w:lvl w:ilvl="1" w:tplc="56D6E86C">
      <w:numFmt w:val="bullet"/>
      <w:lvlText w:val="•"/>
      <w:lvlJc w:val="left"/>
      <w:pPr>
        <w:ind w:left="1308" w:hanging="211"/>
      </w:pPr>
      <w:rPr>
        <w:rFonts w:hint="default"/>
      </w:rPr>
    </w:lvl>
    <w:lvl w:ilvl="2" w:tplc="3ACC1940">
      <w:numFmt w:val="bullet"/>
      <w:lvlText w:val="•"/>
      <w:lvlJc w:val="left"/>
      <w:pPr>
        <w:ind w:left="2296" w:hanging="211"/>
      </w:pPr>
      <w:rPr>
        <w:rFonts w:hint="default"/>
      </w:rPr>
    </w:lvl>
    <w:lvl w:ilvl="3" w:tplc="F376AC36">
      <w:numFmt w:val="bullet"/>
      <w:lvlText w:val="•"/>
      <w:lvlJc w:val="left"/>
      <w:pPr>
        <w:ind w:left="3284" w:hanging="211"/>
      </w:pPr>
      <w:rPr>
        <w:rFonts w:hint="default"/>
      </w:rPr>
    </w:lvl>
    <w:lvl w:ilvl="4" w:tplc="108A0550">
      <w:numFmt w:val="bullet"/>
      <w:lvlText w:val="•"/>
      <w:lvlJc w:val="left"/>
      <w:pPr>
        <w:ind w:left="4272" w:hanging="211"/>
      </w:pPr>
      <w:rPr>
        <w:rFonts w:hint="default"/>
      </w:rPr>
    </w:lvl>
    <w:lvl w:ilvl="5" w:tplc="2230091E">
      <w:numFmt w:val="bullet"/>
      <w:lvlText w:val="•"/>
      <w:lvlJc w:val="left"/>
      <w:pPr>
        <w:ind w:left="5260" w:hanging="211"/>
      </w:pPr>
      <w:rPr>
        <w:rFonts w:hint="default"/>
      </w:rPr>
    </w:lvl>
    <w:lvl w:ilvl="6" w:tplc="2090886A">
      <w:numFmt w:val="bullet"/>
      <w:lvlText w:val="•"/>
      <w:lvlJc w:val="left"/>
      <w:pPr>
        <w:ind w:left="6249" w:hanging="211"/>
      </w:pPr>
      <w:rPr>
        <w:rFonts w:hint="default"/>
      </w:rPr>
    </w:lvl>
    <w:lvl w:ilvl="7" w:tplc="E456640C">
      <w:numFmt w:val="bullet"/>
      <w:lvlText w:val="•"/>
      <w:lvlJc w:val="left"/>
      <w:pPr>
        <w:ind w:left="7237" w:hanging="211"/>
      </w:pPr>
      <w:rPr>
        <w:rFonts w:hint="default"/>
      </w:rPr>
    </w:lvl>
    <w:lvl w:ilvl="8" w:tplc="B560C99A">
      <w:numFmt w:val="bullet"/>
      <w:lvlText w:val="•"/>
      <w:lvlJc w:val="left"/>
      <w:pPr>
        <w:ind w:left="8225" w:hanging="211"/>
      </w:pPr>
      <w:rPr>
        <w:rFonts w:hint="default"/>
      </w:rPr>
    </w:lvl>
  </w:abstractNum>
  <w:abstractNum w:abstractNumId="4"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B"/>
    <w:rsid w:val="00086D7C"/>
    <w:rsid w:val="000D0C9C"/>
    <w:rsid w:val="001B1293"/>
    <w:rsid w:val="001E70E4"/>
    <w:rsid w:val="001F3ECC"/>
    <w:rsid w:val="002C610E"/>
    <w:rsid w:val="002C7634"/>
    <w:rsid w:val="00394F5E"/>
    <w:rsid w:val="003A0E17"/>
    <w:rsid w:val="003B51CB"/>
    <w:rsid w:val="004210F1"/>
    <w:rsid w:val="004832C6"/>
    <w:rsid w:val="00577BC6"/>
    <w:rsid w:val="00603A5D"/>
    <w:rsid w:val="00641FCF"/>
    <w:rsid w:val="00653136"/>
    <w:rsid w:val="00690E7B"/>
    <w:rsid w:val="006924D7"/>
    <w:rsid w:val="006D608C"/>
    <w:rsid w:val="007538D1"/>
    <w:rsid w:val="007C1623"/>
    <w:rsid w:val="007C3735"/>
    <w:rsid w:val="008B5D2C"/>
    <w:rsid w:val="00991766"/>
    <w:rsid w:val="00A03B21"/>
    <w:rsid w:val="00A73610"/>
    <w:rsid w:val="00A85DF1"/>
    <w:rsid w:val="00AE19C8"/>
    <w:rsid w:val="00B67A4E"/>
    <w:rsid w:val="00C34964"/>
    <w:rsid w:val="00C472BA"/>
    <w:rsid w:val="00C91E35"/>
    <w:rsid w:val="00C92CF2"/>
    <w:rsid w:val="00C958D0"/>
    <w:rsid w:val="00CB7A43"/>
    <w:rsid w:val="00CD6203"/>
    <w:rsid w:val="00E92AD8"/>
    <w:rsid w:val="00F938CD"/>
    <w:rsid w:val="00FC0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0DAF"/>
  <w15:chartTrackingRefBased/>
  <w15:docId w15:val="{5EA62AF8-D1ED-440A-8342-6C78F42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90E7B"/>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90E7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0E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90E7B"/>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690E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90E7B"/>
    <w:rPr>
      <w:rFonts w:ascii="Arial" w:eastAsia="Times New Roman" w:hAnsi="Arial" w:cs="Arial"/>
      <w:sz w:val="18"/>
      <w:szCs w:val="20"/>
      <w:lang w:val="es-ES" w:eastAsia="es-ES"/>
    </w:rPr>
  </w:style>
  <w:style w:type="paragraph" w:styleId="Prrafodelista">
    <w:name w:val="List Paragraph"/>
    <w:basedOn w:val="Normal"/>
    <w:link w:val="PrrafodelistaCar"/>
    <w:uiPriority w:val="1"/>
    <w:qFormat/>
    <w:rsid w:val="00690E7B"/>
    <w:pPr>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90E7B"/>
    <w:pPr>
      <w:spacing w:after="12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690E7B"/>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1"/>
    <w:locked/>
    <w:rsid w:val="00690E7B"/>
    <w:rPr>
      <w:rFonts w:ascii="Times New Roman" w:eastAsia="Times New Roman" w:hAnsi="Times New Roman" w:cs="Times New Roman"/>
      <w:sz w:val="24"/>
      <w:szCs w:val="24"/>
      <w:lang w:val="es-ES" w:eastAsia="es-ES"/>
    </w:rPr>
  </w:style>
  <w:style w:type="paragraph" w:customStyle="1" w:styleId="Default">
    <w:name w:val="Default"/>
    <w:rsid w:val="00690E7B"/>
    <w:pPr>
      <w:autoSpaceDE w:val="0"/>
      <w:autoSpaceDN w:val="0"/>
      <w:adjustRightInd w:val="0"/>
    </w:pPr>
    <w:rPr>
      <w:rFonts w:ascii="Arial" w:eastAsia="Calibri" w:hAnsi="Arial" w:cs="Arial"/>
      <w:color w:val="000000"/>
      <w:sz w:val="24"/>
      <w:szCs w:val="24"/>
      <w:lang w:eastAsia="es-MX"/>
    </w:rPr>
  </w:style>
  <w:style w:type="paragraph" w:styleId="Textodeglobo">
    <w:name w:val="Balloon Text"/>
    <w:basedOn w:val="Normal"/>
    <w:link w:val="TextodegloboCar"/>
    <w:uiPriority w:val="99"/>
    <w:semiHidden/>
    <w:unhideWhenUsed/>
    <w:rsid w:val="00690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22">
      <w:bodyDiv w:val="1"/>
      <w:marLeft w:val="0"/>
      <w:marRight w:val="0"/>
      <w:marTop w:val="0"/>
      <w:marBottom w:val="0"/>
      <w:divBdr>
        <w:top w:val="none" w:sz="0" w:space="0" w:color="auto"/>
        <w:left w:val="none" w:sz="0" w:space="0" w:color="auto"/>
        <w:bottom w:val="none" w:sz="0" w:space="0" w:color="auto"/>
        <w:right w:val="none" w:sz="0" w:space="0" w:color="auto"/>
      </w:divBdr>
    </w:div>
    <w:div w:id="41565968">
      <w:bodyDiv w:val="1"/>
      <w:marLeft w:val="0"/>
      <w:marRight w:val="0"/>
      <w:marTop w:val="0"/>
      <w:marBottom w:val="0"/>
      <w:divBdr>
        <w:top w:val="none" w:sz="0" w:space="0" w:color="auto"/>
        <w:left w:val="none" w:sz="0" w:space="0" w:color="auto"/>
        <w:bottom w:val="none" w:sz="0" w:space="0" w:color="auto"/>
        <w:right w:val="none" w:sz="0" w:space="0" w:color="auto"/>
      </w:divBdr>
    </w:div>
    <w:div w:id="191461296">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660277734">
      <w:bodyDiv w:val="1"/>
      <w:marLeft w:val="0"/>
      <w:marRight w:val="0"/>
      <w:marTop w:val="0"/>
      <w:marBottom w:val="0"/>
      <w:divBdr>
        <w:top w:val="none" w:sz="0" w:space="0" w:color="auto"/>
        <w:left w:val="none" w:sz="0" w:space="0" w:color="auto"/>
        <w:bottom w:val="none" w:sz="0" w:space="0" w:color="auto"/>
        <w:right w:val="none" w:sz="0" w:space="0" w:color="auto"/>
      </w:divBdr>
    </w:div>
    <w:div w:id="926353020">
      <w:bodyDiv w:val="1"/>
      <w:marLeft w:val="0"/>
      <w:marRight w:val="0"/>
      <w:marTop w:val="0"/>
      <w:marBottom w:val="0"/>
      <w:divBdr>
        <w:top w:val="none" w:sz="0" w:space="0" w:color="auto"/>
        <w:left w:val="none" w:sz="0" w:space="0" w:color="auto"/>
        <w:bottom w:val="none" w:sz="0" w:space="0" w:color="auto"/>
        <w:right w:val="none" w:sz="0" w:space="0" w:color="auto"/>
      </w:divBdr>
    </w:div>
    <w:div w:id="1229656293">
      <w:bodyDiv w:val="1"/>
      <w:marLeft w:val="0"/>
      <w:marRight w:val="0"/>
      <w:marTop w:val="0"/>
      <w:marBottom w:val="0"/>
      <w:divBdr>
        <w:top w:val="none" w:sz="0" w:space="0" w:color="auto"/>
        <w:left w:val="none" w:sz="0" w:space="0" w:color="auto"/>
        <w:bottom w:val="none" w:sz="0" w:space="0" w:color="auto"/>
        <w:right w:val="none" w:sz="0" w:space="0" w:color="auto"/>
      </w:divBdr>
    </w:div>
    <w:div w:id="1437363973">
      <w:bodyDiv w:val="1"/>
      <w:marLeft w:val="0"/>
      <w:marRight w:val="0"/>
      <w:marTop w:val="0"/>
      <w:marBottom w:val="0"/>
      <w:divBdr>
        <w:top w:val="none" w:sz="0" w:space="0" w:color="auto"/>
        <w:left w:val="none" w:sz="0" w:space="0" w:color="auto"/>
        <w:bottom w:val="none" w:sz="0" w:space="0" w:color="auto"/>
        <w:right w:val="none" w:sz="0" w:space="0" w:color="auto"/>
      </w:divBdr>
    </w:div>
    <w:div w:id="1531603021">
      <w:bodyDiv w:val="1"/>
      <w:marLeft w:val="0"/>
      <w:marRight w:val="0"/>
      <w:marTop w:val="0"/>
      <w:marBottom w:val="0"/>
      <w:divBdr>
        <w:top w:val="none" w:sz="0" w:space="0" w:color="auto"/>
        <w:left w:val="none" w:sz="0" w:space="0" w:color="auto"/>
        <w:bottom w:val="none" w:sz="0" w:space="0" w:color="auto"/>
        <w:right w:val="none" w:sz="0" w:space="0" w:color="auto"/>
      </w:divBdr>
    </w:div>
    <w:div w:id="1614938189">
      <w:bodyDiv w:val="1"/>
      <w:marLeft w:val="0"/>
      <w:marRight w:val="0"/>
      <w:marTop w:val="0"/>
      <w:marBottom w:val="0"/>
      <w:divBdr>
        <w:top w:val="none" w:sz="0" w:space="0" w:color="auto"/>
        <w:left w:val="none" w:sz="0" w:space="0" w:color="auto"/>
        <w:bottom w:val="none" w:sz="0" w:space="0" w:color="auto"/>
        <w:right w:val="none" w:sz="0" w:space="0" w:color="auto"/>
      </w:divBdr>
    </w:div>
    <w:div w:id="1742100022">
      <w:bodyDiv w:val="1"/>
      <w:marLeft w:val="0"/>
      <w:marRight w:val="0"/>
      <w:marTop w:val="0"/>
      <w:marBottom w:val="0"/>
      <w:divBdr>
        <w:top w:val="none" w:sz="0" w:space="0" w:color="auto"/>
        <w:left w:val="none" w:sz="0" w:space="0" w:color="auto"/>
        <w:bottom w:val="none" w:sz="0" w:space="0" w:color="auto"/>
        <w:right w:val="none" w:sz="0" w:space="0" w:color="auto"/>
      </w:divBdr>
    </w:div>
    <w:div w:id="20228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udis.guanajuat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Hoja_de_c_lculo_de_Microsoft_Excel.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4359</Words>
  <Characters>23977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dc:creator>
  <cp:keywords/>
  <dc:description/>
  <cp:lastModifiedBy>Maleni</cp:lastModifiedBy>
  <cp:revision>3</cp:revision>
  <cp:lastPrinted>2022-01-27T18:31:00Z</cp:lastPrinted>
  <dcterms:created xsi:type="dcterms:W3CDTF">2022-01-27T20:58:00Z</dcterms:created>
  <dcterms:modified xsi:type="dcterms:W3CDTF">2022-04-22T17:31:00Z</dcterms:modified>
</cp:coreProperties>
</file>