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6CF77CA6" w14:textId="77777777" w:rsidR="007D1E76" w:rsidRPr="00E74967" w:rsidRDefault="003361A4" w:rsidP="007D1E76">
      <w:pPr>
        <w:spacing w:after="0" w:line="240" w:lineRule="auto"/>
        <w:jc w:val="center"/>
        <w:rPr>
          <w:rFonts w:cs="Calibri"/>
          <w:b/>
          <w:sz w:val="28"/>
          <w:szCs w:val="28"/>
        </w:rPr>
      </w:pPr>
      <w:r>
        <w:rPr>
          <w:rStyle w:val="Hipervnculo"/>
          <w:rFonts w:cs="Calibri"/>
          <w:b/>
          <w:sz w:val="28"/>
          <w:szCs w:val="28"/>
        </w:rPr>
        <w:fldChar w:fldCharType="begin"/>
      </w:r>
      <w:r>
        <w:rPr>
          <w:rStyle w:val="Hipervnculo"/>
          <w:rFonts w:cs="Calibri"/>
          <w:b/>
          <w:sz w:val="28"/>
          <w:szCs w:val="28"/>
        </w:rPr>
        <w:instrText xml:space="preserve"> HYPERLINK "file:///C:/Users/acorona/lquiroz/AppData/Local/Microsoft/Windows/Temporary%20Internet%20Files/Content.Outlook/HBGSO9P3/MODELO%20CTA%202013.pptx" </w:instrText>
      </w:r>
      <w:r>
        <w:rPr>
          <w:rStyle w:val="Hipervnculo"/>
          <w:rFonts w:cs="Calibri"/>
          <w:b/>
          <w:sz w:val="28"/>
          <w:szCs w:val="28"/>
        </w:rP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6D75E815" w14:textId="77777777" w:rsidR="007D1E76" w:rsidRPr="00E74967" w:rsidRDefault="007D1E76" w:rsidP="007D1E76">
      <w:pPr>
        <w:spacing w:after="0" w:line="240" w:lineRule="auto"/>
        <w:jc w:val="both"/>
        <w:rPr>
          <w:rFonts w:cs="Calibri"/>
        </w:rPr>
      </w:pPr>
    </w:p>
    <w:p w14:paraId="5F557087" w14:textId="77777777" w:rsidR="007D1E76" w:rsidRPr="00E74967" w:rsidRDefault="007D1E76" w:rsidP="007D1E76">
      <w:pPr>
        <w:spacing w:after="0" w:line="240" w:lineRule="auto"/>
        <w:jc w:val="both"/>
        <w:rPr>
          <w:rFonts w:cs="Calibri"/>
        </w:rPr>
      </w:pPr>
    </w:p>
    <w:p w14:paraId="6BCAD17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Los Estados Financieros de los entes públicos, proveen de información financiera a los principales usuarios de la misma, al</w:t>
      </w:r>
      <w:r w:rsidR="00E00323" w:rsidRPr="007F5EAA">
        <w:rPr>
          <w:rFonts w:asciiTheme="minorHAnsi" w:hAnsiTheme="minorHAnsi" w:cs="Calibri"/>
        </w:rPr>
        <w:t xml:space="preserve"> Congreso y a los ciudadanos.</w:t>
      </w:r>
    </w:p>
    <w:p w14:paraId="5ED2CE0C" w14:textId="77777777" w:rsidR="007D1E76" w:rsidRPr="007F5EAA" w:rsidRDefault="007D1E76" w:rsidP="007D1E76">
      <w:pPr>
        <w:spacing w:after="0" w:line="240" w:lineRule="auto"/>
        <w:jc w:val="both"/>
        <w:rPr>
          <w:rFonts w:asciiTheme="minorHAnsi" w:hAnsiTheme="minorHAnsi" w:cs="Calibri"/>
        </w:rPr>
      </w:pPr>
    </w:p>
    <w:p w14:paraId="58377A1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7F5EAA">
        <w:rPr>
          <w:rFonts w:asciiTheme="minorHAnsi" w:hAnsiTheme="minorHAnsi" w:cs="Calibri"/>
        </w:rPr>
        <w:t>ismos y sus particularidades.</w:t>
      </w:r>
    </w:p>
    <w:p w14:paraId="635405D2" w14:textId="77777777" w:rsidR="007D1E76" w:rsidRPr="007F5EAA" w:rsidRDefault="007D1E76" w:rsidP="007D1E76">
      <w:pPr>
        <w:spacing w:after="0" w:line="240" w:lineRule="auto"/>
        <w:jc w:val="both"/>
        <w:rPr>
          <w:rFonts w:asciiTheme="minorHAnsi" w:hAnsiTheme="minorHAnsi" w:cs="Calibri"/>
        </w:rPr>
      </w:pPr>
    </w:p>
    <w:p w14:paraId="297022F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7F5EAA">
        <w:rPr>
          <w:rFonts w:asciiTheme="minorHAnsi" w:hAnsiTheme="minorHAnsi" w:cs="Calibri"/>
        </w:rPr>
        <w:t>ones en períodos posteriores.</w:t>
      </w:r>
    </w:p>
    <w:p w14:paraId="4DFABAEB" w14:textId="77777777" w:rsidR="007D1E76" w:rsidRPr="007F5EAA" w:rsidRDefault="007D1E76" w:rsidP="007D1E76">
      <w:pPr>
        <w:pStyle w:val="Prrafodelista"/>
        <w:spacing w:after="0" w:line="240" w:lineRule="auto"/>
        <w:jc w:val="both"/>
        <w:rPr>
          <w:rFonts w:asciiTheme="minorHAnsi" w:hAnsiTheme="minorHAnsi" w:cs="Calibri"/>
        </w:rPr>
      </w:pPr>
    </w:p>
    <w:p w14:paraId="26E1AB01" w14:textId="77777777" w:rsidR="007D1E76" w:rsidRPr="007F5EAA" w:rsidRDefault="007D1E76" w:rsidP="007D1E76">
      <w:pPr>
        <w:pStyle w:val="Prrafodelista"/>
        <w:numPr>
          <w:ilvl w:val="0"/>
          <w:numId w:val="1"/>
        </w:numPr>
        <w:spacing w:after="0" w:line="240" w:lineRule="auto"/>
        <w:jc w:val="both"/>
        <w:rPr>
          <w:rFonts w:asciiTheme="minorHAnsi" w:hAnsiTheme="minorHAnsi" w:cs="Calibri"/>
        </w:rPr>
      </w:pPr>
      <w:r w:rsidRPr="007F5EAA">
        <w:rPr>
          <w:rFonts w:asciiTheme="minorHAnsi" w:hAnsiTheme="minorHAnsi" w:cs="Calibri"/>
        </w:rPr>
        <w:t>Las notas de gestión administrativa deben contener los siguientes puntos:</w:t>
      </w:r>
    </w:p>
    <w:p w14:paraId="3A6A12D7" w14:textId="77777777" w:rsidR="007D1E76" w:rsidRPr="007F5EAA" w:rsidRDefault="007D1E76" w:rsidP="007D1E76">
      <w:pPr>
        <w:spacing w:after="0" w:line="240" w:lineRule="auto"/>
        <w:jc w:val="both"/>
        <w:rPr>
          <w:rFonts w:asciiTheme="minorHAnsi" w:hAnsiTheme="minorHAnsi" w:cs="Calibri"/>
        </w:rPr>
      </w:pPr>
    </w:p>
    <w:p w14:paraId="126194E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1. Introducción:</w:t>
      </w:r>
    </w:p>
    <w:p w14:paraId="449A30B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Breve descripción de las actividades principales de la entidad.</w:t>
      </w:r>
    </w:p>
    <w:p w14:paraId="6A4CC628" w14:textId="77777777" w:rsidR="007D1E76" w:rsidRPr="007F5EAA" w:rsidRDefault="00201E17" w:rsidP="007D1E76">
      <w:pPr>
        <w:spacing w:after="0" w:line="240" w:lineRule="auto"/>
        <w:jc w:val="both"/>
        <w:rPr>
          <w:rFonts w:asciiTheme="minorHAnsi" w:hAnsiTheme="minorHAnsi" w:cs="Calibri"/>
          <w:u w:val="single"/>
        </w:rPr>
      </w:pPr>
      <w:r w:rsidRPr="007F5EAA">
        <w:rPr>
          <w:rFonts w:asciiTheme="minorHAnsi" w:hAnsiTheme="minorHAnsi" w:cs="Calibri"/>
          <w:u w:val="single"/>
        </w:rPr>
        <w:t>Realización de actividades agrícolas y agroindustriales con fines formativos, de capacitación, de investigación e innovación, producción, explotación y comercialización por conducto de la propia empresa de participación estatal, así como por las instituciones educativas, centros de capacitación y de investigación o por las empresas y organismos públicos o privados que operen en sus instalaciones.</w:t>
      </w:r>
    </w:p>
    <w:p w14:paraId="1E5AE445" w14:textId="77777777" w:rsidR="007D1E76" w:rsidRPr="007F5EAA" w:rsidRDefault="007D1E76" w:rsidP="007D1E76">
      <w:pPr>
        <w:spacing w:after="0" w:line="240" w:lineRule="auto"/>
        <w:jc w:val="both"/>
        <w:rPr>
          <w:rFonts w:asciiTheme="minorHAnsi" w:hAnsiTheme="minorHAnsi" w:cs="Calibri"/>
        </w:rPr>
      </w:pPr>
    </w:p>
    <w:p w14:paraId="1FF3E896"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2. Describir el pan</w:t>
      </w:r>
      <w:r w:rsidR="00E00323" w:rsidRPr="007F5EAA">
        <w:rPr>
          <w:rFonts w:asciiTheme="minorHAnsi" w:hAnsiTheme="minorHAnsi" w:cs="Calibri"/>
          <w:b/>
        </w:rPr>
        <w:t>orama Económico y Financiero:</w:t>
      </w:r>
    </w:p>
    <w:p w14:paraId="6B2E7AD6" w14:textId="77777777" w:rsidR="007D1E76" w:rsidRPr="007F5EAA" w:rsidRDefault="007D1E76" w:rsidP="007D1E76">
      <w:pPr>
        <w:spacing w:after="0" w:line="240" w:lineRule="auto"/>
        <w:jc w:val="both"/>
        <w:rPr>
          <w:rFonts w:asciiTheme="minorHAnsi" w:hAnsiTheme="minorHAnsi" w:cs="Calibri"/>
        </w:rPr>
      </w:pPr>
    </w:p>
    <w:p w14:paraId="712B545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informará sobre las principales condiciones económico-financieras bajo las cuales el ente público estuvo operando; y las cuales influyeron en la toma de</w:t>
      </w:r>
      <w:r w:rsidR="00AF175B">
        <w:rPr>
          <w:rFonts w:asciiTheme="minorHAnsi" w:hAnsiTheme="minorHAnsi" w:cs="Calibri"/>
        </w:rPr>
        <w:t xml:space="preserve"> decisiones de la administración.</w:t>
      </w:r>
    </w:p>
    <w:p w14:paraId="26502790" w14:textId="77777777" w:rsidR="00312FF5" w:rsidRPr="007F5EAA" w:rsidRDefault="00312FF5" w:rsidP="007D1E76">
      <w:pPr>
        <w:spacing w:after="0" w:line="240" w:lineRule="auto"/>
        <w:jc w:val="both"/>
        <w:rPr>
          <w:rFonts w:asciiTheme="minorHAnsi" w:hAnsiTheme="minorHAnsi" w:cs="Calibri"/>
        </w:rPr>
      </w:pPr>
    </w:p>
    <w:p w14:paraId="6C0A8691"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3. Autoriza</w:t>
      </w:r>
      <w:r w:rsidR="00E00323" w:rsidRPr="007F5EAA">
        <w:rPr>
          <w:rFonts w:asciiTheme="minorHAnsi" w:hAnsiTheme="minorHAnsi" w:cs="Calibri"/>
          <w:b/>
        </w:rPr>
        <w:t>ción e Historia:</w:t>
      </w:r>
    </w:p>
    <w:p w14:paraId="6AD95EE9" w14:textId="77777777" w:rsidR="007D1E76" w:rsidRPr="007F5EAA" w:rsidRDefault="007D1E76" w:rsidP="007D1E76">
      <w:pPr>
        <w:spacing w:after="0" w:line="240" w:lineRule="auto"/>
        <w:jc w:val="both"/>
        <w:rPr>
          <w:rFonts w:asciiTheme="minorHAnsi" w:hAnsiTheme="minorHAnsi" w:cs="Calibri"/>
        </w:rPr>
      </w:pPr>
    </w:p>
    <w:p w14:paraId="301B02C3"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Fecha de creación del ente.</w:t>
      </w:r>
    </w:p>
    <w:p w14:paraId="1745BEE5" w14:textId="77777777" w:rsidR="007D1E76" w:rsidRPr="007F5EAA" w:rsidRDefault="005279F2" w:rsidP="005279F2">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 xml:space="preserve">Creado mediante decreto Gubernativo 182, con fecha del 7 de </w:t>
      </w:r>
      <w:proofErr w:type="gramStart"/>
      <w:r w:rsidRPr="007F5EAA">
        <w:rPr>
          <w:rFonts w:asciiTheme="minorHAnsi" w:eastAsia="Times New Roman" w:hAnsiTheme="minorHAnsi" w:cs="Arial"/>
          <w:u w:val="single"/>
          <w:lang w:val="es-ES" w:eastAsia="es-ES"/>
        </w:rPr>
        <w:t>Octubre</w:t>
      </w:r>
      <w:proofErr w:type="gramEnd"/>
      <w:r w:rsidRPr="007F5EAA">
        <w:rPr>
          <w:rFonts w:asciiTheme="minorHAnsi" w:eastAsia="Times New Roman" w:hAnsiTheme="minorHAnsi" w:cs="Arial"/>
          <w:u w:val="single"/>
          <w:lang w:val="es-ES" w:eastAsia="es-ES"/>
        </w:rPr>
        <w:t xml:space="preserve"> de 2011. </w:t>
      </w:r>
    </w:p>
    <w:p w14:paraId="69B918AD" w14:textId="77777777" w:rsidR="00201E17" w:rsidRPr="007F5EAA" w:rsidRDefault="00201E17" w:rsidP="005279F2">
      <w:pPr>
        <w:spacing w:after="0" w:line="240" w:lineRule="auto"/>
        <w:jc w:val="both"/>
        <w:rPr>
          <w:rFonts w:asciiTheme="minorHAnsi" w:hAnsiTheme="minorHAnsi" w:cs="Calibri"/>
        </w:rPr>
      </w:pPr>
    </w:p>
    <w:p w14:paraId="7CF49B9B" w14:textId="77777777" w:rsidR="005279F2" w:rsidRPr="007F5EAA" w:rsidRDefault="007D1E76" w:rsidP="005279F2">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Principales cambios en su estructura (interna históricamente).</w:t>
      </w:r>
    </w:p>
    <w:p w14:paraId="4F0285B0" w14:textId="77777777" w:rsidR="005279F2" w:rsidRPr="007F5EAA" w:rsidRDefault="005279F2" w:rsidP="005279F2">
      <w:pPr>
        <w:spacing w:after="0" w:line="240" w:lineRule="auto"/>
        <w:jc w:val="both"/>
        <w:rPr>
          <w:rFonts w:asciiTheme="minorHAnsi" w:hAnsiTheme="minorHAnsi" w:cs="Calibri"/>
          <w:u w:val="single"/>
        </w:rPr>
      </w:pPr>
      <w:r w:rsidRPr="007F5EAA">
        <w:rPr>
          <w:rFonts w:asciiTheme="minorHAnsi" w:eastAsia="Times New Roman" w:hAnsiTheme="minorHAnsi" w:cs="Arial"/>
          <w:color w:val="000000"/>
          <w:u w:val="single"/>
          <w:shd w:val="clear" w:color="auto" w:fill="FFFFFF"/>
          <w:lang w:val="es-ES" w:eastAsia="es-ES"/>
        </w:rPr>
        <w:t>El Parque, estará dedicado a la educación, investigación, desarrollo de producto, formación de liderazgo, transferencia tecnológica, e innovación del sector agrícola para incrementar su competitividad y sustentabilidad en los siguientes años. Este Parque es único en su tipo en Latinoamérica, pues en él se suma un Parque Agroindustrial, Área de Producción y Transferencia Tecnológica, Centro Educativo, Centro de Logística y Comercialización; componentes a desarrollar en una extensión de 970 hectáreas ubicadas entre los municipios de Juventino Rosas, Salamanca y Villagrán.</w:t>
      </w:r>
    </w:p>
    <w:p w14:paraId="2ECF9EDC" w14:textId="77777777" w:rsidR="007D1E76" w:rsidRPr="007F5EAA" w:rsidRDefault="007D1E76" w:rsidP="007D1E76">
      <w:pPr>
        <w:spacing w:after="0" w:line="240" w:lineRule="auto"/>
        <w:jc w:val="both"/>
        <w:rPr>
          <w:rFonts w:asciiTheme="minorHAnsi" w:hAnsiTheme="minorHAnsi" w:cs="Calibri"/>
        </w:rPr>
      </w:pPr>
    </w:p>
    <w:p w14:paraId="6E0E234E"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4. </w:t>
      </w:r>
      <w:r w:rsidR="00E00323" w:rsidRPr="007F5EAA">
        <w:rPr>
          <w:rFonts w:asciiTheme="minorHAnsi" w:hAnsiTheme="minorHAnsi" w:cs="Calibri"/>
          <w:b/>
        </w:rPr>
        <w:t>Organización y Objeto Social:</w:t>
      </w:r>
    </w:p>
    <w:p w14:paraId="2F6D48D2" w14:textId="77777777" w:rsidR="007D1E76" w:rsidRPr="007F5EAA" w:rsidRDefault="007D1E76" w:rsidP="007D1E76">
      <w:pPr>
        <w:spacing w:after="0" w:line="240" w:lineRule="auto"/>
        <w:jc w:val="both"/>
        <w:rPr>
          <w:rFonts w:asciiTheme="minorHAnsi" w:hAnsiTheme="minorHAnsi" w:cs="Calibri"/>
        </w:rPr>
      </w:pPr>
    </w:p>
    <w:p w14:paraId="0E8F5FE8"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Objeto social.</w:t>
      </w:r>
    </w:p>
    <w:p w14:paraId="2D5F02ED" w14:textId="77777777" w:rsidR="00270608" w:rsidRPr="007F5EAA" w:rsidRDefault="00270608" w:rsidP="00270608">
      <w:pPr>
        <w:spacing w:after="0" w:line="240" w:lineRule="auto"/>
        <w:jc w:val="both"/>
        <w:rPr>
          <w:rFonts w:asciiTheme="minorHAnsi" w:hAnsiTheme="minorHAnsi" w:cs="Calibri"/>
          <w:u w:val="single"/>
        </w:rPr>
      </w:pPr>
      <w:r w:rsidRPr="007F5EAA">
        <w:rPr>
          <w:rFonts w:asciiTheme="minorHAnsi" w:eastAsia="Times New Roman" w:hAnsiTheme="minorHAnsi" w:cs="Arial"/>
          <w:u w:val="single"/>
          <w:lang w:val="es-ES" w:eastAsia="es-ES"/>
        </w:rPr>
        <w:t>El principal objeto de la sociedad entre otros es el Impulsar, potenciar, fomentar, y ejecutar el desarrollo formativo y agro tecnológico para los pequeños y medianos agricultores del Estado de Guanajuato.</w:t>
      </w:r>
    </w:p>
    <w:p w14:paraId="3100080E" w14:textId="77777777" w:rsidR="007D1E76" w:rsidRDefault="007D1E76" w:rsidP="007D1E76">
      <w:pPr>
        <w:spacing w:after="0" w:line="240" w:lineRule="auto"/>
        <w:jc w:val="both"/>
        <w:rPr>
          <w:rFonts w:asciiTheme="minorHAnsi" w:hAnsiTheme="minorHAnsi" w:cs="Calibri"/>
        </w:rPr>
      </w:pPr>
    </w:p>
    <w:p w14:paraId="6941BF46" w14:textId="77777777" w:rsidR="00743880" w:rsidRDefault="00743880" w:rsidP="007D1E76">
      <w:pPr>
        <w:spacing w:after="0" w:line="240" w:lineRule="auto"/>
        <w:jc w:val="both"/>
        <w:rPr>
          <w:rFonts w:asciiTheme="minorHAnsi" w:hAnsiTheme="minorHAnsi" w:cs="Calibri"/>
        </w:rPr>
      </w:pPr>
    </w:p>
    <w:p w14:paraId="1A53D77E" w14:textId="77777777" w:rsidR="00743880" w:rsidRPr="007F5EAA" w:rsidRDefault="00743880" w:rsidP="007D1E76">
      <w:pPr>
        <w:spacing w:after="0" w:line="240" w:lineRule="auto"/>
        <w:jc w:val="both"/>
        <w:rPr>
          <w:rFonts w:asciiTheme="minorHAnsi" w:hAnsiTheme="minorHAnsi" w:cs="Calibri"/>
        </w:rPr>
      </w:pPr>
    </w:p>
    <w:p w14:paraId="1D7EC84E"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lastRenderedPageBreak/>
        <w:t>b)</w:t>
      </w:r>
      <w:r w:rsidRPr="007F5EAA">
        <w:rPr>
          <w:rFonts w:asciiTheme="minorHAnsi" w:hAnsiTheme="minorHAnsi" w:cs="Calibri"/>
        </w:rPr>
        <w:t xml:space="preserve"> Principal actividad.</w:t>
      </w:r>
    </w:p>
    <w:p w14:paraId="23D70F69" w14:textId="77777777" w:rsidR="00270608" w:rsidRPr="007F5EAA" w:rsidRDefault="00270608" w:rsidP="00270608">
      <w:pPr>
        <w:spacing w:after="0" w:line="240" w:lineRule="auto"/>
        <w:jc w:val="both"/>
        <w:rPr>
          <w:rFonts w:asciiTheme="minorHAnsi" w:hAnsiTheme="minorHAnsi" w:cs="Calibri"/>
          <w:u w:val="single"/>
        </w:rPr>
      </w:pPr>
      <w:r w:rsidRPr="007F5EAA">
        <w:rPr>
          <w:rFonts w:asciiTheme="minorHAnsi" w:eastAsia="Times New Roman" w:hAnsiTheme="minorHAnsi" w:cs="Arial"/>
          <w:u w:val="single"/>
          <w:lang w:val="es-ES" w:eastAsia="es-ES"/>
        </w:rPr>
        <w:t xml:space="preserve">La principal actividad fue la operación y administración del parque agro </w:t>
      </w:r>
      <w:proofErr w:type="gramStart"/>
      <w:r w:rsidRPr="007F5EAA">
        <w:rPr>
          <w:rFonts w:asciiTheme="minorHAnsi" w:eastAsia="Times New Roman" w:hAnsiTheme="minorHAnsi" w:cs="Arial"/>
          <w:u w:val="single"/>
          <w:lang w:val="es-ES" w:eastAsia="es-ES"/>
        </w:rPr>
        <w:t>tecnológico</w:t>
      </w:r>
      <w:proofErr w:type="gramEnd"/>
      <w:r w:rsidRPr="007F5EAA">
        <w:rPr>
          <w:rFonts w:asciiTheme="minorHAnsi" w:eastAsia="Times New Roman" w:hAnsiTheme="minorHAnsi" w:cs="Arial"/>
          <w:u w:val="single"/>
          <w:lang w:val="es-ES" w:eastAsia="es-ES"/>
        </w:rPr>
        <w:t xml:space="preserve"> así como comercializar los productos generados en participación con los diferentes agricultores.  </w:t>
      </w:r>
    </w:p>
    <w:p w14:paraId="0C76F608" w14:textId="77777777" w:rsidR="007D1E76" w:rsidRPr="007F5EAA" w:rsidRDefault="007D1E76" w:rsidP="007D1E76">
      <w:pPr>
        <w:spacing w:after="0" w:line="240" w:lineRule="auto"/>
        <w:jc w:val="both"/>
        <w:rPr>
          <w:rFonts w:asciiTheme="minorHAnsi" w:hAnsiTheme="minorHAnsi" w:cs="Calibri"/>
          <w:lang w:val="es-ES"/>
        </w:rPr>
      </w:pPr>
    </w:p>
    <w:p w14:paraId="4AC93DF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00743880">
        <w:rPr>
          <w:rFonts w:asciiTheme="minorHAnsi" w:hAnsiTheme="minorHAnsi" w:cs="Calibri"/>
        </w:rPr>
        <w:t xml:space="preserve"> Ejercicio fiscal</w:t>
      </w:r>
    </w:p>
    <w:p w14:paraId="255A0066" w14:textId="4BD5C377" w:rsidR="007D1E76" w:rsidRDefault="004721E0" w:rsidP="00D84C65">
      <w:pPr>
        <w:pStyle w:val="Sinespaciado"/>
        <w:rPr>
          <w:rFonts w:asciiTheme="minorHAnsi" w:hAnsiTheme="minorHAnsi" w:cs="Calibri"/>
        </w:rPr>
      </w:pPr>
      <w:r w:rsidRPr="00D84C65">
        <w:rPr>
          <w:rFonts w:asciiTheme="minorHAnsi" w:hAnsiTheme="minorHAnsi" w:cs="Calibri"/>
        </w:rPr>
        <w:t xml:space="preserve">Enero </w:t>
      </w:r>
      <w:r w:rsidR="00D84C65" w:rsidRPr="00D84C65">
        <w:t xml:space="preserve">a </w:t>
      </w:r>
      <w:proofErr w:type="gramStart"/>
      <w:r w:rsidR="00905CBE">
        <w:t>Septiembre</w:t>
      </w:r>
      <w:proofErr w:type="gramEnd"/>
      <w:r w:rsidR="00D84C65" w:rsidRPr="00D84C65">
        <w:t xml:space="preserve"> 2021</w:t>
      </w:r>
    </w:p>
    <w:p w14:paraId="08CE053A" w14:textId="77777777" w:rsidR="00D84C65" w:rsidRPr="007F5EAA" w:rsidRDefault="00D84C65" w:rsidP="007D1E76">
      <w:pPr>
        <w:spacing w:after="0" w:line="240" w:lineRule="auto"/>
        <w:jc w:val="both"/>
        <w:rPr>
          <w:rFonts w:asciiTheme="minorHAnsi" w:hAnsiTheme="minorHAnsi" w:cs="Calibri"/>
        </w:rPr>
      </w:pPr>
    </w:p>
    <w:p w14:paraId="62AB3013" w14:textId="77777777" w:rsidR="00743880" w:rsidRDefault="007D1E76" w:rsidP="00270608">
      <w:pPr>
        <w:spacing w:after="0" w:line="240" w:lineRule="auto"/>
        <w:jc w:val="both"/>
        <w:rPr>
          <w:rFonts w:asciiTheme="minorHAnsi" w:hAnsiTheme="minorHAnsi" w:cs="Calibri"/>
        </w:rPr>
      </w:pPr>
      <w:r w:rsidRPr="007F5EAA">
        <w:rPr>
          <w:rFonts w:asciiTheme="minorHAnsi" w:hAnsiTheme="minorHAnsi" w:cs="Calibri"/>
          <w:b/>
        </w:rPr>
        <w:t>d)</w:t>
      </w:r>
      <w:r w:rsidR="00743880">
        <w:rPr>
          <w:rFonts w:asciiTheme="minorHAnsi" w:hAnsiTheme="minorHAnsi" w:cs="Calibri"/>
        </w:rPr>
        <w:t xml:space="preserve"> Régimen jurídico</w:t>
      </w:r>
    </w:p>
    <w:p w14:paraId="5C6036F8" w14:textId="77777777" w:rsidR="00270608" w:rsidRPr="007F5EAA" w:rsidRDefault="00270608" w:rsidP="00270608">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Empresa pública de participación paraestatal mayo</w:t>
      </w:r>
      <w:r w:rsidR="00201E17" w:rsidRPr="007F5EAA">
        <w:rPr>
          <w:rFonts w:asciiTheme="minorHAnsi" w:eastAsia="Times New Roman" w:hAnsiTheme="minorHAnsi" w:cs="Arial"/>
          <w:u w:val="single"/>
          <w:lang w:val="es-ES" w:eastAsia="es-ES"/>
        </w:rPr>
        <w:t>r</w:t>
      </w:r>
      <w:r w:rsidRPr="007F5EAA">
        <w:rPr>
          <w:rFonts w:asciiTheme="minorHAnsi" w:eastAsia="Times New Roman" w:hAnsiTheme="minorHAnsi" w:cs="Arial"/>
          <w:u w:val="single"/>
          <w:lang w:val="es-ES" w:eastAsia="es-ES"/>
        </w:rPr>
        <w:t>itaria</w:t>
      </w:r>
      <w:r w:rsidR="00201E17" w:rsidRPr="007F5EAA">
        <w:rPr>
          <w:rFonts w:asciiTheme="minorHAnsi" w:eastAsia="Times New Roman" w:hAnsiTheme="minorHAnsi" w:cs="Arial"/>
          <w:u w:val="single"/>
          <w:lang w:val="es-ES" w:eastAsia="es-ES"/>
        </w:rPr>
        <w:t>.</w:t>
      </w:r>
    </w:p>
    <w:p w14:paraId="7229C1C6" w14:textId="77777777" w:rsidR="007D1E76" w:rsidRPr="007F5EAA" w:rsidRDefault="007D1E76" w:rsidP="007D1E76">
      <w:pPr>
        <w:spacing w:after="0" w:line="240" w:lineRule="auto"/>
        <w:jc w:val="both"/>
        <w:rPr>
          <w:rFonts w:asciiTheme="minorHAnsi" w:hAnsiTheme="minorHAnsi" w:cs="Calibri"/>
          <w:lang w:val="es-ES"/>
        </w:rPr>
      </w:pPr>
    </w:p>
    <w:p w14:paraId="46FBC888"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Consideraciones fiscales del ente: </w:t>
      </w:r>
      <w:r w:rsidR="00657009" w:rsidRPr="007F5EAA">
        <w:rPr>
          <w:rFonts w:asciiTheme="minorHAnsi" w:hAnsiTheme="minorHAnsi" w:cs="Calibri"/>
        </w:rPr>
        <w:t>R</w:t>
      </w:r>
      <w:r w:rsidRPr="007F5EAA">
        <w:rPr>
          <w:rFonts w:asciiTheme="minorHAnsi" w:hAnsiTheme="minorHAnsi" w:cs="Calibri"/>
        </w:rPr>
        <w:t>evelar el tipo de contribuciones que esté obligado a pagar o retener.</w:t>
      </w:r>
    </w:p>
    <w:p w14:paraId="4448F022" w14:textId="77777777" w:rsidR="00270608" w:rsidRPr="007F5EAA" w:rsidRDefault="00270608" w:rsidP="00270608">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El Parque Agro Tecnológico Xonotli por su característica es una persona moral que tributa en el Régimen de actividades agropecuarias, está sujeta al Impuesto sobre la renta propio por las utilidades que genere derivado de sus operaciones, así como sujeto retenedor de Impuestos sobre la renta por diferentes ámbitos como son honorarios a profesionales, sueldos y salarios, etc. Sus actividades para Impuesto al Valor agregado están consideradas dentro del marco legal como 0%.</w:t>
      </w:r>
    </w:p>
    <w:p w14:paraId="3D312351" w14:textId="77777777" w:rsidR="007D1E76" w:rsidRPr="007F5EAA" w:rsidRDefault="007D1E76" w:rsidP="007D1E76">
      <w:pPr>
        <w:spacing w:after="0" w:line="240" w:lineRule="auto"/>
        <w:jc w:val="both"/>
        <w:rPr>
          <w:rFonts w:asciiTheme="minorHAnsi" w:hAnsiTheme="minorHAnsi" w:cs="Calibri"/>
          <w:lang w:val="es-ES"/>
        </w:rPr>
      </w:pPr>
    </w:p>
    <w:p w14:paraId="2124A18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Estructura organizacional básica.</w:t>
      </w:r>
    </w:p>
    <w:p w14:paraId="1555C6B6" w14:textId="77777777" w:rsidR="00270608" w:rsidRDefault="00270608" w:rsidP="007D1E76">
      <w:pPr>
        <w:spacing w:after="0" w:line="240" w:lineRule="auto"/>
        <w:jc w:val="both"/>
        <w:rPr>
          <w:rFonts w:cs="Calibri"/>
        </w:rPr>
      </w:pPr>
    </w:p>
    <w:p w14:paraId="16B4E19A" w14:textId="77777777" w:rsidR="00270608" w:rsidRDefault="00AF175B" w:rsidP="003F3469">
      <w:pPr>
        <w:spacing w:after="0" w:line="240" w:lineRule="auto"/>
        <w:jc w:val="center"/>
        <w:rPr>
          <w:rFonts w:cs="Calibri"/>
          <w:noProof/>
          <w:lang w:eastAsia="es-MX"/>
        </w:rPr>
      </w:pPr>
      <w:r>
        <w:rPr>
          <w:rFonts w:cs="Calibri"/>
          <w:noProof/>
          <w:lang w:eastAsia="es-MX"/>
        </w:rPr>
        <w:drawing>
          <wp:inline distT="0" distB="0" distL="0" distR="0" wp14:anchorId="5966DB82" wp14:editId="59FFF54C">
            <wp:extent cx="5074920"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2168" cy="3147739"/>
                    </a:xfrm>
                    <a:prstGeom prst="rect">
                      <a:avLst/>
                    </a:prstGeom>
                    <a:noFill/>
                  </pic:spPr>
                </pic:pic>
              </a:graphicData>
            </a:graphic>
          </wp:inline>
        </w:drawing>
      </w:r>
    </w:p>
    <w:p w14:paraId="343F8E3D" w14:textId="77777777" w:rsidR="003F3469" w:rsidRDefault="003F3469" w:rsidP="007D1E76">
      <w:pPr>
        <w:spacing w:after="0" w:line="240" w:lineRule="auto"/>
        <w:jc w:val="both"/>
        <w:rPr>
          <w:rFonts w:cs="Calibri"/>
          <w:noProof/>
          <w:lang w:eastAsia="es-MX"/>
        </w:rPr>
      </w:pPr>
    </w:p>
    <w:p w14:paraId="054083F8" w14:textId="77777777" w:rsidR="003F3469" w:rsidRDefault="003F3469" w:rsidP="007D1E76">
      <w:pPr>
        <w:spacing w:after="0" w:line="240" w:lineRule="auto"/>
        <w:jc w:val="both"/>
        <w:rPr>
          <w:rFonts w:cs="Calibri"/>
          <w:noProof/>
          <w:lang w:eastAsia="es-MX"/>
        </w:rPr>
      </w:pPr>
    </w:p>
    <w:p w14:paraId="1713715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Fideicomisos, mandatos y análogos de los cuales es fideicomitente o </w:t>
      </w:r>
      <w:r w:rsidR="00657009" w:rsidRPr="007F5EAA">
        <w:rPr>
          <w:rFonts w:asciiTheme="minorHAnsi" w:hAnsiTheme="minorHAnsi" w:cs="Calibri"/>
        </w:rPr>
        <w:t>fideicomisario</w:t>
      </w:r>
      <w:r w:rsidRPr="007F5EAA">
        <w:rPr>
          <w:rFonts w:asciiTheme="minorHAnsi" w:hAnsiTheme="minorHAnsi" w:cs="Calibri"/>
        </w:rPr>
        <w:t>.</w:t>
      </w:r>
    </w:p>
    <w:p w14:paraId="5FF03C45"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r w:rsidR="00270608" w:rsidRPr="007F5EAA">
        <w:rPr>
          <w:rFonts w:asciiTheme="minorHAnsi" w:hAnsiTheme="minorHAnsi" w:cs="Calibri"/>
          <w:u w:val="single"/>
        </w:rPr>
        <w:t>. No se cuenta con la figura de fideicomiso.</w:t>
      </w:r>
    </w:p>
    <w:p w14:paraId="1E451436" w14:textId="77777777" w:rsidR="007D1E76" w:rsidRPr="007F5EAA" w:rsidRDefault="007D1E76" w:rsidP="007D1E76">
      <w:pPr>
        <w:spacing w:after="0" w:line="240" w:lineRule="auto"/>
        <w:jc w:val="both"/>
        <w:rPr>
          <w:rFonts w:asciiTheme="minorHAnsi" w:hAnsiTheme="minorHAnsi" w:cs="Calibri"/>
        </w:rPr>
      </w:pPr>
    </w:p>
    <w:p w14:paraId="5B2519BB"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5. Bases de Preparació</w:t>
      </w:r>
      <w:r w:rsidR="00E00323" w:rsidRPr="007F5EAA">
        <w:rPr>
          <w:rFonts w:asciiTheme="minorHAnsi" w:hAnsiTheme="minorHAnsi" w:cs="Calibri"/>
          <w:b/>
        </w:rPr>
        <w:t>n de los Estados Financieros:</w:t>
      </w:r>
    </w:p>
    <w:p w14:paraId="39590B07" w14:textId="77777777" w:rsidR="007D1E76" w:rsidRPr="007F5EAA" w:rsidRDefault="007D1E76" w:rsidP="007D1E76">
      <w:pPr>
        <w:spacing w:after="0" w:line="240" w:lineRule="auto"/>
        <w:jc w:val="both"/>
        <w:rPr>
          <w:rFonts w:asciiTheme="minorHAnsi" w:hAnsiTheme="minorHAnsi" w:cs="Calibri"/>
        </w:rPr>
      </w:pPr>
    </w:p>
    <w:p w14:paraId="2808DB3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Si se ha observado la normatividad emitida por el CONAC y las disposiciones legales aplicables.</w:t>
      </w:r>
    </w:p>
    <w:p w14:paraId="76CDC3DC" w14:textId="77777777" w:rsidR="00A9647E" w:rsidRPr="007F5EAA" w:rsidRDefault="00A9647E" w:rsidP="00A9647E">
      <w:pPr>
        <w:spacing w:after="0" w:line="240" w:lineRule="auto"/>
        <w:jc w:val="both"/>
        <w:rPr>
          <w:rFonts w:asciiTheme="minorHAnsi" w:eastAsia="Times New Roman" w:hAnsiTheme="minorHAnsi" w:cs="Arial"/>
          <w:b/>
          <w:u w:val="single"/>
          <w:lang w:val="es-ES" w:eastAsia="es-ES"/>
        </w:rPr>
      </w:pPr>
      <w:r w:rsidRPr="007F5EAA">
        <w:rPr>
          <w:rFonts w:asciiTheme="minorHAnsi" w:eastAsia="Times New Roman" w:hAnsiTheme="minorHAnsi" w:cs="Arial"/>
          <w:u w:val="single"/>
          <w:lang w:val="es-ES" w:eastAsia="es-ES"/>
        </w:rPr>
        <w:t>El 31 de diciembre de 2008 fue publicada en el Diario Oficial de la Federación la Ley General de Contabilidad Gubernamental (“Ley de Contabilidad”), que tiene como objeto establecer los criterios generales que regirán la Contabilidad Gubernamental y la emisión de Información Financiera de los Entes Públicos.</w:t>
      </w:r>
      <w:r w:rsidR="00AF1AC2" w:rsidRPr="007F5EAA">
        <w:rPr>
          <w:rFonts w:asciiTheme="minorHAnsi" w:eastAsia="Times New Roman" w:hAnsiTheme="minorHAnsi" w:cs="Arial"/>
          <w:u w:val="single"/>
          <w:lang w:val="es-ES" w:eastAsia="es-ES"/>
        </w:rPr>
        <w:t xml:space="preserve"> Ya que </w:t>
      </w:r>
      <w:r w:rsidR="00FC7AC6" w:rsidRPr="007F5EAA">
        <w:rPr>
          <w:rFonts w:asciiTheme="minorHAnsi" w:eastAsia="Times New Roman" w:hAnsiTheme="minorHAnsi" w:cs="Arial"/>
          <w:u w:val="single"/>
          <w:lang w:val="es-ES" w:eastAsia="es-ES"/>
        </w:rPr>
        <w:t xml:space="preserve">el Parque Agro Tecnológico Xonotli </w:t>
      </w:r>
      <w:r w:rsidR="00AF1AC2" w:rsidRPr="007F5EAA">
        <w:rPr>
          <w:rFonts w:asciiTheme="minorHAnsi" w:eastAsia="Times New Roman" w:hAnsiTheme="minorHAnsi" w:cs="Arial"/>
          <w:u w:val="single"/>
          <w:lang w:val="es-ES" w:eastAsia="es-ES"/>
        </w:rPr>
        <w:t>es una sociedad anónima</w:t>
      </w:r>
      <w:r w:rsidR="00FC7AC6" w:rsidRPr="007F5EAA">
        <w:rPr>
          <w:rFonts w:asciiTheme="minorHAnsi" w:eastAsia="Times New Roman" w:hAnsiTheme="minorHAnsi" w:cs="Arial"/>
          <w:u w:val="single"/>
          <w:lang w:val="es-ES" w:eastAsia="es-ES"/>
        </w:rPr>
        <w:t xml:space="preserve">, actualmente se encuentra en proceso de </w:t>
      </w:r>
      <w:r w:rsidR="00AF1AC2" w:rsidRPr="007F5EAA">
        <w:rPr>
          <w:rFonts w:asciiTheme="minorHAnsi" w:eastAsia="Times New Roman" w:hAnsiTheme="minorHAnsi" w:cs="Arial"/>
          <w:u w:val="single"/>
          <w:lang w:val="es-ES" w:eastAsia="es-ES"/>
        </w:rPr>
        <w:t xml:space="preserve">armonizar la </w:t>
      </w:r>
      <w:r w:rsidR="00AF1AC2" w:rsidRPr="007F5EAA">
        <w:rPr>
          <w:rFonts w:asciiTheme="minorHAnsi" w:eastAsia="Times New Roman" w:hAnsiTheme="minorHAnsi" w:cs="Arial"/>
          <w:u w:val="single"/>
          <w:lang w:val="es-ES" w:eastAsia="es-ES"/>
        </w:rPr>
        <w:lastRenderedPageBreak/>
        <w:t>contabilidad general</w:t>
      </w:r>
      <w:r w:rsidR="00FC7AC6" w:rsidRPr="007F5EAA">
        <w:rPr>
          <w:rFonts w:asciiTheme="minorHAnsi" w:eastAsia="Times New Roman" w:hAnsiTheme="minorHAnsi" w:cs="Arial"/>
          <w:u w:val="single"/>
          <w:lang w:val="es-ES" w:eastAsia="es-ES"/>
        </w:rPr>
        <w:t xml:space="preserve"> de la empresa</w:t>
      </w:r>
      <w:r w:rsidR="00AF1AC2" w:rsidRPr="007F5EAA">
        <w:rPr>
          <w:rFonts w:asciiTheme="minorHAnsi" w:eastAsia="Times New Roman" w:hAnsiTheme="minorHAnsi" w:cs="Arial"/>
          <w:u w:val="single"/>
          <w:lang w:val="es-ES" w:eastAsia="es-ES"/>
        </w:rPr>
        <w:t xml:space="preserve"> a la CONAC, </w:t>
      </w:r>
      <w:r w:rsidR="00FC7AC6" w:rsidRPr="007F5EAA">
        <w:rPr>
          <w:rFonts w:asciiTheme="minorHAnsi" w:eastAsia="Times New Roman" w:hAnsiTheme="minorHAnsi" w:cs="Arial"/>
          <w:u w:val="single"/>
          <w:lang w:val="es-ES" w:eastAsia="es-ES"/>
        </w:rPr>
        <w:t xml:space="preserve">ya que, por la dimensión del personal adscrito al parque, no fue posible la instalación del sistema SAP para llevar de acuerdo a la normativa la emisión de la información financiera. </w:t>
      </w:r>
    </w:p>
    <w:p w14:paraId="4EDFBFB0" w14:textId="77777777" w:rsidR="007D1E76" w:rsidRPr="007F5EAA" w:rsidRDefault="007D1E76" w:rsidP="007D1E76">
      <w:pPr>
        <w:spacing w:after="0" w:line="240" w:lineRule="auto"/>
        <w:jc w:val="both"/>
        <w:rPr>
          <w:rFonts w:asciiTheme="minorHAnsi" w:hAnsiTheme="minorHAnsi" w:cs="Calibri"/>
          <w:lang w:val="es-ES"/>
        </w:rPr>
      </w:pPr>
    </w:p>
    <w:p w14:paraId="78C9AB0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BB27764" w14:textId="77777777" w:rsidR="00A9647E" w:rsidRPr="007F5EAA" w:rsidRDefault="00A9647E" w:rsidP="00A9647E">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 xml:space="preserve">La Ley de Contabilidad es de observancia obligatoria. El Órgano de Coordinación para la Armonización de la Contabilidad Gubernamental es el Consejo Nacional de Armonización Contable (“CONAC”), quien emite Normas Contables </w:t>
      </w:r>
      <w:proofErr w:type="gramStart"/>
      <w:r w:rsidRPr="007F5EAA">
        <w:rPr>
          <w:rFonts w:asciiTheme="minorHAnsi" w:eastAsia="Times New Roman" w:hAnsiTheme="minorHAnsi" w:cs="Arial"/>
          <w:u w:val="single"/>
          <w:lang w:val="es-ES" w:eastAsia="es-ES"/>
        </w:rPr>
        <w:t>y  Lineamientos</w:t>
      </w:r>
      <w:proofErr w:type="gramEnd"/>
      <w:r w:rsidRPr="007F5EAA">
        <w:rPr>
          <w:rFonts w:asciiTheme="minorHAnsi" w:eastAsia="Times New Roman" w:hAnsiTheme="minorHAnsi" w:cs="Arial"/>
          <w:u w:val="single"/>
          <w:lang w:val="es-ES" w:eastAsia="es-ES"/>
        </w:rPr>
        <w:t xml:space="preserve"> para la generación de Información Financiera, a través de reformas en los Marcos Jurídicos. El 23 de octubre de 2009 el Comité Consultivo del CONAC emitió las Normas y Metodología para la emisión de Información Financiera y Estructura de los Estados Financieros básicos y características de sus notas y el 20 de agosto de 2010 se emitió el Marco Conceptual de Contabilidad Gubernamental. Posteriormente se emitieron las bases para un Catálogo de Cuentas y control de Ingresos y Gastos.</w:t>
      </w:r>
    </w:p>
    <w:p w14:paraId="389B2759" w14:textId="77777777" w:rsidR="007D1E76" w:rsidRPr="007F5EAA" w:rsidRDefault="007D1E76" w:rsidP="007D1E76">
      <w:pPr>
        <w:spacing w:after="0" w:line="240" w:lineRule="auto"/>
        <w:jc w:val="both"/>
        <w:rPr>
          <w:rFonts w:asciiTheme="minorHAnsi" w:hAnsiTheme="minorHAnsi" w:cs="Calibri"/>
          <w:lang w:val="es-ES"/>
        </w:rPr>
      </w:pPr>
    </w:p>
    <w:p w14:paraId="33414A17"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Postulados básicos.</w:t>
      </w:r>
    </w:p>
    <w:p w14:paraId="6AC41624" w14:textId="77777777" w:rsidR="00A9647E" w:rsidRPr="007F5EAA" w:rsidRDefault="00A9647E" w:rsidP="00A9647E">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Con el propósito de dar cumplimiento al artículo 46 y al artículo 49 de la Ley de Contabilidad, los Entes Públicos deberán acompañar notas a los Estados Financieros cuyos rubros así lo requieran teniendo presente los postulados de revelación suficiente e importancia relativa con la finalidad que la información sea adicional y suficiente, que amplíe y dé significado a los datos contenidos en los reportes y sean de mayor utilidad para los usuarios.</w:t>
      </w:r>
    </w:p>
    <w:p w14:paraId="7F924F59" w14:textId="77777777" w:rsidR="00A9647E" w:rsidRPr="007F5EAA" w:rsidRDefault="00A9647E" w:rsidP="00A9647E">
      <w:pPr>
        <w:spacing w:after="0" w:line="240" w:lineRule="exact"/>
        <w:ind w:firstLine="288"/>
        <w:jc w:val="both"/>
        <w:rPr>
          <w:rFonts w:asciiTheme="minorHAnsi" w:eastAsia="Times New Roman" w:hAnsiTheme="minorHAnsi" w:cs="Arial"/>
          <w:b/>
          <w:lang w:eastAsia="es-ES"/>
        </w:rPr>
      </w:pPr>
    </w:p>
    <w:p w14:paraId="2AFAF53B" w14:textId="77777777" w:rsidR="007D1E76" w:rsidRPr="007F5EAA" w:rsidRDefault="007D1E76" w:rsidP="007D1E76">
      <w:pPr>
        <w:spacing w:after="0" w:line="240" w:lineRule="auto"/>
        <w:jc w:val="both"/>
        <w:rPr>
          <w:rFonts w:asciiTheme="minorHAnsi" w:hAnsiTheme="minorHAnsi" w:cs="Calibri"/>
        </w:rPr>
      </w:pPr>
    </w:p>
    <w:p w14:paraId="789EA17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8A61611" w14:textId="77777777" w:rsidR="007D1E76" w:rsidRPr="007F5EAA" w:rsidRDefault="00FC7AC6"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Por la figura de Sociedad Anónima, el Parque Agro Tecnológico Xonotli, </w:t>
      </w:r>
      <w:r w:rsidR="00302584" w:rsidRPr="007F5EAA">
        <w:rPr>
          <w:rFonts w:asciiTheme="minorHAnsi" w:hAnsiTheme="minorHAnsi" w:cs="Calibri"/>
          <w:u w:val="single"/>
        </w:rPr>
        <w:t xml:space="preserve">además de la normativa gubernamental que le aplica, </w:t>
      </w:r>
      <w:r w:rsidRPr="007F5EAA">
        <w:rPr>
          <w:rFonts w:asciiTheme="minorHAnsi" w:hAnsiTheme="minorHAnsi" w:cs="Calibri"/>
          <w:u w:val="single"/>
        </w:rPr>
        <w:t>está sujeta al cumplimiento de Leyes y Reglamentos de carácter general</w:t>
      </w:r>
      <w:r w:rsidR="00302584" w:rsidRPr="007F5EAA">
        <w:rPr>
          <w:rFonts w:asciiTheme="minorHAnsi" w:hAnsiTheme="minorHAnsi" w:cs="Calibri"/>
          <w:u w:val="single"/>
        </w:rPr>
        <w:t xml:space="preserve"> y </w:t>
      </w:r>
      <w:r w:rsidRPr="007F5EAA">
        <w:rPr>
          <w:rFonts w:asciiTheme="minorHAnsi" w:hAnsiTheme="minorHAnsi" w:cs="Calibri"/>
          <w:u w:val="single"/>
        </w:rPr>
        <w:t>fiscal</w:t>
      </w:r>
      <w:r w:rsidR="00302584" w:rsidRPr="007F5EAA">
        <w:rPr>
          <w:rFonts w:asciiTheme="minorHAnsi" w:hAnsiTheme="minorHAnsi" w:cs="Calibri"/>
          <w:u w:val="single"/>
        </w:rPr>
        <w:t xml:space="preserve"> de acuerdo a sus actividades. </w:t>
      </w:r>
    </w:p>
    <w:p w14:paraId="16A98C7B" w14:textId="77777777" w:rsidR="007D1E76" w:rsidRPr="007F5EAA" w:rsidRDefault="007D1E76" w:rsidP="007D1E76">
      <w:pPr>
        <w:spacing w:after="0" w:line="240" w:lineRule="auto"/>
        <w:jc w:val="both"/>
        <w:rPr>
          <w:rFonts w:asciiTheme="minorHAnsi" w:hAnsiTheme="minorHAnsi" w:cs="Calibri"/>
        </w:rPr>
      </w:pPr>
    </w:p>
    <w:p w14:paraId="017EF95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Para las entidades que por primera vez estén implementando </w:t>
      </w:r>
      <w:proofErr w:type="gramStart"/>
      <w:r w:rsidRPr="007F5EAA">
        <w:rPr>
          <w:rFonts w:asciiTheme="minorHAnsi" w:hAnsiTheme="minorHAnsi" w:cs="Calibri"/>
        </w:rPr>
        <w:t>la base devengado</w:t>
      </w:r>
      <w:proofErr w:type="gramEnd"/>
      <w:r w:rsidRPr="007F5EAA">
        <w:rPr>
          <w:rFonts w:asciiTheme="minorHAnsi" w:hAnsiTheme="minorHAnsi" w:cs="Calibri"/>
        </w:rPr>
        <w:t xml:space="preserve"> de acuerdo a la Ley de Contabilidad, deberán:</w:t>
      </w:r>
    </w:p>
    <w:p w14:paraId="7F3144D7" w14:textId="77777777" w:rsidR="007D1E76" w:rsidRPr="007F5EAA" w:rsidRDefault="007D1E76" w:rsidP="007D1E76">
      <w:pPr>
        <w:spacing w:after="0" w:line="240" w:lineRule="auto"/>
        <w:jc w:val="both"/>
        <w:rPr>
          <w:rFonts w:asciiTheme="minorHAnsi" w:hAnsiTheme="minorHAnsi" w:cs="Calibri"/>
        </w:rPr>
      </w:pPr>
    </w:p>
    <w:p w14:paraId="202AE711"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*Revelar las nuevas políticas de reconocimiento:</w:t>
      </w:r>
    </w:p>
    <w:p w14:paraId="28EF390A"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7C6C0182" w14:textId="77777777" w:rsidR="007F5EAA" w:rsidRPr="007F5EAA" w:rsidRDefault="007F5EAA" w:rsidP="007D1E76">
      <w:pPr>
        <w:spacing w:after="0" w:line="240" w:lineRule="auto"/>
        <w:jc w:val="both"/>
        <w:rPr>
          <w:rFonts w:asciiTheme="minorHAnsi" w:hAnsiTheme="minorHAnsi" w:cs="Calibri"/>
        </w:rPr>
      </w:pPr>
    </w:p>
    <w:p w14:paraId="5682C00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*Plan de implementación:</w:t>
      </w:r>
    </w:p>
    <w:p w14:paraId="710CAFDE"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0EC3B8C2" w14:textId="77777777" w:rsidR="007D1E76" w:rsidRPr="007F5EAA" w:rsidRDefault="007D1E76" w:rsidP="007D1E76">
      <w:pPr>
        <w:spacing w:after="0" w:line="240" w:lineRule="auto"/>
        <w:jc w:val="both"/>
        <w:rPr>
          <w:rFonts w:asciiTheme="minorHAnsi" w:hAnsiTheme="minorHAnsi" w:cs="Calibri"/>
        </w:rPr>
      </w:pPr>
    </w:p>
    <w:p w14:paraId="0593AD8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*Revelar los cambios en las políticas, la clasificación y medición de las mismas, así como su impacto en la información financiera:</w:t>
      </w:r>
    </w:p>
    <w:p w14:paraId="0D75506B"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689ABEB5" w14:textId="77777777" w:rsidR="00AF175B" w:rsidRDefault="00AF175B" w:rsidP="007D1E76">
      <w:pPr>
        <w:spacing w:after="0" w:line="240" w:lineRule="auto"/>
        <w:jc w:val="both"/>
        <w:rPr>
          <w:rFonts w:asciiTheme="minorHAnsi" w:hAnsiTheme="minorHAnsi" w:cs="Calibri"/>
        </w:rPr>
      </w:pPr>
    </w:p>
    <w:p w14:paraId="13931B8B"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6. Políticas de</w:t>
      </w:r>
      <w:r w:rsidR="00E00323" w:rsidRPr="007F5EAA">
        <w:rPr>
          <w:rFonts w:asciiTheme="minorHAnsi" w:hAnsiTheme="minorHAnsi" w:cs="Calibri"/>
          <w:b/>
        </w:rPr>
        <w:t xml:space="preserve"> Contabilidad Significativas:</w:t>
      </w:r>
    </w:p>
    <w:p w14:paraId="0D946BA8" w14:textId="77777777" w:rsidR="007D1E76" w:rsidRPr="007F5EAA" w:rsidRDefault="007D1E76" w:rsidP="007D1E76">
      <w:pPr>
        <w:spacing w:after="0" w:line="240" w:lineRule="auto"/>
        <w:jc w:val="both"/>
        <w:rPr>
          <w:rFonts w:asciiTheme="minorHAnsi" w:hAnsiTheme="minorHAnsi" w:cs="Calibri"/>
        </w:rPr>
      </w:pPr>
    </w:p>
    <w:p w14:paraId="11F2BC7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lastRenderedPageBreak/>
        <w:t>a)</w:t>
      </w:r>
      <w:r w:rsidRPr="007F5EAA">
        <w:rPr>
          <w:rFonts w:asciiTheme="minorHAnsi" w:hAnsiTheme="minorHAnsi" w:cs="Calibri"/>
        </w:rPr>
        <w:t xml:space="preserve"> Actualización: se informará del método utilizado para la actualización del valor de los activos, pasivos y Hacienda Pública/</w:t>
      </w:r>
      <w:r w:rsidR="00657009" w:rsidRPr="007F5EAA">
        <w:rPr>
          <w:rFonts w:asciiTheme="minorHAnsi" w:hAnsiTheme="minorHAnsi" w:cs="Calibri"/>
        </w:rPr>
        <w:t>P</w:t>
      </w:r>
      <w:r w:rsidRPr="007F5EAA">
        <w:rPr>
          <w:rFonts w:asciiTheme="minorHAnsi" w:hAnsiTheme="minorHAnsi" w:cs="Calibri"/>
        </w:rPr>
        <w:t>atrimonio y las razones de dicha elección. Así como informar de la desconexión o reconexión inflacionaria:</w:t>
      </w:r>
    </w:p>
    <w:p w14:paraId="2833D534"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El método utilizado es el correspondiente a las depreciaciones y amortizaciones contables y fiscales según la normativa vigente.</w:t>
      </w:r>
    </w:p>
    <w:p w14:paraId="6786EE6D" w14:textId="77777777" w:rsidR="00ED0CE2" w:rsidRPr="007F5EAA" w:rsidRDefault="00ED0CE2" w:rsidP="00ED0CE2">
      <w:pPr>
        <w:spacing w:after="0" w:line="240" w:lineRule="auto"/>
        <w:jc w:val="both"/>
        <w:rPr>
          <w:rFonts w:asciiTheme="minorHAnsi" w:hAnsiTheme="minorHAnsi" w:cs="Calibri"/>
        </w:rPr>
      </w:pPr>
    </w:p>
    <w:p w14:paraId="3E75B0D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Informar sobre la realización de operaciones en el extranjero y de sus efectos en la información financiera gubernamental:</w:t>
      </w:r>
    </w:p>
    <w:p w14:paraId="440D77B4"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realizan operaciones con el extranjero.</w:t>
      </w:r>
    </w:p>
    <w:p w14:paraId="53B60131" w14:textId="77777777" w:rsidR="00ED0CE2" w:rsidRPr="007F5EAA" w:rsidRDefault="00ED0CE2" w:rsidP="00ED0CE2">
      <w:pPr>
        <w:spacing w:after="0" w:line="240" w:lineRule="auto"/>
        <w:jc w:val="both"/>
        <w:rPr>
          <w:rFonts w:asciiTheme="minorHAnsi" w:hAnsiTheme="minorHAnsi" w:cs="Calibri"/>
        </w:rPr>
      </w:pPr>
    </w:p>
    <w:p w14:paraId="0858959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Método de valuación de la inversión en acciones de Compañías subsidiarias no consolidadas y asociadas:</w:t>
      </w:r>
    </w:p>
    <w:p w14:paraId="49704F39"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acciones de compañías subsidiarias no consolidadas y asociadas.</w:t>
      </w:r>
    </w:p>
    <w:p w14:paraId="749C1778" w14:textId="77777777" w:rsidR="00ED0CE2" w:rsidRPr="007F5EAA" w:rsidRDefault="00ED0CE2" w:rsidP="007D1E76">
      <w:pPr>
        <w:spacing w:after="0" w:line="240" w:lineRule="auto"/>
        <w:jc w:val="both"/>
        <w:rPr>
          <w:rFonts w:asciiTheme="minorHAnsi" w:hAnsiTheme="minorHAnsi" w:cs="Calibri"/>
        </w:rPr>
      </w:pPr>
    </w:p>
    <w:p w14:paraId="233D47A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Sistema y método de valuación de inventarios y costo de lo vendido:</w:t>
      </w:r>
    </w:p>
    <w:p w14:paraId="00F2FBFC" w14:textId="77777777" w:rsidR="007D1E76" w:rsidRPr="007F5EAA" w:rsidRDefault="005D6F3C" w:rsidP="007D1E76">
      <w:pPr>
        <w:spacing w:after="0" w:line="240" w:lineRule="auto"/>
        <w:jc w:val="both"/>
        <w:rPr>
          <w:rFonts w:asciiTheme="minorHAnsi" w:hAnsiTheme="minorHAnsi" w:cs="Calibri"/>
          <w:u w:val="single"/>
        </w:rPr>
      </w:pPr>
      <w:r>
        <w:rPr>
          <w:rFonts w:asciiTheme="minorHAnsi" w:hAnsiTheme="minorHAnsi" w:cs="Calibri"/>
          <w:u w:val="single"/>
        </w:rPr>
        <w:t>Actualmente se aplica el costo promedio en</w:t>
      </w:r>
      <w:r w:rsidR="00ED0CE2" w:rsidRPr="007F5EAA">
        <w:rPr>
          <w:rFonts w:asciiTheme="minorHAnsi" w:hAnsiTheme="minorHAnsi" w:cs="Calibri"/>
          <w:u w:val="single"/>
        </w:rPr>
        <w:t xml:space="preserve"> inventario</w:t>
      </w:r>
      <w:r>
        <w:rPr>
          <w:rFonts w:asciiTheme="minorHAnsi" w:hAnsiTheme="minorHAnsi" w:cs="Calibri"/>
          <w:u w:val="single"/>
        </w:rPr>
        <w:t>s</w:t>
      </w:r>
      <w:r w:rsidR="00ED0CE2" w:rsidRPr="007F5EAA">
        <w:rPr>
          <w:rFonts w:asciiTheme="minorHAnsi" w:hAnsiTheme="minorHAnsi" w:cs="Calibri"/>
          <w:u w:val="single"/>
        </w:rPr>
        <w:t>.</w:t>
      </w:r>
    </w:p>
    <w:p w14:paraId="04B9A102" w14:textId="77777777" w:rsidR="007D1E76" w:rsidRPr="007F5EAA" w:rsidRDefault="007D1E76" w:rsidP="007D1E76">
      <w:pPr>
        <w:spacing w:after="0" w:line="240" w:lineRule="auto"/>
        <w:jc w:val="both"/>
        <w:rPr>
          <w:rFonts w:asciiTheme="minorHAnsi" w:hAnsiTheme="minorHAnsi" w:cs="Calibri"/>
        </w:rPr>
      </w:pPr>
    </w:p>
    <w:p w14:paraId="60626E8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3B36AA68"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reserva actuarial.</w:t>
      </w:r>
    </w:p>
    <w:p w14:paraId="3B343A50" w14:textId="77777777" w:rsidR="00ED0CE2" w:rsidRPr="007F5EAA" w:rsidRDefault="00ED0CE2" w:rsidP="007D1E76">
      <w:pPr>
        <w:spacing w:after="0" w:line="240" w:lineRule="auto"/>
        <w:jc w:val="both"/>
        <w:rPr>
          <w:rFonts w:asciiTheme="minorHAnsi" w:hAnsiTheme="minorHAnsi" w:cs="Calibri"/>
        </w:rPr>
      </w:pPr>
    </w:p>
    <w:p w14:paraId="5DADE36E" w14:textId="77777777" w:rsidR="00A9647E" w:rsidRPr="007F5EAA" w:rsidRDefault="007D1E76" w:rsidP="00A9647E">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Provisiones: objetivo de su creación, monto y plazo:</w:t>
      </w:r>
    </w:p>
    <w:p w14:paraId="72FAE107" w14:textId="77777777" w:rsidR="00A9647E" w:rsidRPr="007F5EAA" w:rsidRDefault="00A9647E" w:rsidP="00A9647E">
      <w:pPr>
        <w:spacing w:after="0" w:line="240" w:lineRule="auto"/>
        <w:jc w:val="both"/>
        <w:rPr>
          <w:rFonts w:asciiTheme="minorHAnsi" w:hAnsiTheme="minorHAnsi" w:cs="Calibri"/>
          <w:u w:val="single"/>
        </w:rPr>
      </w:pPr>
      <w:r w:rsidRPr="007F5EAA">
        <w:rPr>
          <w:rFonts w:asciiTheme="minorHAnsi" w:eastAsia="Times New Roman" w:hAnsiTheme="minorHAnsi" w:cs="Arial"/>
          <w:color w:val="000000"/>
          <w:u w:val="single"/>
          <w:lang w:val="es-ES" w:eastAsia="es-ES"/>
        </w:rPr>
        <w:t>Se reconocen cuando se tiene una obligación presente como resultado de un evento pasado, que probablemente resulte en la salida de recursos económicos y que pueda ser estimada razonablemente.</w:t>
      </w:r>
    </w:p>
    <w:p w14:paraId="1D97C33B" w14:textId="77777777" w:rsidR="007D1E76" w:rsidRPr="007F5EAA" w:rsidRDefault="007D1E76" w:rsidP="007D1E76">
      <w:pPr>
        <w:spacing w:after="0" w:line="240" w:lineRule="auto"/>
        <w:jc w:val="both"/>
        <w:rPr>
          <w:rFonts w:asciiTheme="minorHAnsi" w:hAnsiTheme="minorHAnsi" w:cs="Calibri"/>
          <w:lang w:val="es-ES"/>
        </w:rPr>
      </w:pPr>
    </w:p>
    <w:p w14:paraId="6229614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Reservas: objetivo de su creación, monto y plazo:</w:t>
      </w:r>
    </w:p>
    <w:p w14:paraId="6886FA59"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reservas.</w:t>
      </w:r>
    </w:p>
    <w:p w14:paraId="1D3F22B1" w14:textId="77777777" w:rsidR="007D1E76" w:rsidRPr="007F5EAA" w:rsidRDefault="007D1E76" w:rsidP="007D1E76">
      <w:pPr>
        <w:spacing w:after="0" w:line="240" w:lineRule="auto"/>
        <w:jc w:val="both"/>
        <w:rPr>
          <w:rFonts w:asciiTheme="minorHAnsi" w:hAnsiTheme="minorHAnsi" w:cs="Calibri"/>
        </w:rPr>
      </w:pPr>
    </w:p>
    <w:p w14:paraId="1A22AB8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h)</w:t>
      </w:r>
      <w:r w:rsidRPr="007F5EAA">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3F1B41F8"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cambios de políticas contables.</w:t>
      </w:r>
    </w:p>
    <w:p w14:paraId="13BE9E77" w14:textId="77777777" w:rsidR="00ED0CE2" w:rsidRPr="007F5EAA" w:rsidRDefault="00ED0CE2" w:rsidP="00ED0CE2">
      <w:pPr>
        <w:spacing w:after="0" w:line="240" w:lineRule="auto"/>
        <w:jc w:val="both"/>
        <w:rPr>
          <w:rFonts w:asciiTheme="minorHAnsi" w:hAnsiTheme="minorHAnsi" w:cs="Calibri"/>
        </w:rPr>
      </w:pPr>
    </w:p>
    <w:p w14:paraId="12D1E6C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i)</w:t>
      </w:r>
      <w:r w:rsidRPr="007F5EAA">
        <w:rPr>
          <w:rFonts w:asciiTheme="minorHAnsi" w:hAnsiTheme="minorHAnsi" w:cs="Calibri"/>
        </w:rPr>
        <w:t xml:space="preserve"> Reclasificaciones: Se deben revelar todos aquellos movimientos entre cuentas por efectos de cambios en los tipos de operaciones:</w:t>
      </w:r>
    </w:p>
    <w:p w14:paraId="198EB523"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Durante el periodo no se realizaron reclasificaciones por efectos de cambios.</w:t>
      </w:r>
    </w:p>
    <w:p w14:paraId="12C7C194" w14:textId="77777777" w:rsidR="00ED0CE2" w:rsidRPr="007F5EAA" w:rsidRDefault="00ED0CE2" w:rsidP="007D1E76">
      <w:pPr>
        <w:spacing w:after="0" w:line="240" w:lineRule="auto"/>
        <w:jc w:val="both"/>
        <w:rPr>
          <w:rFonts w:asciiTheme="minorHAnsi" w:hAnsiTheme="minorHAnsi" w:cs="Calibri"/>
        </w:rPr>
      </w:pPr>
    </w:p>
    <w:p w14:paraId="145A17A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j)</w:t>
      </w:r>
      <w:r w:rsidRPr="007F5EAA">
        <w:rPr>
          <w:rFonts w:asciiTheme="minorHAnsi" w:hAnsiTheme="minorHAnsi" w:cs="Calibri"/>
        </w:rPr>
        <w:t xml:space="preserve"> Depuración y cancelación de saldos:</w:t>
      </w:r>
    </w:p>
    <w:p w14:paraId="5F49D65A"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EB12A7D" w14:textId="77777777" w:rsidR="00E00323" w:rsidRPr="007F5EAA" w:rsidRDefault="00E00323" w:rsidP="007D1E76">
      <w:pPr>
        <w:spacing w:after="0" w:line="240" w:lineRule="auto"/>
        <w:jc w:val="both"/>
        <w:rPr>
          <w:rFonts w:asciiTheme="minorHAnsi" w:hAnsiTheme="minorHAnsi" w:cs="Calibri"/>
        </w:rPr>
      </w:pPr>
    </w:p>
    <w:p w14:paraId="5DB7D78C"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7. Posición en Moneda Extranjera y Pro</w:t>
      </w:r>
      <w:r w:rsidR="00E00323" w:rsidRPr="007F5EAA">
        <w:rPr>
          <w:rFonts w:asciiTheme="minorHAnsi" w:hAnsiTheme="minorHAnsi" w:cs="Calibri"/>
          <w:b/>
        </w:rPr>
        <w:t>tección por Riesgo Cambiario:</w:t>
      </w:r>
    </w:p>
    <w:p w14:paraId="70D50367" w14:textId="77777777" w:rsidR="007D1E76" w:rsidRPr="007F5EAA" w:rsidRDefault="007D1E76" w:rsidP="007D1E76">
      <w:pPr>
        <w:spacing w:after="0" w:line="240" w:lineRule="auto"/>
        <w:jc w:val="both"/>
        <w:rPr>
          <w:rFonts w:asciiTheme="minorHAnsi" w:hAnsiTheme="minorHAnsi" w:cs="Calibri"/>
        </w:rPr>
      </w:pPr>
    </w:p>
    <w:p w14:paraId="36F075B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Activos en moneda extranjera:</w:t>
      </w:r>
    </w:p>
    <w:p w14:paraId="41DFB0BD"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Esta nota no le aplica al ente público. </w:t>
      </w:r>
      <w:r w:rsidR="00A9647E" w:rsidRPr="007F5EAA">
        <w:rPr>
          <w:rFonts w:asciiTheme="minorHAnsi" w:hAnsiTheme="minorHAnsi" w:cs="Calibri"/>
          <w:u w:val="single"/>
        </w:rPr>
        <w:t>No se tiene actividades en moneda extranjera.</w:t>
      </w:r>
    </w:p>
    <w:p w14:paraId="3D8C074C" w14:textId="77777777" w:rsidR="007D1E76" w:rsidRDefault="007D1E76" w:rsidP="007D1E76">
      <w:pPr>
        <w:spacing w:after="0" w:line="240" w:lineRule="auto"/>
        <w:jc w:val="both"/>
        <w:rPr>
          <w:rFonts w:asciiTheme="minorHAnsi" w:hAnsiTheme="minorHAnsi" w:cs="Calibri"/>
        </w:rPr>
      </w:pPr>
    </w:p>
    <w:p w14:paraId="4000B0C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Pasivos en moneda extranjera:</w:t>
      </w:r>
    </w:p>
    <w:p w14:paraId="758A5E50" w14:textId="77777777" w:rsidR="00ED0CE2"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585120B7" w14:textId="77777777" w:rsidR="00A9647E" w:rsidRPr="007F5EAA" w:rsidRDefault="00A9647E" w:rsidP="007D1E76">
      <w:pPr>
        <w:spacing w:after="0" w:line="240" w:lineRule="auto"/>
        <w:jc w:val="both"/>
        <w:rPr>
          <w:rFonts w:asciiTheme="minorHAnsi" w:hAnsiTheme="minorHAnsi" w:cs="Calibri"/>
        </w:rPr>
      </w:pPr>
    </w:p>
    <w:p w14:paraId="3B60FDD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c) </w:t>
      </w:r>
      <w:r w:rsidRPr="007F5EAA">
        <w:rPr>
          <w:rFonts w:asciiTheme="minorHAnsi" w:hAnsiTheme="minorHAnsi" w:cs="Calibri"/>
        </w:rPr>
        <w:t>Posición en moneda extranjera:</w:t>
      </w:r>
    </w:p>
    <w:p w14:paraId="12F740DB"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lastRenderedPageBreak/>
        <w:t>Esta nota no le aplica al ente público. No se tiene actividades en moneda extranjera.</w:t>
      </w:r>
    </w:p>
    <w:p w14:paraId="327FCEED" w14:textId="77777777" w:rsidR="00A9647E" w:rsidRPr="007F5EAA" w:rsidRDefault="00A9647E" w:rsidP="007D1E76">
      <w:pPr>
        <w:spacing w:after="0" w:line="240" w:lineRule="auto"/>
        <w:jc w:val="both"/>
        <w:rPr>
          <w:rFonts w:asciiTheme="minorHAnsi" w:hAnsiTheme="minorHAnsi" w:cs="Calibri"/>
        </w:rPr>
      </w:pPr>
    </w:p>
    <w:p w14:paraId="6C322AD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Tipo de cambio:</w:t>
      </w:r>
    </w:p>
    <w:p w14:paraId="5BA37F82"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2A5F779E" w14:textId="77777777" w:rsidR="00A9647E" w:rsidRPr="007F5EAA" w:rsidRDefault="00A9647E" w:rsidP="007D1E76">
      <w:pPr>
        <w:spacing w:after="0" w:line="240" w:lineRule="auto"/>
        <w:jc w:val="both"/>
        <w:rPr>
          <w:rFonts w:asciiTheme="minorHAnsi" w:hAnsiTheme="minorHAnsi" w:cs="Calibri"/>
        </w:rPr>
      </w:pPr>
    </w:p>
    <w:p w14:paraId="2B7CB6A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e) </w:t>
      </w:r>
      <w:r w:rsidRPr="007F5EAA">
        <w:rPr>
          <w:rFonts w:asciiTheme="minorHAnsi" w:hAnsiTheme="minorHAnsi" w:cs="Calibri"/>
        </w:rPr>
        <w:t>Equivalente en moneda nacional:</w:t>
      </w:r>
    </w:p>
    <w:p w14:paraId="6A76E3E0"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6E10FAB7" w14:textId="77777777" w:rsidR="00A9647E" w:rsidRPr="007F5EAA" w:rsidRDefault="00A9647E" w:rsidP="007D1E76">
      <w:pPr>
        <w:spacing w:after="0" w:line="240" w:lineRule="auto"/>
        <w:jc w:val="both"/>
        <w:rPr>
          <w:rFonts w:asciiTheme="minorHAnsi" w:hAnsiTheme="minorHAnsi" w:cs="Calibri"/>
        </w:rPr>
      </w:pPr>
    </w:p>
    <w:p w14:paraId="1C6F1F5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Lo anterior por cada tipo de moneda extranjera que se encuentre en los rubros de activo y pasivo.</w:t>
      </w:r>
    </w:p>
    <w:p w14:paraId="6E13076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Adicionalmente se informará sobre los métodos de protección de riesgo por vari</w:t>
      </w:r>
      <w:r w:rsidR="00E00323" w:rsidRPr="007F5EAA">
        <w:rPr>
          <w:rFonts w:asciiTheme="minorHAnsi" w:hAnsiTheme="minorHAnsi" w:cs="Calibri"/>
        </w:rPr>
        <w:t>aciones en el tipo de cambio.</w:t>
      </w:r>
    </w:p>
    <w:p w14:paraId="6B0EF0D9" w14:textId="77777777" w:rsidR="007D1E76" w:rsidRPr="007F5EAA" w:rsidRDefault="007D1E76" w:rsidP="007D1E76">
      <w:pPr>
        <w:spacing w:after="0" w:line="240" w:lineRule="auto"/>
        <w:jc w:val="both"/>
        <w:rPr>
          <w:rFonts w:asciiTheme="minorHAnsi" w:hAnsiTheme="minorHAnsi" w:cs="Calibri"/>
        </w:rPr>
      </w:pPr>
    </w:p>
    <w:p w14:paraId="373AA227"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8. </w:t>
      </w:r>
      <w:r w:rsidR="00E00323" w:rsidRPr="007F5EAA">
        <w:rPr>
          <w:rFonts w:asciiTheme="minorHAnsi" w:hAnsiTheme="minorHAnsi" w:cs="Calibri"/>
          <w:b/>
        </w:rPr>
        <w:t>Reporte Analítico del Activo:</w:t>
      </w:r>
    </w:p>
    <w:p w14:paraId="5F6B8C9B" w14:textId="77777777" w:rsidR="007D1E76" w:rsidRPr="007F5EAA" w:rsidRDefault="007D1E76" w:rsidP="007D1E76">
      <w:pPr>
        <w:spacing w:after="0" w:line="240" w:lineRule="auto"/>
        <w:jc w:val="both"/>
        <w:rPr>
          <w:rFonts w:asciiTheme="minorHAnsi" w:hAnsiTheme="minorHAnsi" w:cs="Calibri"/>
        </w:rPr>
      </w:pPr>
    </w:p>
    <w:p w14:paraId="3BFDF95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Vida útil o porcentajes de depreciación, deterioro o amortización utilizados en los diferentes tipos de activos:</w:t>
      </w:r>
    </w:p>
    <w:p w14:paraId="19544392"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El método utilizado es el correspondiente a las depreciaciones y amortizaciones contables y fiscales según la normativa vigente.</w:t>
      </w:r>
    </w:p>
    <w:p w14:paraId="50B10943" w14:textId="77777777" w:rsidR="007D1E76" w:rsidRPr="007F5EAA" w:rsidRDefault="007D1E76" w:rsidP="007D1E76">
      <w:pPr>
        <w:spacing w:after="0" w:line="240" w:lineRule="auto"/>
        <w:jc w:val="both"/>
        <w:rPr>
          <w:rFonts w:asciiTheme="minorHAnsi" w:hAnsiTheme="minorHAnsi" w:cs="Calibri"/>
        </w:rPr>
      </w:pPr>
    </w:p>
    <w:p w14:paraId="32BD254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Cambios en el porcentaje de depreciación o valor residual de los activos:</w:t>
      </w:r>
    </w:p>
    <w:p w14:paraId="1D4C221C"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En el periodo no se presentaron cambios.</w:t>
      </w:r>
    </w:p>
    <w:p w14:paraId="0CC555AE" w14:textId="77777777" w:rsidR="007D1E76" w:rsidRPr="007F5EAA" w:rsidRDefault="007D1E76" w:rsidP="007D1E76">
      <w:pPr>
        <w:spacing w:after="0" w:line="240" w:lineRule="auto"/>
        <w:jc w:val="both"/>
        <w:rPr>
          <w:rFonts w:asciiTheme="minorHAnsi" w:hAnsiTheme="minorHAnsi" w:cs="Calibri"/>
        </w:rPr>
      </w:pPr>
    </w:p>
    <w:p w14:paraId="0974AEF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Importe de los gastos capitalizados en el ejercicio, tanto financieros como de investigación y desarrollo:</w:t>
      </w:r>
    </w:p>
    <w:p w14:paraId="5C68B010"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37374575" w14:textId="77777777" w:rsidR="007D1E76" w:rsidRPr="007F5EAA" w:rsidRDefault="007D1E76" w:rsidP="007D1E76">
      <w:pPr>
        <w:spacing w:after="0" w:line="240" w:lineRule="auto"/>
        <w:jc w:val="both"/>
        <w:rPr>
          <w:rFonts w:asciiTheme="minorHAnsi" w:hAnsiTheme="minorHAnsi" w:cs="Calibri"/>
        </w:rPr>
      </w:pPr>
    </w:p>
    <w:p w14:paraId="5E7065B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Rie</w:t>
      </w:r>
      <w:r w:rsidR="001973A2" w:rsidRPr="007F5EAA">
        <w:rPr>
          <w:rFonts w:asciiTheme="minorHAnsi" w:hAnsiTheme="minorHAnsi" w:cs="Calibri"/>
        </w:rPr>
        <w:t>s</w:t>
      </w:r>
      <w:r w:rsidRPr="007F5EAA">
        <w:rPr>
          <w:rFonts w:asciiTheme="minorHAnsi" w:hAnsiTheme="minorHAnsi" w:cs="Calibri"/>
        </w:rPr>
        <w:t>gos por tipo de cambio o tipo de interés de las inversiones financieras:</w:t>
      </w:r>
    </w:p>
    <w:p w14:paraId="18FAA02E"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inversiones financieras.</w:t>
      </w:r>
    </w:p>
    <w:p w14:paraId="61DFCCDD" w14:textId="77777777" w:rsidR="00150508" w:rsidRPr="007F5EAA" w:rsidRDefault="00150508" w:rsidP="00150508">
      <w:pPr>
        <w:spacing w:after="0" w:line="240" w:lineRule="auto"/>
        <w:jc w:val="both"/>
        <w:rPr>
          <w:rFonts w:asciiTheme="minorHAnsi" w:hAnsiTheme="minorHAnsi" w:cs="Calibri"/>
        </w:rPr>
      </w:pPr>
    </w:p>
    <w:p w14:paraId="61C3376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e) </w:t>
      </w:r>
      <w:r w:rsidRPr="007F5EAA">
        <w:rPr>
          <w:rFonts w:asciiTheme="minorHAnsi" w:hAnsiTheme="minorHAnsi" w:cs="Calibri"/>
        </w:rPr>
        <w:t>Valor activado en el ejercicio de los bienes construidos por la entidad:</w:t>
      </w:r>
    </w:p>
    <w:p w14:paraId="1931C46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547CC81" w14:textId="77777777" w:rsidR="00150508" w:rsidRPr="007F5EAA" w:rsidRDefault="00150508" w:rsidP="00150508">
      <w:pPr>
        <w:spacing w:after="0" w:line="240" w:lineRule="auto"/>
        <w:jc w:val="both"/>
        <w:rPr>
          <w:rFonts w:asciiTheme="minorHAnsi" w:hAnsiTheme="minorHAnsi" w:cs="Calibri"/>
          <w:b/>
        </w:rPr>
      </w:pPr>
    </w:p>
    <w:p w14:paraId="4E7D2FB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39CDB9F"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otras circunstancias.</w:t>
      </w:r>
    </w:p>
    <w:p w14:paraId="23A22F91" w14:textId="77777777" w:rsidR="00150508" w:rsidRPr="007F5EAA" w:rsidRDefault="00150508" w:rsidP="00150508">
      <w:pPr>
        <w:spacing w:after="0" w:line="240" w:lineRule="auto"/>
        <w:jc w:val="both"/>
        <w:rPr>
          <w:rFonts w:asciiTheme="minorHAnsi" w:hAnsiTheme="minorHAnsi" w:cs="Calibri"/>
        </w:rPr>
      </w:pPr>
    </w:p>
    <w:p w14:paraId="2007881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Desmantelamiento de Activos, procedimientos, implicaciones, efectos contables:</w:t>
      </w:r>
    </w:p>
    <w:p w14:paraId="5BFDDAD0"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En el periodo a informar no se presentaron desmantelamientos de activos.</w:t>
      </w:r>
    </w:p>
    <w:p w14:paraId="34C03754" w14:textId="77777777" w:rsidR="00150508" w:rsidRPr="007F5EAA" w:rsidRDefault="00150508" w:rsidP="00150508">
      <w:pPr>
        <w:spacing w:after="0" w:line="240" w:lineRule="auto"/>
        <w:jc w:val="both"/>
        <w:rPr>
          <w:rFonts w:asciiTheme="minorHAnsi" w:hAnsiTheme="minorHAnsi" w:cs="Calibri"/>
        </w:rPr>
      </w:pPr>
    </w:p>
    <w:p w14:paraId="4D175C3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h)</w:t>
      </w:r>
      <w:r w:rsidRPr="007F5EAA">
        <w:rPr>
          <w:rFonts w:asciiTheme="minorHAnsi" w:hAnsiTheme="minorHAnsi" w:cs="Calibri"/>
        </w:rPr>
        <w:t xml:space="preserve"> Administración de activos; planeación con el objetivo de que el ente los utilice de manera más efectiva:</w:t>
      </w:r>
    </w:p>
    <w:p w14:paraId="1439ADDB" w14:textId="77777777" w:rsidR="005E231E"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03CF786A" w14:textId="77777777" w:rsidR="00150508" w:rsidRPr="007F5EAA" w:rsidRDefault="00150508" w:rsidP="00150508">
      <w:pPr>
        <w:spacing w:after="0" w:line="240" w:lineRule="auto"/>
        <w:jc w:val="both"/>
        <w:rPr>
          <w:rFonts w:asciiTheme="minorHAnsi" w:hAnsiTheme="minorHAnsi" w:cs="Calibri"/>
        </w:rPr>
      </w:pPr>
    </w:p>
    <w:p w14:paraId="494B236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Adicionalmente, se deben incluir las explicaciones de las principales variaciones en el activo, en cua</w:t>
      </w:r>
      <w:r w:rsidR="005E231E" w:rsidRPr="007F5EAA">
        <w:rPr>
          <w:rFonts w:asciiTheme="minorHAnsi" w:hAnsiTheme="minorHAnsi" w:cs="Calibri"/>
        </w:rPr>
        <w:t>dros comparativos como sigue:</w:t>
      </w:r>
    </w:p>
    <w:p w14:paraId="629AA074" w14:textId="77777777" w:rsidR="007D1E76" w:rsidRPr="007F5EAA" w:rsidRDefault="007D1E76" w:rsidP="007D1E76">
      <w:pPr>
        <w:spacing w:after="0" w:line="240" w:lineRule="auto"/>
        <w:jc w:val="both"/>
        <w:rPr>
          <w:rFonts w:asciiTheme="minorHAnsi" w:hAnsiTheme="minorHAnsi" w:cs="Calibri"/>
        </w:rPr>
      </w:pPr>
    </w:p>
    <w:p w14:paraId="610A612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Inversiones en valores:</w:t>
      </w:r>
    </w:p>
    <w:p w14:paraId="663DD4EE"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6D1E9E67" w14:textId="77777777" w:rsidR="00150508" w:rsidRPr="007F5EAA" w:rsidRDefault="00150508" w:rsidP="007D1E76">
      <w:pPr>
        <w:spacing w:after="0" w:line="240" w:lineRule="auto"/>
        <w:jc w:val="both"/>
        <w:rPr>
          <w:rFonts w:asciiTheme="minorHAnsi" w:hAnsiTheme="minorHAnsi" w:cs="Calibri"/>
          <w:b/>
        </w:rPr>
      </w:pPr>
    </w:p>
    <w:p w14:paraId="4AAFBD7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Patrimonio de Organismos descentralizados de Control Presupuestario Indirecto:</w:t>
      </w:r>
    </w:p>
    <w:p w14:paraId="53057027"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lastRenderedPageBreak/>
        <w:t>Esta nota no le aplica al ente público.</w:t>
      </w:r>
    </w:p>
    <w:p w14:paraId="12AC58CB" w14:textId="77777777" w:rsidR="00150508" w:rsidRPr="007F5EAA" w:rsidRDefault="00150508" w:rsidP="007D1E76">
      <w:pPr>
        <w:spacing w:after="0" w:line="240" w:lineRule="auto"/>
        <w:jc w:val="both"/>
        <w:rPr>
          <w:rFonts w:asciiTheme="minorHAnsi" w:hAnsiTheme="minorHAnsi" w:cs="Calibri"/>
          <w:b/>
        </w:rPr>
      </w:pPr>
    </w:p>
    <w:p w14:paraId="78D7284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Inversiones en empresas de participación mayoritaria:</w:t>
      </w:r>
    </w:p>
    <w:p w14:paraId="713219E4"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A182CDA" w14:textId="77777777" w:rsidR="00150508" w:rsidRPr="007F5EAA" w:rsidRDefault="00150508" w:rsidP="007D1E76">
      <w:pPr>
        <w:spacing w:after="0" w:line="240" w:lineRule="auto"/>
        <w:jc w:val="both"/>
        <w:rPr>
          <w:rFonts w:asciiTheme="minorHAnsi" w:hAnsiTheme="minorHAnsi" w:cs="Calibri"/>
          <w:b/>
        </w:rPr>
      </w:pPr>
    </w:p>
    <w:p w14:paraId="7C7D65C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Inversiones en empresas de participación minoritaria:</w:t>
      </w:r>
    </w:p>
    <w:p w14:paraId="71B5B70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633AF1E3" w14:textId="77777777" w:rsidR="00150508" w:rsidRPr="007F5EAA" w:rsidRDefault="00150508" w:rsidP="007D1E76">
      <w:pPr>
        <w:spacing w:after="0" w:line="240" w:lineRule="auto"/>
        <w:jc w:val="both"/>
        <w:rPr>
          <w:rFonts w:asciiTheme="minorHAnsi" w:hAnsiTheme="minorHAnsi" w:cs="Calibri"/>
          <w:b/>
        </w:rPr>
      </w:pPr>
    </w:p>
    <w:p w14:paraId="675E7EC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Patrimonio de organismos descentralizados de control presupuestario directo, según corresponda:</w:t>
      </w:r>
    </w:p>
    <w:p w14:paraId="2F32BF62"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48E4EEB0" w14:textId="77777777" w:rsidR="007D1E76" w:rsidRPr="007F5EAA" w:rsidRDefault="007D1E76" w:rsidP="007D1E76">
      <w:pPr>
        <w:spacing w:after="0" w:line="240" w:lineRule="auto"/>
        <w:jc w:val="both"/>
        <w:rPr>
          <w:rFonts w:asciiTheme="minorHAnsi" w:hAnsiTheme="minorHAnsi" w:cs="Calibri"/>
        </w:rPr>
      </w:pPr>
    </w:p>
    <w:p w14:paraId="11A5B8D9"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9. Fidei</w:t>
      </w:r>
      <w:r w:rsidR="005E231E" w:rsidRPr="007F5EAA">
        <w:rPr>
          <w:rFonts w:asciiTheme="minorHAnsi" w:hAnsiTheme="minorHAnsi" w:cs="Calibri"/>
          <w:b/>
        </w:rPr>
        <w:t>comisos, Mandatos y Análogos:</w:t>
      </w:r>
    </w:p>
    <w:p w14:paraId="1DB10752" w14:textId="77777777" w:rsidR="007D1E76" w:rsidRPr="007F5EAA" w:rsidRDefault="007D1E76" w:rsidP="007D1E76">
      <w:pPr>
        <w:spacing w:after="0" w:line="240" w:lineRule="auto"/>
        <w:jc w:val="both"/>
        <w:rPr>
          <w:rFonts w:asciiTheme="minorHAnsi" w:hAnsiTheme="minorHAnsi" w:cs="Calibri"/>
        </w:rPr>
      </w:pPr>
    </w:p>
    <w:p w14:paraId="2B7287E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Por ramo administrativo que los reporta:</w:t>
      </w:r>
    </w:p>
    <w:p w14:paraId="63D40B05"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El ente no figura como fideicomiso.</w:t>
      </w:r>
    </w:p>
    <w:p w14:paraId="58B7ACCF" w14:textId="77777777" w:rsidR="00150508" w:rsidRPr="007F5EAA" w:rsidRDefault="00150508" w:rsidP="007D1E76">
      <w:pPr>
        <w:spacing w:after="0" w:line="240" w:lineRule="auto"/>
        <w:jc w:val="both"/>
        <w:rPr>
          <w:rFonts w:asciiTheme="minorHAnsi" w:hAnsiTheme="minorHAnsi" w:cs="Calibri"/>
          <w:b/>
        </w:rPr>
      </w:pPr>
    </w:p>
    <w:p w14:paraId="196D73E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Enlistar los de mayor monto de disponibilidad, relacionando aquéllos que conforman el 80% de las disponibilidades:</w:t>
      </w:r>
    </w:p>
    <w:p w14:paraId="1704B55F"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El ente no figura como fideicomiso.</w:t>
      </w:r>
    </w:p>
    <w:p w14:paraId="2AAEBD6D" w14:textId="77777777" w:rsidR="007D1E76" w:rsidRPr="007F5EAA" w:rsidRDefault="007D1E76" w:rsidP="007D1E76">
      <w:pPr>
        <w:spacing w:after="0" w:line="240" w:lineRule="auto"/>
        <w:jc w:val="both"/>
        <w:rPr>
          <w:rFonts w:asciiTheme="minorHAnsi" w:hAnsiTheme="minorHAnsi" w:cs="Calibri"/>
        </w:rPr>
      </w:pPr>
    </w:p>
    <w:p w14:paraId="0CA5D61E"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10. Reporte de la Recaudación:</w:t>
      </w:r>
    </w:p>
    <w:p w14:paraId="5113F65E" w14:textId="77777777" w:rsidR="007D1E76" w:rsidRPr="007F5EAA" w:rsidRDefault="007D1E76" w:rsidP="007D1E76">
      <w:pPr>
        <w:spacing w:after="0" w:line="240" w:lineRule="auto"/>
        <w:jc w:val="both"/>
        <w:rPr>
          <w:rFonts w:asciiTheme="minorHAnsi" w:hAnsiTheme="minorHAnsi" w:cs="Calibri"/>
        </w:rPr>
      </w:pPr>
    </w:p>
    <w:p w14:paraId="05DF5A3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Análisis del comportamiento de la recaudación correspondiente al ente público o cualquier tipo de ingreso, de forma separada los ingresos locales de los federales:</w:t>
      </w:r>
    </w:p>
    <w:p w14:paraId="64943F80"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654FDB3" w14:textId="77777777" w:rsidR="007D1E76" w:rsidRPr="007F5EAA" w:rsidRDefault="007D1E76" w:rsidP="007D1E76">
      <w:pPr>
        <w:spacing w:after="0" w:line="240" w:lineRule="auto"/>
        <w:jc w:val="both"/>
        <w:rPr>
          <w:rFonts w:asciiTheme="minorHAnsi" w:hAnsiTheme="minorHAnsi" w:cs="Calibri"/>
        </w:rPr>
      </w:pPr>
    </w:p>
    <w:p w14:paraId="25957A9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Proyección de la recaudación e ingresos en el mediano plazo:</w:t>
      </w:r>
    </w:p>
    <w:p w14:paraId="728CE664"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26F8DFB" w14:textId="77777777" w:rsidR="007D1E76" w:rsidRPr="007F5EAA" w:rsidRDefault="007D1E76" w:rsidP="007D1E76">
      <w:pPr>
        <w:spacing w:after="0" w:line="240" w:lineRule="auto"/>
        <w:jc w:val="both"/>
        <w:rPr>
          <w:rFonts w:asciiTheme="minorHAnsi" w:hAnsiTheme="minorHAnsi" w:cs="Calibri"/>
        </w:rPr>
      </w:pPr>
    </w:p>
    <w:p w14:paraId="2CA68F35"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11. Información sobre la Deuda y el R</w:t>
      </w:r>
      <w:r w:rsidR="005E231E" w:rsidRPr="007F5EAA">
        <w:rPr>
          <w:rFonts w:asciiTheme="minorHAnsi" w:hAnsiTheme="minorHAnsi" w:cs="Calibri"/>
          <w:b/>
        </w:rPr>
        <w:t>eporte Analítico de la Deuda:</w:t>
      </w:r>
    </w:p>
    <w:p w14:paraId="0CD0A080" w14:textId="77777777" w:rsidR="007D1E76" w:rsidRPr="007F5EAA" w:rsidRDefault="007D1E76" w:rsidP="007D1E76">
      <w:pPr>
        <w:spacing w:after="0" w:line="240" w:lineRule="auto"/>
        <w:jc w:val="both"/>
        <w:rPr>
          <w:rFonts w:asciiTheme="minorHAnsi" w:hAnsiTheme="minorHAnsi" w:cs="Calibri"/>
        </w:rPr>
      </w:pPr>
    </w:p>
    <w:p w14:paraId="3AAA037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Utilizar al menos los siguientes indicadores: deuda respecto al PIB y deuda respecto a la recaudación tomando, como mínimo, un período igual o menor a 5 años.</w:t>
      </w:r>
    </w:p>
    <w:p w14:paraId="275422E8" w14:textId="77777777" w:rsidR="007D1E76" w:rsidRPr="007F5EAA" w:rsidRDefault="007D1E76" w:rsidP="007D1E76">
      <w:pPr>
        <w:spacing w:after="0" w:line="240" w:lineRule="auto"/>
        <w:jc w:val="both"/>
        <w:rPr>
          <w:rFonts w:asciiTheme="minorHAnsi" w:hAnsiTheme="minorHAnsi" w:cs="Calibri"/>
        </w:rPr>
      </w:pPr>
    </w:p>
    <w:p w14:paraId="61CBF1F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Información de manera agrupada por tipo de valor gubernamental o instrumento financiero en la que se considere</w:t>
      </w:r>
      <w:r w:rsidR="001973A2" w:rsidRPr="007F5EAA">
        <w:rPr>
          <w:rFonts w:asciiTheme="minorHAnsi" w:hAnsiTheme="minorHAnsi" w:cs="Calibri"/>
        </w:rPr>
        <w:t>n</w:t>
      </w:r>
      <w:r w:rsidRPr="007F5EAA">
        <w:rPr>
          <w:rFonts w:asciiTheme="minorHAnsi" w:hAnsiTheme="minorHAnsi" w:cs="Calibri"/>
        </w:rPr>
        <w:t xml:space="preserve"> intereses, comisiones, tasa, perfil de vencimiento y otros gastos de la deuda.</w:t>
      </w:r>
    </w:p>
    <w:p w14:paraId="680ED98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 xml:space="preserve">* Se </w:t>
      </w:r>
      <w:proofErr w:type="gramStart"/>
      <w:r w:rsidRPr="007F5EAA">
        <w:rPr>
          <w:rFonts w:asciiTheme="minorHAnsi" w:hAnsiTheme="minorHAnsi" w:cs="Calibri"/>
        </w:rPr>
        <w:t>anexara</w:t>
      </w:r>
      <w:proofErr w:type="gramEnd"/>
      <w:r w:rsidRPr="007F5EAA">
        <w:rPr>
          <w:rFonts w:asciiTheme="minorHAnsi" w:hAnsiTheme="minorHAnsi" w:cs="Calibri"/>
        </w:rPr>
        <w:t xml:space="preserve"> la informació</w:t>
      </w:r>
      <w:r w:rsidR="005E231E" w:rsidRPr="007F5EAA">
        <w:rPr>
          <w:rFonts w:asciiTheme="minorHAnsi" w:hAnsiTheme="minorHAnsi" w:cs="Calibri"/>
        </w:rPr>
        <w:t>n en las notas de desglose.</w:t>
      </w:r>
      <w:r w:rsidR="00150508" w:rsidRPr="007F5EAA">
        <w:rPr>
          <w:rFonts w:asciiTheme="minorHAnsi" w:hAnsiTheme="minorHAnsi" w:cs="Calibri"/>
        </w:rPr>
        <w:t xml:space="preserve"> </w:t>
      </w:r>
    </w:p>
    <w:p w14:paraId="1CBC552F"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001C9B95" w14:textId="77777777" w:rsidR="007D1E76" w:rsidRPr="007F5EAA" w:rsidRDefault="007D1E76" w:rsidP="007D1E76">
      <w:pPr>
        <w:spacing w:after="0" w:line="240" w:lineRule="auto"/>
        <w:jc w:val="both"/>
        <w:rPr>
          <w:rFonts w:asciiTheme="minorHAnsi" w:hAnsiTheme="minorHAnsi" w:cs="Calibri"/>
        </w:rPr>
      </w:pPr>
    </w:p>
    <w:p w14:paraId="64895CBF"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12.</w:t>
      </w:r>
      <w:r w:rsidR="005E231E" w:rsidRPr="007F5EAA">
        <w:rPr>
          <w:rFonts w:asciiTheme="minorHAnsi" w:hAnsiTheme="minorHAnsi" w:cs="Calibri"/>
          <w:b/>
        </w:rPr>
        <w:t xml:space="preserve"> Calificaciones otorgadas:</w:t>
      </w:r>
    </w:p>
    <w:p w14:paraId="04B7FF62" w14:textId="77777777" w:rsidR="007D1E76" w:rsidRPr="007F5EAA" w:rsidRDefault="007D1E76" w:rsidP="007D1E76">
      <w:pPr>
        <w:spacing w:after="0" w:line="240" w:lineRule="auto"/>
        <w:jc w:val="both"/>
        <w:rPr>
          <w:rFonts w:asciiTheme="minorHAnsi" w:hAnsiTheme="minorHAnsi" w:cs="Calibri"/>
        </w:rPr>
      </w:pPr>
    </w:p>
    <w:p w14:paraId="21CCF4F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Informar, tanto del ente público como cualquier transacción realizada, que haya sido sujeta a una calificación crediticia:</w:t>
      </w:r>
    </w:p>
    <w:p w14:paraId="4EDF9C6C"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7380C781" w14:textId="77777777" w:rsidR="007D1E76" w:rsidRPr="007F5EAA" w:rsidRDefault="007D1E76" w:rsidP="007D1E76">
      <w:pPr>
        <w:spacing w:after="0" w:line="240" w:lineRule="auto"/>
        <w:jc w:val="both"/>
        <w:rPr>
          <w:rFonts w:asciiTheme="minorHAnsi" w:hAnsiTheme="minorHAnsi" w:cs="Calibri"/>
        </w:rPr>
      </w:pPr>
    </w:p>
    <w:p w14:paraId="2E728BC3"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13. Proceso de Mejora:</w:t>
      </w:r>
    </w:p>
    <w:p w14:paraId="7B6880E4" w14:textId="77777777" w:rsidR="007D1E76" w:rsidRPr="007F5EAA" w:rsidRDefault="007D1E76" w:rsidP="007D1E76">
      <w:pPr>
        <w:spacing w:after="0" w:line="240" w:lineRule="auto"/>
        <w:jc w:val="both"/>
        <w:rPr>
          <w:rFonts w:asciiTheme="minorHAnsi" w:hAnsiTheme="minorHAnsi" w:cs="Calibri"/>
        </w:rPr>
      </w:pPr>
    </w:p>
    <w:p w14:paraId="7325AED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informará de:</w:t>
      </w:r>
    </w:p>
    <w:p w14:paraId="07B1BD23" w14:textId="77777777" w:rsidR="007D1E76" w:rsidRPr="007F5EAA" w:rsidRDefault="007D1E76" w:rsidP="007D1E76">
      <w:pPr>
        <w:spacing w:after="0" w:line="240" w:lineRule="auto"/>
        <w:jc w:val="both"/>
        <w:rPr>
          <w:rFonts w:asciiTheme="minorHAnsi" w:hAnsiTheme="minorHAnsi" w:cs="Calibri"/>
        </w:rPr>
      </w:pPr>
    </w:p>
    <w:p w14:paraId="48B1966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lastRenderedPageBreak/>
        <w:t>a)</w:t>
      </w:r>
      <w:r w:rsidRPr="007F5EAA">
        <w:rPr>
          <w:rFonts w:asciiTheme="minorHAnsi" w:hAnsiTheme="minorHAnsi" w:cs="Calibri"/>
        </w:rPr>
        <w:t xml:space="preserve"> Principales Políticas de control interno:</w:t>
      </w:r>
    </w:p>
    <w:p w14:paraId="5FE380BF" w14:textId="77777777" w:rsidR="00150508" w:rsidRP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w:t>
      </w:r>
      <w:r w:rsidR="007F5EAA">
        <w:rPr>
          <w:rFonts w:asciiTheme="minorHAnsi" w:hAnsiTheme="minorHAnsi" w:cs="Calibri"/>
          <w:u w:val="single"/>
        </w:rPr>
        <w:t xml:space="preserve"> </w:t>
      </w:r>
      <w:r w:rsidRPr="007F5EAA">
        <w:rPr>
          <w:rFonts w:asciiTheme="minorHAnsi" w:hAnsiTheme="minorHAnsi" w:cs="Calibri"/>
          <w:u w:val="single"/>
        </w:rPr>
        <w:t>Disciplina y austeridad en el gasto público.</w:t>
      </w:r>
    </w:p>
    <w:p w14:paraId="35CF1A58" w14:textId="77777777" w:rsid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w:t>
      </w:r>
      <w:r w:rsidR="007F5EAA">
        <w:rPr>
          <w:rFonts w:asciiTheme="minorHAnsi" w:hAnsiTheme="minorHAnsi" w:cs="Calibri"/>
          <w:u w:val="single"/>
        </w:rPr>
        <w:t xml:space="preserve"> </w:t>
      </w:r>
      <w:r w:rsidRPr="007F5EAA">
        <w:rPr>
          <w:rFonts w:asciiTheme="minorHAnsi" w:hAnsiTheme="minorHAnsi" w:cs="Calibri"/>
          <w:u w:val="single"/>
        </w:rPr>
        <w:t>Lineamientos internos de administración</w:t>
      </w:r>
    </w:p>
    <w:p w14:paraId="65327E94" w14:textId="77777777" w:rsidR="00150508" w:rsidRP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1) </w:t>
      </w:r>
      <w:r w:rsidR="00B958C9" w:rsidRPr="007F5EAA">
        <w:rPr>
          <w:rFonts w:asciiTheme="minorHAnsi" w:hAnsiTheme="minorHAnsi" w:cs="Calibri"/>
          <w:u w:val="single"/>
        </w:rPr>
        <w:t>Administrativos</w:t>
      </w:r>
    </w:p>
    <w:p w14:paraId="5D2EE116"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2) Recursos Humanos</w:t>
      </w:r>
    </w:p>
    <w:p w14:paraId="6A7DE35A"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3) Recursos Materiales</w:t>
      </w:r>
    </w:p>
    <w:p w14:paraId="7A87F624"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4) Control de archivos</w:t>
      </w:r>
    </w:p>
    <w:p w14:paraId="4CFACC59" w14:textId="77777777" w:rsidR="007D1E76" w:rsidRPr="007F5EAA" w:rsidRDefault="007D1E76" w:rsidP="007D1E76">
      <w:pPr>
        <w:spacing w:after="0" w:line="240" w:lineRule="auto"/>
        <w:jc w:val="both"/>
        <w:rPr>
          <w:rFonts w:asciiTheme="minorHAnsi" w:hAnsiTheme="minorHAnsi" w:cs="Calibri"/>
        </w:rPr>
      </w:pPr>
    </w:p>
    <w:p w14:paraId="4C7E432E"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w:t>
      </w:r>
      <w:r w:rsidR="005E231E" w:rsidRPr="007F5EAA">
        <w:rPr>
          <w:rFonts w:asciiTheme="minorHAnsi" w:hAnsiTheme="minorHAnsi" w:cs="Calibri"/>
          <w:b/>
        </w:rPr>
        <w:t>4. Información por Segmentos:</w:t>
      </w:r>
    </w:p>
    <w:p w14:paraId="22E4152D" w14:textId="77777777" w:rsidR="007D1E76" w:rsidRPr="007F5EAA" w:rsidRDefault="007D1E76" w:rsidP="007D1E76">
      <w:pPr>
        <w:spacing w:after="0" w:line="240" w:lineRule="auto"/>
        <w:jc w:val="both"/>
        <w:rPr>
          <w:rFonts w:asciiTheme="minorHAnsi" w:hAnsiTheme="minorHAnsi" w:cs="Calibri"/>
        </w:rPr>
      </w:pPr>
    </w:p>
    <w:p w14:paraId="230D348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CA58021" w14:textId="77777777" w:rsidR="007D1E76" w:rsidRPr="007F5EAA" w:rsidRDefault="007D1E76" w:rsidP="007D1E76">
      <w:pPr>
        <w:spacing w:after="0" w:line="240" w:lineRule="auto"/>
        <w:jc w:val="both"/>
        <w:rPr>
          <w:rFonts w:asciiTheme="minorHAnsi" w:hAnsiTheme="minorHAnsi" w:cs="Calibri"/>
        </w:rPr>
      </w:pPr>
    </w:p>
    <w:p w14:paraId="04313E5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Consecuentemente, esta información contribuye al análisis más preciso de la situación financiera, grados y fuentes de riesgo y crec</w:t>
      </w:r>
      <w:r w:rsidR="005E231E" w:rsidRPr="007F5EAA">
        <w:rPr>
          <w:rFonts w:asciiTheme="minorHAnsi" w:hAnsiTheme="minorHAnsi" w:cs="Calibri"/>
        </w:rPr>
        <w:t>imiento potencial de negocio.</w:t>
      </w:r>
    </w:p>
    <w:p w14:paraId="70316CF7" w14:textId="77777777" w:rsidR="003F3469" w:rsidRPr="007F5EAA" w:rsidRDefault="003F3469" w:rsidP="007D1E76">
      <w:pPr>
        <w:spacing w:after="0" w:line="240" w:lineRule="auto"/>
        <w:jc w:val="both"/>
        <w:rPr>
          <w:rFonts w:asciiTheme="minorHAnsi" w:hAnsiTheme="minorHAnsi" w:cs="Calibri"/>
        </w:rPr>
      </w:pPr>
    </w:p>
    <w:p w14:paraId="332E2602"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15. E</w:t>
      </w:r>
      <w:r w:rsidR="005E231E" w:rsidRPr="007F5EAA">
        <w:rPr>
          <w:rFonts w:asciiTheme="minorHAnsi" w:hAnsiTheme="minorHAnsi" w:cs="Calibri"/>
          <w:b/>
        </w:rPr>
        <w:t>ventos Posteriores al Cierre:</w:t>
      </w:r>
    </w:p>
    <w:p w14:paraId="0C74F252" w14:textId="77777777" w:rsidR="007D1E76" w:rsidRPr="007F5EAA" w:rsidRDefault="007D1E76" w:rsidP="007D1E76">
      <w:pPr>
        <w:spacing w:after="0" w:line="240" w:lineRule="auto"/>
        <w:jc w:val="both"/>
        <w:rPr>
          <w:rFonts w:asciiTheme="minorHAnsi" w:hAnsiTheme="minorHAnsi" w:cs="Calibri"/>
        </w:rPr>
      </w:pPr>
    </w:p>
    <w:p w14:paraId="7D80F43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proofErr w:type="gramStart"/>
      <w:r w:rsidRPr="007F5EAA">
        <w:rPr>
          <w:rFonts w:asciiTheme="minorHAnsi" w:hAnsiTheme="minorHAnsi" w:cs="Calibri"/>
        </w:rPr>
        <w:t>afectan  económicamente</w:t>
      </w:r>
      <w:proofErr w:type="gramEnd"/>
      <w:r w:rsidRPr="007F5EAA">
        <w:rPr>
          <w:rFonts w:asciiTheme="minorHAnsi" w:hAnsiTheme="minorHAnsi" w:cs="Calibri"/>
        </w:rPr>
        <w:t xml:space="preserve"> y que no se cono</w:t>
      </w:r>
      <w:r w:rsidR="005E231E" w:rsidRPr="007F5EAA">
        <w:rPr>
          <w:rFonts w:asciiTheme="minorHAnsi" w:hAnsiTheme="minorHAnsi" w:cs="Calibri"/>
        </w:rPr>
        <w:t>cían a la fecha de cierre.</w:t>
      </w:r>
      <w:r w:rsidR="005E231E" w:rsidRPr="007F5EAA">
        <w:rPr>
          <w:rFonts w:asciiTheme="minorHAnsi" w:hAnsiTheme="minorHAnsi" w:cs="Calibri"/>
        </w:rPr>
        <w:cr/>
      </w:r>
    </w:p>
    <w:p w14:paraId="57263700" w14:textId="77777777" w:rsidR="007D1E76" w:rsidRPr="007F5EAA" w:rsidRDefault="005E231E" w:rsidP="007D1E76">
      <w:pPr>
        <w:spacing w:after="0" w:line="240" w:lineRule="auto"/>
        <w:jc w:val="both"/>
        <w:rPr>
          <w:rFonts w:asciiTheme="minorHAnsi" w:hAnsiTheme="minorHAnsi" w:cs="Calibri"/>
          <w:b/>
        </w:rPr>
      </w:pPr>
      <w:r w:rsidRPr="007F5EAA">
        <w:rPr>
          <w:rFonts w:asciiTheme="minorHAnsi" w:hAnsiTheme="minorHAnsi" w:cs="Calibri"/>
          <w:b/>
        </w:rPr>
        <w:t>16. Partes Relacionadas:</w:t>
      </w:r>
    </w:p>
    <w:p w14:paraId="7018E46C" w14:textId="77777777" w:rsidR="007D1E76" w:rsidRPr="007F5EAA" w:rsidRDefault="007D1E76" w:rsidP="007D1E76">
      <w:pPr>
        <w:spacing w:after="0" w:line="240" w:lineRule="auto"/>
        <w:jc w:val="both"/>
        <w:rPr>
          <w:rFonts w:asciiTheme="minorHAnsi" w:hAnsiTheme="minorHAnsi" w:cs="Calibri"/>
        </w:rPr>
      </w:pPr>
    </w:p>
    <w:p w14:paraId="05FFF2E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debe establecer por escrito que no existen partes relacionadas que pudieran ejercer influencia significativa sobre la toma de decisiones financieras y operativas:</w:t>
      </w:r>
    </w:p>
    <w:p w14:paraId="47156E17" w14:textId="77777777" w:rsidR="00B958C9" w:rsidRPr="00DB58BE" w:rsidRDefault="00B958C9" w:rsidP="00B958C9">
      <w:pPr>
        <w:spacing w:after="0" w:line="240" w:lineRule="auto"/>
        <w:jc w:val="both"/>
        <w:rPr>
          <w:rFonts w:asciiTheme="minorHAnsi" w:hAnsiTheme="minorHAnsi" w:cs="Calibri"/>
          <w:u w:val="single"/>
        </w:rPr>
      </w:pPr>
      <w:r w:rsidRPr="00DB58BE">
        <w:rPr>
          <w:rFonts w:asciiTheme="minorHAnsi" w:hAnsiTheme="minorHAnsi" w:cs="Calibri"/>
          <w:u w:val="single"/>
        </w:rPr>
        <w:t>Esta nota no le aplica al ente público.</w:t>
      </w:r>
    </w:p>
    <w:p w14:paraId="1C2D45B8" w14:textId="77777777" w:rsidR="007D1E76" w:rsidRPr="007F5EAA" w:rsidRDefault="007D1E76" w:rsidP="007D1E76">
      <w:pPr>
        <w:spacing w:after="0" w:line="240" w:lineRule="auto"/>
        <w:jc w:val="both"/>
        <w:rPr>
          <w:rFonts w:asciiTheme="minorHAnsi" w:hAnsiTheme="minorHAnsi" w:cs="Calibri"/>
        </w:rPr>
      </w:pPr>
    </w:p>
    <w:p w14:paraId="0FD863C3"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17. </w:t>
      </w:r>
      <w:r w:rsidR="001973A2" w:rsidRPr="007F5EAA">
        <w:rPr>
          <w:rFonts w:asciiTheme="minorHAnsi" w:hAnsiTheme="minorHAnsi" w:cs="Calibri"/>
          <w:b/>
        </w:rPr>
        <w:t>Responsabilidad Sobre la Presentación Razonable de la Información Contable</w:t>
      </w:r>
      <w:r w:rsidR="005E231E" w:rsidRPr="007F5EAA">
        <w:rPr>
          <w:rFonts w:asciiTheme="minorHAnsi" w:hAnsiTheme="minorHAnsi" w:cs="Calibri"/>
          <w:b/>
        </w:rPr>
        <w:t>:</w:t>
      </w:r>
    </w:p>
    <w:p w14:paraId="7B77E0FD" w14:textId="77777777" w:rsidR="007D1E76" w:rsidRPr="007F5EAA" w:rsidRDefault="007D1E76" w:rsidP="007D1E76">
      <w:pPr>
        <w:spacing w:after="0" w:line="240" w:lineRule="auto"/>
        <w:jc w:val="both"/>
        <w:rPr>
          <w:rFonts w:asciiTheme="minorHAnsi" w:hAnsiTheme="minorHAnsi" w:cs="Calibri"/>
        </w:rPr>
      </w:pPr>
    </w:p>
    <w:p w14:paraId="40FF501B" w14:textId="77777777" w:rsidR="007D1E76" w:rsidRDefault="001973A2" w:rsidP="007D1E76">
      <w:pPr>
        <w:spacing w:after="0" w:line="240" w:lineRule="auto"/>
        <w:jc w:val="both"/>
        <w:rPr>
          <w:rFonts w:asciiTheme="minorHAnsi" w:hAnsiTheme="minorHAnsi" w:cs="Calibri"/>
        </w:rPr>
      </w:pPr>
      <w:r w:rsidRPr="007F5EAA">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bookmarkEnd w:id="0"/>
    </w:p>
    <w:p w14:paraId="1DB101F0" w14:textId="77777777" w:rsidR="004C0270" w:rsidRDefault="004C0270" w:rsidP="007D1E76">
      <w:pPr>
        <w:spacing w:after="0" w:line="240" w:lineRule="auto"/>
        <w:jc w:val="both"/>
        <w:rPr>
          <w:rFonts w:asciiTheme="minorHAnsi" w:hAnsiTheme="minorHAnsi" w:cs="Calibri"/>
        </w:rPr>
      </w:pPr>
    </w:p>
    <w:tbl>
      <w:tblPr>
        <w:tblW w:w="8760" w:type="dxa"/>
        <w:tblInd w:w="70" w:type="dxa"/>
        <w:tblCellMar>
          <w:left w:w="70" w:type="dxa"/>
          <w:right w:w="70" w:type="dxa"/>
        </w:tblCellMar>
        <w:tblLook w:val="04A0" w:firstRow="1" w:lastRow="0" w:firstColumn="1" w:lastColumn="0" w:noHBand="0" w:noVBand="1"/>
      </w:tblPr>
      <w:tblGrid>
        <w:gridCol w:w="3220"/>
        <w:gridCol w:w="2140"/>
        <w:gridCol w:w="3400"/>
      </w:tblGrid>
      <w:tr w:rsidR="004C0270" w:rsidRPr="004C0270" w14:paraId="676C9DBC" w14:textId="77777777" w:rsidTr="004C0270">
        <w:trPr>
          <w:trHeight w:val="225"/>
        </w:trPr>
        <w:tc>
          <w:tcPr>
            <w:tcW w:w="3220" w:type="dxa"/>
            <w:tcBorders>
              <w:top w:val="nil"/>
              <w:left w:val="nil"/>
              <w:bottom w:val="single" w:sz="4" w:space="0" w:color="auto"/>
              <w:right w:val="nil"/>
            </w:tcBorders>
            <w:shd w:val="clear" w:color="auto" w:fill="auto"/>
            <w:hideMark/>
          </w:tcPr>
          <w:p w14:paraId="2AA41DC5" w14:textId="77777777" w:rsidR="004C0270" w:rsidRPr="004C0270" w:rsidRDefault="004C0270" w:rsidP="004C0270">
            <w:pPr>
              <w:spacing w:after="0" w:line="240" w:lineRule="auto"/>
              <w:rPr>
                <w:rFonts w:ascii="Arial" w:eastAsia="Times New Roman" w:hAnsi="Arial" w:cs="Arial"/>
                <w:sz w:val="16"/>
                <w:szCs w:val="16"/>
                <w:lang w:eastAsia="es-MX"/>
              </w:rPr>
            </w:pPr>
            <w:r w:rsidRPr="004C0270">
              <w:rPr>
                <w:rFonts w:ascii="Arial" w:eastAsia="Times New Roman" w:hAnsi="Arial" w:cs="Arial"/>
                <w:sz w:val="16"/>
                <w:szCs w:val="16"/>
                <w:lang w:eastAsia="es-MX"/>
              </w:rPr>
              <w:t> </w:t>
            </w:r>
          </w:p>
        </w:tc>
        <w:tc>
          <w:tcPr>
            <w:tcW w:w="2140" w:type="dxa"/>
            <w:tcBorders>
              <w:top w:val="nil"/>
              <w:left w:val="nil"/>
              <w:bottom w:val="nil"/>
              <w:right w:val="nil"/>
            </w:tcBorders>
            <w:shd w:val="clear" w:color="auto" w:fill="auto"/>
            <w:hideMark/>
          </w:tcPr>
          <w:p w14:paraId="7516D047" w14:textId="77777777" w:rsidR="004C0270" w:rsidRPr="004C0270" w:rsidRDefault="004C0270" w:rsidP="004C0270">
            <w:pPr>
              <w:spacing w:after="0" w:line="240" w:lineRule="auto"/>
              <w:rPr>
                <w:rFonts w:ascii="Arial" w:eastAsia="Times New Roman" w:hAnsi="Arial" w:cs="Arial"/>
                <w:sz w:val="16"/>
                <w:szCs w:val="16"/>
                <w:lang w:eastAsia="es-MX"/>
              </w:rPr>
            </w:pPr>
          </w:p>
        </w:tc>
        <w:tc>
          <w:tcPr>
            <w:tcW w:w="3400" w:type="dxa"/>
            <w:tcBorders>
              <w:top w:val="nil"/>
              <w:left w:val="nil"/>
              <w:bottom w:val="single" w:sz="4" w:space="0" w:color="auto"/>
              <w:right w:val="nil"/>
            </w:tcBorders>
            <w:shd w:val="clear" w:color="auto" w:fill="auto"/>
            <w:hideMark/>
          </w:tcPr>
          <w:p w14:paraId="0741191A"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 </w:t>
            </w:r>
          </w:p>
        </w:tc>
      </w:tr>
      <w:tr w:rsidR="004C0270" w:rsidRPr="004C0270" w14:paraId="05D288AC" w14:textId="77777777" w:rsidTr="004C0270">
        <w:trPr>
          <w:trHeight w:val="225"/>
        </w:trPr>
        <w:tc>
          <w:tcPr>
            <w:tcW w:w="3220" w:type="dxa"/>
            <w:tcBorders>
              <w:top w:val="nil"/>
              <w:left w:val="nil"/>
              <w:bottom w:val="nil"/>
              <w:right w:val="nil"/>
            </w:tcBorders>
            <w:shd w:val="clear" w:color="auto" w:fill="auto"/>
            <w:hideMark/>
          </w:tcPr>
          <w:p w14:paraId="4CEC2457"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Lic. Luis Gerardo Valdovino Fuentes</w:t>
            </w:r>
          </w:p>
        </w:tc>
        <w:tc>
          <w:tcPr>
            <w:tcW w:w="2140" w:type="dxa"/>
            <w:tcBorders>
              <w:top w:val="nil"/>
              <w:left w:val="nil"/>
              <w:bottom w:val="nil"/>
              <w:right w:val="nil"/>
            </w:tcBorders>
            <w:shd w:val="clear" w:color="auto" w:fill="auto"/>
            <w:hideMark/>
          </w:tcPr>
          <w:p w14:paraId="1A3AFECA" w14:textId="77777777" w:rsidR="004C0270" w:rsidRPr="004C0270" w:rsidRDefault="004C0270" w:rsidP="004C0270">
            <w:pPr>
              <w:spacing w:after="0" w:line="240" w:lineRule="auto"/>
              <w:jc w:val="center"/>
              <w:rPr>
                <w:rFonts w:ascii="Arial" w:eastAsia="Times New Roman" w:hAnsi="Arial" w:cs="Arial"/>
                <w:sz w:val="16"/>
                <w:szCs w:val="16"/>
                <w:lang w:eastAsia="es-MX"/>
              </w:rPr>
            </w:pPr>
          </w:p>
        </w:tc>
        <w:tc>
          <w:tcPr>
            <w:tcW w:w="3400" w:type="dxa"/>
            <w:tcBorders>
              <w:top w:val="nil"/>
              <w:left w:val="nil"/>
              <w:bottom w:val="nil"/>
              <w:right w:val="nil"/>
            </w:tcBorders>
            <w:shd w:val="clear" w:color="auto" w:fill="auto"/>
            <w:hideMark/>
          </w:tcPr>
          <w:p w14:paraId="644D5569"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C.P. Martín Soto Rodríguez</w:t>
            </w:r>
          </w:p>
        </w:tc>
      </w:tr>
      <w:tr w:rsidR="004C0270" w:rsidRPr="004C0270" w14:paraId="28D04163" w14:textId="77777777" w:rsidTr="004C0270">
        <w:trPr>
          <w:trHeight w:val="225"/>
        </w:trPr>
        <w:tc>
          <w:tcPr>
            <w:tcW w:w="3220" w:type="dxa"/>
            <w:tcBorders>
              <w:top w:val="nil"/>
              <w:left w:val="nil"/>
              <w:bottom w:val="nil"/>
              <w:right w:val="nil"/>
            </w:tcBorders>
            <w:shd w:val="clear" w:color="auto" w:fill="auto"/>
            <w:hideMark/>
          </w:tcPr>
          <w:p w14:paraId="78D1D4B2"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Encargado de Despacho de la Dir. Gral.</w:t>
            </w:r>
          </w:p>
        </w:tc>
        <w:tc>
          <w:tcPr>
            <w:tcW w:w="2140" w:type="dxa"/>
            <w:tcBorders>
              <w:top w:val="nil"/>
              <w:left w:val="nil"/>
              <w:bottom w:val="nil"/>
              <w:right w:val="nil"/>
            </w:tcBorders>
            <w:shd w:val="clear" w:color="auto" w:fill="auto"/>
            <w:hideMark/>
          </w:tcPr>
          <w:p w14:paraId="24D9A2EF" w14:textId="77777777" w:rsidR="004C0270" w:rsidRPr="004C0270" w:rsidRDefault="004C0270" w:rsidP="004C0270">
            <w:pPr>
              <w:spacing w:after="0" w:line="240" w:lineRule="auto"/>
              <w:jc w:val="center"/>
              <w:rPr>
                <w:rFonts w:ascii="Arial" w:eastAsia="Times New Roman" w:hAnsi="Arial" w:cs="Arial"/>
                <w:sz w:val="16"/>
                <w:szCs w:val="16"/>
                <w:lang w:eastAsia="es-MX"/>
              </w:rPr>
            </w:pPr>
          </w:p>
        </w:tc>
        <w:tc>
          <w:tcPr>
            <w:tcW w:w="3400" w:type="dxa"/>
            <w:tcBorders>
              <w:top w:val="nil"/>
              <w:left w:val="nil"/>
              <w:bottom w:val="nil"/>
              <w:right w:val="nil"/>
            </w:tcBorders>
            <w:shd w:val="clear" w:color="auto" w:fill="auto"/>
            <w:hideMark/>
          </w:tcPr>
          <w:p w14:paraId="4C4C5E73"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Coordinador Administrativos</w:t>
            </w:r>
          </w:p>
        </w:tc>
      </w:tr>
    </w:tbl>
    <w:p w14:paraId="5869441C" w14:textId="77777777" w:rsidR="004C0270" w:rsidRPr="007F5EAA" w:rsidRDefault="004C0270" w:rsidP="007D1E76">
      <w:pPr>
        <w:spacing w:after="0" w:line="240" w:lineRule="auto"/>
        <w:jc w:val="both"/>
        <w:rPr>
          <w:rFonts w:asciiTheme="minorHAnsi" w:hAnsiTheme="minorHAnsi" w:cs="Calibri"/>
        </w:rPr>
      </w:pPr>
    </w:p>
    <w:sectPr w:rsidR="004C0270" w:rsidRPr="007F5EAA" w:rsidSect="00657009">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CB26" w14:textId="77777777" w:rsidR="00A935BB" w:rsidRDefault="00A935BB" w:rsidP="00E00323">
      <w:pPr>
        <w:spacing w:after="0" w:line="240" w:lineRule="auto"/>
      </w:pPr>
      <w:r>
        <w:separator/>
      </w:r>
    </w:p>
  </w:endnote>
  <w:endnote w:type="continuationSeparator" w:id="0">
    <w:p w14:paraId="1682441E" w14:textId="77777777" w:rsidR="00A935BB" w:rsidRDefault="00A935B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C742" w14:textId="77777777" w:rsidR="00A935BB" w:rsidRDefault="00A935BB" w:rsidP="00E00323">
      <w:pPr>
        <w:spacing w:after="0" w:line="240" w:lineRule="auto"/>
      </w:pPr>
      <w:r>
        <w:separator/>
      </w:r>
    </w:p>
  </w:footnote>
  <w:footnote w:type="continuationSeparator" w:id="0">
    <w:p w14:paraId="5B3E774F" w14:textId="77777777" w:rsidR="00A935BB" w:rsidRDefault="00A935B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6E06" w14:textId="77777777" w:rsidR="00154BA3" w:rsidRDefault="00270608" w:rsidP="00154BA3">
    <w:pPr>
      <w:pStyle w:val="Encabezado"/>
      <w:jc w:val="center"/>
    </w:pPr>
    <w:r>
      <w:t>Parque Agro Tecnológico Xonotli S.A. de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325E72"/>
    <w:multiLevelType w:val="hybridMultilevel"/>
    <w:tmpl w:val="7BA269B2"/>
    <w:lvl w:ilvl="0" w:tplc="40E4F0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42BC"/>
    <w:rsid w:val="00091CE6"/>
    <w:rsid w:val="000B7810"/>
    <w:rsid w:val="000D4497"/>
    <w:rsid w:val="00150508"/>
    <w:rsid w:val="00154BA3"/>
    <w:rsid w:val="001973A2"/>
    <w:rsid w:val="001C75F2"/>
    <w:rsid w:val="001D2063"/>
    <w:rsid w:val="001D4CE7"/>
    <w:rsid w:val="00201E17"/>
    <w:rsid w:val="00256236"/>
    <w:rsid w:val="00270608"/>
    <w:rsid w:val="00302584"/>
    <w:rsid w:val="00312FF5"/>
    <w:rsid w:val="003208FF"/>
    <w:rsid w:val="003361A4"/>
    <w:rsid w:val="00346D5D"/>
    <w:rsid w:val="003955B1"/>
    <w:rsid w:val="003F3469"/>
    <w:rsid w:val="00435A87"/>
    <w:rsid w:val="004721E0"/>
    <w:rsid w:val="00485976"/>
    <w:rsid w:val="0049595A"/>
    <w:rsid w:val="004A58C8"/>
    <w:rsid w:val="004B7A84"/>
    <w:rsid w:val="004C0270"/>
    <w:rsid w:val="005232C3"/>
    <w:rsid w:val="005279F2"/>
    <w:rsid w:val="00546363"/>
    <w:rsid w:val="005751CB"/>
    <w:rsid w:val="00582673"/>
    <w:rsid w:val="005D3E43"/>
    <w:rsid w:val="005D6F3C"/>
    <w:rsid w:val="005E231E"/>
    <w:rsid w:val="00601071"/>
    <w:rsid w:val="006077A7"/>
    <w:rsid w:val="006471FB"/>
    <w:rsid w:val="00657009"/>
    <w:rsid w:val="00660C32"/>
    <w:rsid w:val="00681C79"/>
    <w:rsid w:val="006973A7"/>
    <w:rsid w:val="006D0712"/>
    <w:rsid w:val="007315F1"/>
    <w:rsid w:val="00741E32"/>
    <w:rsid w:val="00743880"/>
    <w:rsid w:val="007610BC"/>
    <w:rsid w:val="007714AB"/>
    <w:rsid w:val="00776039"/>
    <w:rsid w:val="007C5648"/>
    <w:rsid w:val="007D1E76"/>
    <w:rsid w:val="007F5EAA"/>
    <w:rsid w:val="007F7E3D"/>
    <w:rsid w:val="008010CD"/>
    <w:rsid w:val="00821D07"/>
    <w:rsid w:val="00831B0B"/>
    <w:rsid w:val="0086459F"/>
    <w:rsid w:val="0087500E"/>
    <w:rsid w:val="008E076C"/>
    <w:rsid w:val="00905CBE"/>
    <w:rsid w:val="00A935BB"/>
    <w:rsid w:val="00A9647E"/>
    <w:rsid w:val="00AA41E5"/>
    <w:rsid w:val="00AE1F6A"/>
    <w:rsid w:val="00AF175B"/>
    <w:rsid w:val="00AF1AC2"/>
    <w:rsid w:val="00B745B0"/>
    <w:rsid w:val="00B958C9"/>
    <w:rsid w:val="00BB6AC9"/>
    <w:rsid w:val="00C0057C"/>
    <w:rsid w:val="00C937EE"/>
    <w:rsid w:val="00CC5E13"/>
    <w:rsid w:val="00CE5264"/>
    <w:rsid w:val="00D13C44"/>
    <w:rsid w:val="00D271C4"/>
    <w:rsid w:val="00D84C65"/>
    <w:rsid w:val="00D975B1"/>
    <w:rsid w:val="00DB58BE"/>
    <w:rsid w:val="00DC4410"/>
    <w:rsid w:val="00E00323"/>
    <w:rsid w:val="00E74967"/>
    <w:rsid w:val="00E83150"/>
    <w:rsid w:val="00EA7915"/>
    <w:rsid w:val="00ED0CE2"/>
    <w:rsid w:val="00F04A8E"/>
    <w:rsid w:val="00F703D9"/>
    <w:rsid w:val="00F85F31"/>
    <w:rsid w:val="00F86237"/>
    <w:rsid w:val="00FC7A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65E8F"/>
  <w15:docId w15:val="{4448E5B2-05D8-4B8A-9833-27AD609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styleId="Sinespaciado">
    <w:name w:val="No Spacing"/>
    <w:uiPriority w:val="1"/>
    <w:qFormat/>
    <w:rsid w:val="00D84C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9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66515-2395-4072-BA07-7EAB77CAFDE4}">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2519</Words>
  <Characters>13856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16343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Parque Agro Tecnologico Xonotli</cp:lastModifiedBy>
  <cp:revision>2</cp:revision>
  <cp:lastPrinted>2020-10-27T16:50:00Z</cp:lastPrinted>
  <dcterms:created xsi:type="dcterms:W3CDTF">2021-11-09T18:17:00Z</dcterms:created>
  <dcterms:modified xsi:type="dcterms:W3CDTF">2021-11-09T18:17:00Z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