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677E" w14:textId="77777777" w:rsidR="000B7810" w:rsidRDefault="000B7810" w:rsidP="00CB41C4">
      <w:pPr>
        <w:tabs>
          <w:tab w:val="left" w:leader="underscore" w:pos="9639"/>
        </w:tabs>
        <w:spacing w:after="0" w:line="240" w:lineRule="auto"/>
        <w:jc w:val="center"/>
        <w:rPr>
          <w:rFonts w:ascii="Arial" w:hAnsi="Arial" w:cs="Arial"/>
          <w:sz w:val="20"/>
          <w:szCs w:val="20"/>
        </w:rPr>
      </w:pPr>
    </w:p>
    <w:p w14:paraId="6A9BCC02" w14:textId="77777777" w:rsidR="00AB1907" w:rsidRPr="00F525D7" w:rsidRDefault="00AB1907" w:rsidP="00CB41C4">
      <w:pPr>
        <w:tabs>
          <w:tab w:val="left" w:leader="underscore" w:pos="9639"/>
        </w:tabs>
        <w:spacing w:after="0" w:line="240" w:lineRule="auto"/>
        <w:jc w:val="center"/>
        <w:rPr>
          <w:rFonts w:ascii="Arial" w:hAnsi="Arial" w:cs="Arial"/>
          <w:sz w:val="20"/>
          <w:szCs w:val="20"/>
        </w:rPr>
      </w:pPr>
    </w:p>
    <w:p w14:paraId="006849E8" w14:textId="77777777" w:rsidR="000B7810" w:rsidRPr="00F525D7" w:rsidRDefault="000B7810" w:rsidP="00CB41C4">
      <w:pPr>
        <w:tabs>
          <w:tab w:val="left" w:leader="underscore" w:pos="9639"/>
        </w:tabs>
        <w:spacing w:after="0" w:line="240" w:lineRule="auto"/>
        <w:jc w:val="center"/>
        <w:rPr>
          <w:rFonts w:ascii="Arial" w:hAnsi="Arial" w:cs="Arial"/>
          <w:sz w:val="20"/>
          <w:szCs w:val="20"/>
        </w:rPr>
      </w:pPr>
    </w:p>
    <w:p w14:paraId="3BE809F2" w14:textId="77777777" w:rsidR="007D1E76" w:rsidRPr="00F525D7" w:rsidRDefault="007D1E76" w:rsidP="00CB41C4">
      <w:pPr>
        <w:tabs>
          <w:tab w:val="left" w:leader="underscore" w:pos="9639"/>
        </w:tabs>
        <w:spacing w:after="0" w:line="240" w:lineRule="auto"/>
        <w:jc w:val="center"/>
        <w:rPr>
          <w:rFonts w:ascii="Arial" w:hAnsi="Arial" w:cs="Arial"/>
          <w:b/>
        </w:rPr>
      </w:pPr>
      <w:hyperlink r:id="rId11" w:history="1">
        <w:r w:rsidRPr="00F525D7">
          <w:rPr>
            <w:rStyle w:val="Hipervnculo"/>
            <w:rFonts w:ascii="Arial" w:hAnsi="Arial" w:cs="Arial"/>
            <w:b/>
          </w:rPr>
          <w:t>NOTAS DE GESTIÓN ADMINISTRATIVA</w:t>
        </w:r>
      </w:hyperlink>
    </w:p>
    <w:p w14:paraId="4FD2596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3BC165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1B1C63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Los Estados Financieros de los entes públicos, proveen de información financiera a los principales usuarios de </w:t>
      </w:r>
      <w:proofErr w:type="gramStart"/>
      <w:r w:rsidRPr="00F525D7">
        <w:rPr>
          <w:rFonts w:ascii="Arial" w:hAnsi="Arial" w:cs="Arial"/>
          <w:sz w:val="20"/>
          <w:szCs w:val="20"/>
        </w:rPr>
        <w:t>la misma</w:t>
      </w:r>
      <w:proofErr w:type="gramEnd"/>
      <w:r w:rsidRPr="00F525D7">
        <w:rPr>
          <w:rFonts w:ascii="Arial" w:hAnsi="Arial" w:cs="Arial"/>
          <w:sz w:val="20"/>
          <w:szCs w:val="20"/>
        </w:rPr>
        <w:t>, al</w:t>
      </w:r>
      <w:r w:rsidR="00E00323" w:rsidRPr="00F525D7">
        <w:rPr>
          <w:rFonts w:ascii="Arial" w:hAnsi="Arial" w:cs="Arial"/>
          <w:sz w:val="20"/>
          <w:szCs w:val="20"/>
        </w:rPr>
        <w:t xml:space="preserve"> Congreso y a los ciudadanos.</w:t>
      </w:r>
    </w:p>
    <w:p w14:paraId="4C0F330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E25932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F525D7">
        <w:rPr>
          <w:rFonts w:ascii="Arial" w:hAnsi="Arial" w:cs="Arial"/>
          <w:sz w:val="20"/>
          <w:szCs w:val="20"/>
        </w:rPr>
        <w:t>los m</w:t>
      </w:r>
      <w:r w:rsidR="00E00323" w:rsidRPr="00F525D7">
        <w:rPr>
          <w:rFonts w:ascii="Arial" w:hAnsi="Arial" w:cs="Arial"/>
          <w:sz w:val="20"/>
          <w:szCs w:val="20"/>
        </w:rPr>
        <w:t>ismos</w:t>
      </w:r>
      <w:proofErr w:type="gramEnd"/>
      <w:r w:rsidR="00E00323" w:rsidRPr="00F525D7">
        <w:rPr>
          <w:rFonts w:ascii="Arial" w:hAnsi="Arial" w:cs="Arial"/>
          <w:sz w:val="20"/>
          <w:szCs w:val="20"/>
        </w:rPr>
        <w:t xml:space="preserve"> y sus particularidades.</w:t>
      </w:r>
    </w:p>
    <w:p w14:paraId="028AD91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3B741D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F525D7">
        <w:rPr>
          <w:rFonts w:ascii="Arial" w:hAnsi="Arial" w:cs="Arial"/>
          <w:sz w:val="20"/>
          <w:szCs w:val="20"/>
        </w:rPr>
        <w:t>ones en períodos posteriores.</w:t>
      </w:r>
    </w:p>
    <w:p w14:paraId="48669474" w14:textId="77777777" w:rsidR="007D1E76" w:rsidRDefault="007D1E76" w:rsidP="00CB41C4">
      <w:pPr>
        <w:pStyle w:val="Prrafodelista"/>
        <w:tabs>
          <w:tab w:val="left" w:leader="underscore" w:pos="9639"/>
        </w:tabs>
        <w:spacing w:after="0" w:line="240" w:lineRule="auto"/>
        <w:jc w:val="both"/>
        <w:rPr>
          <w:rFonts w:ascii="Arial" w:hAnsi="Arial" w:cs="Arial"/>
          <w:sz w:val="20"/>
          <w:szCs w:val="20"/>
        </w:rPr>
      </w:pPr>
    </w:p>
    <w:p w14:paraId="2259F677" w14:textId="77777777" w:rsidR="00F525D7" w:rsidRPr="00F525D7" w:rsidRDefault="00F525D7" w:rsidP="00CB41C4">
      <w:pPr>
        <w:pStyle w:val="Prrafodelista"/>
        <w:tabs>
          <w:tab w:val="left" w:leader="underscore" w:pos="9639"/>
        </w:tabs>
        <w:spacing w:after="0" w:line="240" w:lineRule="auto"/>
        <w:jc w:val="both"/>
        <w:rPr>
          <w:rFonts w:ascii="Arial" w:hAnsi="Arial" w:cs="Arial"/>
          <w:sz w:val="20"/>
          <w:szCs w:val="20"/>
        </w:rPr>
      </w:pPr>
    </w:p>
    <w:p w14:paraId="70510247" w14:textId="77777777" w:rsidR="007D1E76" w:rsidRPr="00F525D7"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Las notas de gestión administrativa deben contener los siguientes puntos:</w:t>
      </w:r>
    </w:p>
    <w:p w14:paraId="6ED14FD5" w14:textId="77777777" w:rsidR="007D1E76" w:rsidRDefault="007D1E76" w:rsidP="00CB41C4">
      <w:pPr>
        <w:tabs>
          <w:tab w:val="left" w:leader="underscore" w:pos="9639"/>
        </w:tabs>
        <w:spacing w:after="0" w:line="240" w:lineRule="auto"/>
        <w:jc w:val="both"/>
        <w:rPr>
          <w:rFonts w:ascii="Arial" w:hAnsi="Arial" w:cs="Arial"/>
          <w:sz w:val="20"/>
          <w:szCs w:val="20"/>
        </w:rPr>
      </w:pPr>
    </w:p>
    <w:p w14:paraId="6EF089E6" w14:textId="77777777" w:rsidR="00F525D7" w:rsidRPr="00F525D7" w:rsidRDefault="00F525D7"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1CE72F92" w14:textId="77777777" w:rsidR="00F46719" w:rsidRPr="00F525D7" w:rsidRDefault="00F46719">
          <w:pPr>
            <w:pStyle w:val="TtuloTDC"/>
            <w:rPr>
              <w:rFonts w:ascii="Arial" w:hAnsi="Arial" w:cs="Arial"/>
              <w:sz w:val="20"/>
              <w:szCs w:val="20"/>
            </w:rPr>
          </w:pPr>
          <w:r w:rsidRPr="00F525D7">
            <w:rPr>
              <w:rFonts w:ascii="Arial" w:hAnsi="Arial" w:cs="Arial"/>
              <w:sz w:val="20"/>
              <w:szCs w:val="20"/>
              <w:lang w:val="es-ES"/>
            </w:rPr>
            <w:t>Contenido</w:t>
          </w:r>
        </w:p>
        <w:p w14:paraId="6C18C6FB" w14:textId="22F6FB3B" w:rsidR="00BB6B6F" w:rsidRDefault="00657327">
          <w:pPr>
            <w:pStyle w:val="TDC2"/>
            <w:tabs>
              <w:tab w:val="right" w:leader="dot" w:pos="9678"/>
            </w:tabs>
            <w:rPr>
              <w:rFonts w:asciiTheme="minorHAnsi" w:eastAsiaTheme="minorEastAsia" w:hAnsiTheme="minorHAnsi" w:cstheme="minorBidi"/>
              <w:noProof/>
              <w:lang w:eastAsia="es-MX"/>
            </w:rPr>
          </w:pPr>
          <w:r w:rsidRPr="00F525D7">
            <w:rPr>
              <w:rFonts w:ascii="Arial" w:hAnsi="Arial" w:cs="Arial"/>
              <w:sz w:val="20"/>
              <w:szCs w:val="20"/>
            </w:rPr>
            <w:fldChar w:fldCharType="begin"/>
          </w:r>
          <w:r w:rsidR="00F46719" w:rsidRPr="00F525D7">
            <w:rPr>
              <w:rFonts w:ascii="Arial" w:hAnsi="Arial" w:cs="Arial"/>
              <w:sz w:val="20"/>
              <w:szCs w:val="20"/>
            </w:rPr>
            <w:instrText xml:space="preserve"> TOC \o "1-3" \h \z \u </w:instrText>
          </w:r>
          <w:r w:rsidRPr="00F525D7">
            <w:rPr>
              <w:rFonts w:ascii="Arial" w:hAnsi="Arial" w:cs="Arial"/>
              <w:sz w:val="20"/>
              <w:szCs w:val="20"/>
            </w:rPr>
            <w:fldChar w:fldCharType="separate"/>
          </w:r>
          <w:hyperlink w:anchor="_Toc136601506" w:history="1">
            <w:r w:rsidR="00BB6B6F" w:rsidRPr="00954595">
              <w:rPr>
                <w:rStyle w:val="Hipervnculo"/>
                <w:rFonts w:ascii="Arial" w:hAnsi="Arial" w:cs="Arial"/>
                <w:b/>
                <w:noProof/>
              </w:rPr>
              <w:t>Introducción:</w:t>
            </w:r>
            <w:r w:rsidR="00BB6B6F">
              <w:rPr>
                <w:noProof/>
                <w:webHidden/>
              </w:rPr>
              <w:tab/>
            </w:r>
            <w:r w:rsidR="00BB6B6F">
              <w:rPr>
                <w:noProof/>
                <w:webHidden/>
              </w:rPr>
              <w:fldChar w:fldCharType="begin"/>
            </w:r>
            <w:r w:rsidR="00BB6B6F">
              <w:rPr>
                <w:noProof/>
                <w:webHidden/>
              </w:rPr>
              <w:instrText xml:space="preserve"> PAGEREF _Toc136601506 \h </w:instrText>
            </w:r>
            <w:r w:rsidR="00BB6B6F">
              <w:rPr>
                <w:noProof/>
                <w:webHidden/>
              </w:rPr>
            </w:r>
            <w:r w:rsidR="00BB6B6F">
              <w:rPr>
                <w:noProof/>
                <w:webHidden/>
              </w:rPr>
              <w:fldChar w:fldCharType="separate"/>
            </w:r>
            <w:r w:rsidR="00695CC6">
              <w:rPr>
                <w:noProof/>
                <w:webHidden/>
              </w:rPr>
              <w:t>2</w:t>
            </w:r>
            <w:r w:rsidR="00BB6B6F">
              <w:rPr>
                <w:noProof/>
                <w:webHidden/>
              </w:rPr>
              <w:fldChar w:fldCharType="end"/>
            </w:r>
          </w:hyperlink>
        </w:p>
        <w:p w14:paraId="0D968E50" w14:textId="20A6FA5F" w:rsidR="00BB6B6F" w:rsidRDefault="00BB6B6F">
          <w:pPr>
            <w:pStyle w:val="TDC2"/>
            <w:tabs>
              <w:tab w:val="right" w:leader="dot" w:pos="9678"/>
            </w:tabs>
            <w:rPr>
              <w:rFonts w:asciiTheme="minorHAnsi" w:eastAsiaTheme="minorEastAsia" w:hAnsiTheme="minorHAnsi" w:cstheme="minorBidi"/>
              <w:noProof/>
              <w:lang w:eastAsia="es-MX"/>
            </w:rPr>
          </w:pPr>
          <w:hyperlink w:anchor="_Toc136601507" w:history="1">
            <w:r w:rsidRPr="00954595">
              <w:rPr>
                <w:rStyle w:val="Hipervnculo"/>
                <w:rFonts w:ascii="Arial" w:hAnsi="Arial" w:cs="Arial"/>
                <w:b/>
                <w:noProof/>
              </w:rPr>
              <w:t>1. Autorización e Historia:</w:t>
            </w:r>
            <w:r>
              <w:rPr>
                <w:noProof/>
                <w:webHidden/>
              </w:rPr>
              <w:tab/>
            </w:r>
            <w:r>
              <w:rPr>
                <w:noProof/>
                <w:webHidden/>
              </w:rPr>
              <w:fldChar w:fldCharType="begin"/>
            </w:r>
            <w:r>
              <w:rPr>
                <w:noProof/>
                <w:webHidden/>
              </w:rPr>
              <w:instrText xml:space="preserve"> PAGEREF _Toc136601507 \h </w:instrText>
            </w:r>
            <w:r>
              <w:rPr>
                <w:noProof/>
                <w:webHidden/>
              </w:rPr>
            </w:r>
            <w:r>
              <w:rPr>
                <w:noProof/>
                <w:webHidden/>
              </w:rPr>
              <w:fldChar w:fldCharType="separate"/>
            </w:r>
            <w:r w:rsidR="00695CC6">
              <w:rPr>
                <w:noProof/>
                <w:webHidden/>
              </w:rPr>
              <w:t>2</w:t>
            </w:r>
            <w:r>
              <w:rPr>
                <w:noProof/>
                <w:webHidden/>
              </w:rPr>
              <w:fldChar w:fldCharType="end"/>
            </w:r>
          </w:hyperlink>
        </w:p>
        <w:p w14:paraId="63DE41BE" w14:textId="62EB3B0A" w:rsidR="00BB6B6F" w:rsidRDefault="00BB6B6F">
          <w:pPr>
            <w:pStyle w:val="TDC2"/>
            <w:tabs>
              <w:tab w:val="right" w:leader="dot" w:pos="9678"/>
            </w:tabs>
            <w:rPr>
              <w:rFonts w:asciiTheme="minorHAnsi" w:eastAsiaTheme="minorEastAsia" w:hAnsiTheme="minorHAnsi" w:cstheme="minorBidi"/>
              <w:noProof/>
              <w:lang w:eastAsia="es-MX"/>
            </w:rPr>
          </w:pPr>
          <w:hyperlink w:anchor="_Toc136601508" w:history="1">
            <w:r w:rsidRPr="00954595">
              <w:rPr>
                <w:rStyle w:val="Hipervnculo"/>
                <w:rFonts w:ascii="Arial" w:hAnsi="Arial" w:cs="Arial"/>
                <w:b/>
                <w:noProof/>
              </w:rPr>
              <w:t>2. Panorama Económico y Financiero:</w:t>
            </w:r>
            <w:r>
              <w:rPr>
                <w:noProof/>
                <w:webHidden/>
              </w:rPr>
              <w:tab/>
            </w:r>
            <w:r>
              <w:rPr>
                <w:noProof/>
                <w:webHidden/>
              </w:rPr>
              <w:fldChar w:fldCharType="begin"/>
            </w:r>
            <w:r>
              <w:rPr>
                <w:noProof/>
                <w:webHidden/>
              </w:rPr>
              <w:instrText xml:space="preserve"> PAGEREF _Toc136601508 \h </w:instrText>
            </w:r>
            <w:r>
              <w:rPr>
                <w:noProof/>
                <w:webHidden/>
              </w:rPr>
            </w:r>
            <w:r>
              <w:rPr>
                <w:noProof/>
                <w:webHidden/>
              </w:rPr>
              <w:fldChar w:fldCharType="separate"/>
            </w:r>
            <w:r w:rsidR="00695CC6">
              <w:rPr>
                <w:noProof/>
                <w:webHidden/>
              </w:rPr>
              <w:t>3</w:t>
            </w:r>
            <w:r>
              <w:rPr>
                <w:noProof/>
                <w:webHidden/>
              </w:rPr>
              <w:fldChar w:fldCharType="end"/>
            </w:r>
          </w:hyperlink>
        </w:p>
        <w:p w14:paraId="608CF614" w14:textId="6AF6B9B0" w:rsidR="00BB6B6F" w:rsidRDefault="00BB6B6F">
          <w:pPr>
            <w:pStyle w:val="TDC2"/>
            <w:tabs>
              <w:tab w:val="right" w:leader="dot" w:pos="9678"/>
            </w:tabs>
            <w:rPr>
              <w:rFonts w:asciiTheme="minorHAnsi" w:eastAsiaTheme="minorEastAsia" w:hAnsiTheme="minorHAnsi" w:cstheme="minorBidi"/>
              <w:noProof/>
              <w:lang w:eastAsia="es-MX"/>
            </w:rPr>
          </w:pPr>
          <w:hyperlink w:anchor="_Toc136601509" w:history="1">
            <w:r w:rsidRPr="00954595">
              <w:rPr>
                <w:rStyle w:val="Hipervnculo"/>
                <w:rFonts w:ascii="Arial" w:hAnsi="Arial" w:cs="Arial"/>
                <w:b/>
                <w:noProof/>
              </w:rPr>
              <w:t>3. Organización y Objeto Social:</w:t>
            </w:r>
            <w:r>
              <w:rPr>
                <w:noProof/>
                <w:webHidden/>
              </w:rPr>
              <w:tab/>
            </w:r>
            <w:r>
              <w:rPr>
                <w:noProof/>
                <w:webHidden/>
              </w:rPr>
              <w:fldChar w:fldCharType="begin"/>
            </w:r>
            <w:r>
              <w:rPr>
                <w:noProof/>
                <w:webHidden/>
              </w:rPr>
              <w:instrText xml:space="preserve"> PAGEREF _Toc136601509 \h </w:instrText>
            </w:r>
            <w:r>
              <w:rPr>
                <w:noProof/>
                <w:webHidden/>
              </w:rPr>
            </w:r>
            <w:r>
              <w:rPr>
                <w:noProof/>
                <w:webHidden/>
              </w:rPr>
              <w:fldChar w:fldCharType="separate"/>
            </w:r>
            <w:r w:rsidR="00695CC6">
              <w:rPr>
                <w:noProof/>
                <w:webHidden/>
              </w:rPr>
              <w:t>4</w:t>
            </w:r>
            <w:r>
              <w:rPr>
                <w:noProof/>
                <w:webHidden/>
              </w:rPr>
              <w:fldChar w:fldCharType="end"/>
            </w:r>
          </w:hyperlink>
        </w:p>
        <w:p w14:paraId="1AC9583A" w14:textId="765A40F3" w:rsidR="00BB6B6F" w:rsidRDefault="00BB6B6F">
          <w:pPr>
            <w:pStyle w:val="TDC2"/>
            <w:tabs>
              <w:tab w:val="right" w:leader="dot" w:pos="9678"/>
            </w:tabs>
            <w:rPr>
              <w:rFonts w:asciiTheme="minorHAnsi" w:eastAsiaTheme="minorEastAsia" w:hAnsiTheme="minorHAnsi" w:cstheme="minorBidi"/>
              <w:noProof/>
              <w:lang w:eastAsia="es-MX"/>
            </w:rPr>
          </w:pPr>
          <w:hyperlink w:anchor="_Toc136601510" w:history="1">
            <w:r w:rsidRPr="00954595">
              <w:rPr>
                <w:rStyle w:val="Hipervnculo"/>
                <w:rFonts w:ascii="Arial" w:hAnsi="Arial" w:cs="Arial"/>
                <w:b/>
                <w:noProof/>
              </w:rPr>
              <w:t>4. Bases de Preparación de los Estados Financieros:</w:t>
            </w:r>
            <w:r>
              <w:rPr>
                <w:noProof/>
                <w:webHidden/>
              </w:rPr>
              <w:tab/>
            </w:r>
            <w:r>
              <w:rPr>
                <w:noProof/>
                <w:webHidden/>
              </w:rPr>
              <w:fldChar w:fldCharType="begin"/>
            </w:r>
            <w:r>
              <w:rPr>
                <w:noProof/>
                <w:webHidden/>
              </w:rPr>
              <w:instrText xml:space="preserve"> PAGEREF _Toc136601510 \h </w:instrText>
            </w:r>
            <w:r>
              <w:rPr>
                <w:noProof/>
                <w:webHidden/>
              </w:rPr>
            </w:r>
            <w:r>
              <w:rPr>
                <w:noProof/>
                <w:webHidden/>
              </w:rPr>
              <w:fldChar w:fldCharType="separate"/>
            </w:r>
            <w:r w:rsidR="00695CC6">
              <w:rPr>
                <w:noProof/>
                <w:webHidden/>
              </w:rPr>
              <w:t>7</w:t>
            </w:r>
            <w:r>
              <w:rPr>
                <w:noProof/>
                <w:webHidden/>
              </w:rPr>
              <w:fldChar w:fldCharType="end"/>
            </w:r>
          </w:hyperlink>
        </w:p>
        <w:p w14:paraId="394A5F52" w14:textId="1C110EB7" w:rsidR="00BB6B6F" w:rsidRDefault="00BB6B6F">
          <w:pPr>
            <w:pStyle w:val="TDC2"/>
            <w:tabs>
              <w:tab w:val="right" w:leader="dot" w:pos="9678"/>
            </w:tabs>
            <w:rPr>
              <w:rFonts w:asciiTheme="minorHAnsi" w:eastAsiaTheme="minorEastAsia" w:hAnsiTheme="minorHAnsi" w:cstheme="minorBidi"/>
              <w:noProof/>
              <w:lang w:eastAsia="es-MX"/>
            </w:rPr>
          </w:pPr>
          <w:hyperlink w:anchor="_Toc136601511" w:history="1">
            <w:r w:rsidRPr="00954595">
              <w:rPr>
                <w:rStyle w:val="Hipervnculo"/>
                <w:rFonts w:ascii="Arial" w:hAnsi="Arial" w:cs="Arial"/>
                <w:b/>
                <w:noProof/>
              </w:rPr>
              <w:t>5. Políticas de Contabilidad Significativas:</w:t>
            </w:r>
            <w:r>
              <w:rPr>
                <w:noProof/>
                <w:webHidden/>
              </w:rPr>
              <w:tab/>
            </w:r>
            <w:r>
              <w:rPr>
                <w:noProof/>
                <w:webHidden/>
              </w:rPr>
              <w:fldChar w:fldCharType="begin"/>
            </w:r>
            <w:r>
              <w:rPr>
                <w:noProof/>
                <w:webHidden/>
              </w:rPr>
              <w:instrText xml:space="preserve"> PAGEREF _Toc136601511 \h </w:instrText>
            </w:r>
            <w:r>
              <w:rPr>
                <w:noProof/>
                <w:webHidden/>
              </w:rPr>
            </w:r>
            <w:r>
              <w:rPr>
                <w:noProof/>
                <w:webHidden/>
              </w:rPr>
              <w:fldChar w:fldCharType="separate"/>
            </w:r>
            <w:r w:rsidR="00695CC6">
              <w:rPr>
                <w:noProof/>
                <w:webHidden/>
              </w:rPr>
              <w:t>8</w:t>
            </w:r>
            <w:r>
              <w:rPr>
                <w:noProof/>
                <w:webHidden/>
              </w:rPr>
              <w:fldChar w:fldCharType="end"/>
            </w:r>
          </w:hyperlink>
        </w:p>
        <w:p w14:paraId="753793BE" w14:textId="04E71254" w:rsidR="00BB6B6F" w:rsidRDefault="00BB6B6F">
          <w:pPr>
            <w:pStyle w:val="TDC2"/>
            <w:tabs>
              <w:tab w:val="right" w:leader="dot" w:pos="9678"/>
            </w:tabs>
            <w:rPr>
              <w:rFonts w:asciiTheme="minorHAnsi" w:eastAsiaTheme="minorEastAsia" w:hAnsiTheme="minorHAnsi" w:cstheme="minorBidi"/>
              <w:noProof/>
              <w:lang w:eastAsia="es-MX"/>
            </w:rPr>
          </w:pPr>
          <w:hyperlink w:anchor="_Toc136601512" w:history="1">
            <w:r w:rsidRPr="00954595">
              <w:rPr>
                <w:rStyle w:val="Hipervnculo"/>
                <w:rFonts w:ascii="Arial" w:hAnsi="Arial" w:cs="Arial"/>
                <w:b/>
                <w:noProof/>
              </w:rPr>
              <w:t>6. Posición en Moneda Extranjera y Protección por Riesgo Cambiario:</w:t>
            </w:r>
            <w:r>
              <w:rPr>
                <w:noProof/>
                <w:webHidden/>
              </w:rPr>
              <w:tab/>
            </w:r>
            <w:r>
              <w:rPr>
                <w:noProof/>
                <w:webHidden/>
              </w:rPr>
              <w:fldChar w:fldCharType="begin"/>
            </w:r>
            <w:r>
              <w:rPr>
                <w:noProof/>
                <w:webHidden/>
              </w:rPr>
              <w:instrText xml:space="preserve"> PAGEREF _Toc136601512 \h </w:instrText>
            </w:r>
            <w:r>
              <w:rPr>
                <w:noProof/>
                <w:webHidden/>
              </w:rPr>
            </w:r>
            <w:r>
              <w:rPr>
                <w:noProof/>
                <w:webHidden/>
              </w:rPr>
              <w:fldChar w:fldCharType="separate"/>
            </w:r>
            <w:r w:rsidR="00695CC6">
              <w:rPr>
                <w:noProof/>
                <w:webHidden/>
              </w:rPr>
              <w:t>12</w:t>
            </w:r>
            <w:r>
              <w:rPr>
                <w:noProof/>
                <w:webHidden/>
              </w:rPr>
              <w:fldChar w:fldCharType="end"/>
            </w:r>
          </w:hyperlink>
        </w:p>
        <w:p w14:paraId="702BE0BF" w14:textId="1400C82C" w:rsidR="00BB6B6F" w:rsidRDefault="00BB6B6F">
          <w:pPr>
            <w:pStyle w:val="TDC2"/>
            <w:tabs>
              <w:tab w:val="right" w:leader="dot" w:pos="9678"/>
            </w:tabs>
            <w:rPr>
              <w:rFonts w:asciiTheme="minorHAnsi" w:eastAsiaTheme="minorEastAsia" w:hAnsiTheme="minorHAnsi" w:cstheme="minorBidi"/>
              <w:noProof/>
              <w:lang w:eastAsia="es-MX"/>
            </w:rPr>
          </w:pPr>
          <w:hyperlink w:anchor="_Toc136601513" w:history="1">
            <w:r w:rsidRPr="00954595">
              <w:rPr>
                <w:rStyle w:val="Hipervnculo"/>
                <w:rFonts w:ascii="Arial" w:hAnsi="Arial" w:cs="Arial"/>
                <w:b/>
                <w:noProof/>
              </w:rPr>
              <w:t>7. Reporte Analítico del Activo:</w:t>
            </w:r>
            <w:r>
              <w:rPr>
                <w:noProof/>
                <w:webHidden/>
              </w:rPr>
              <w:tab/>
            </w:r>
            <w:r>
              <w:rPr>
                <w:noProof/>
                <w:webHidden/>
              </w:rPr>
              <w:fldChar w:fldCharType="begin"/>
            </w:r>
            <w:r>
              <w:rPr>
                <w:noProof/>
                <w:webHidden/>
              </w:rPr>
              <w:instrText xml:space="preserve"> PAGEREF _Toc136601513 \h </w:instrText>
            </w:r>
            <w:r>
              <w:rPr>
                <w:noProof/>
                <w:webHidden/>
              </w:rPr>
            </w:r>
            <w:r>
              <w:rPr>
                <w:noProof/>
                <w:webHidden/>
              </w:rPr>
              <w:fldChar w:fldCharType="separate"/>
            </w:r>
            <w:r w:rsidR="00695CC6">
              <w:rPr>
                <w:noProof/>
                <w:webHidden/>
              </w:rPr>
              <w:t>13</w:t>
            </w:r>
            <w:r>
              <w:rPr>
                <w:noProof/>
                <w:webHidden/>
              </w:rPr>
              <w:fldChar w:fldCharType="end"/>
            </w:r>
          </w:hyperlink>
        </w:p>
        <w:p w14:paraId="5E5A01FC" w14:textId="5081B0C7" w:rsidR="00BB6B6F" w:rsidRDefault="00BB6B6F">
          <w:pPr>
            <w:pStyle w:val="TDC2"/>
            <w:tabs>
              <w:tab w:val="right" w:leader="dot" w:pos="9678"/>
            </w:tabs>
            <w:rPr>
              <w:rFonts w:asciiTheme="minorHAnsi" w:eastAsiaTheme="minorEastAsia" w:hAnsiTheme="minorHAnsi" w:cstheme="minorBidi"/>
              <w:noProof/>
              <w:lang w:eastAsia="es-MX"/>
            </w:rPr>
          </w:pPr>
          <w:hyperlink w:anchor="_Toc136601514" w:history="1">
            <w:r w:rsidRPr="00954595">
              <w:rPr>
                <w:rStyle w:val="Hipervnculo"/>
                <w:rFonts w:ascii="Arial" w:hAnsi="Arial" w:cs="Arial"/>
                <w:b/>
                <w:noProof/>
              </w:rPr>
              <w:t>8. Fideicomisos, Mandatos y Análogos:</w:t>
            </w:r>
            <w:r>
              <w:rPr>
                <w:noProof/>
                <w:webHidden/>
              </w:rPr>
              <w:tab/>
            </w:r>
            <w:r>
              <w:rPr>
                <w:noProof/>
                <w:webHidden/>
              </w:rPr>
              <w:fldChar w:fldCharType="begin"/>
            </w:r>
            <w:r>
              <w:rPr>
                <w:noProof/>
                <w:webHidden/>
              </w:rPr>
              <w:instrText xml:space="preserve"> PAGEREF _Toc136601514 \h </w:instrText>
            </w:r>
            <w:r>
              <w:rPr>
                <w:noProof/>
                <w:webHidden/>
              </w:rPr>
            </w:r>
            <w:r>
              <w:rPr>
                <w:noProof/>
                <w:webHidden/>
              </w:rPr>
              <w:fldChar w:fldCharType="separate"/>
            </w:r>
            <w:r w:rsidR="00695CC6">
              <w:rPr>
                <w:noProof/>
                <w:webHidden/>
              </w:rPr>
              <w:t>14</w:t>
            </w:r>
            <w:r>
              <w:rPr>
                <w:noProof/>
                <w:webHidden/>
              </w:rPr>
              <w:fldChar w:fldCharType="end"/>
            </w:r>
          </w:hyperlink>
        </w:p>
        <w:p w14:paraId="3E0B1177" w14:textId="145C1056" w:rsidR="00BB6B6F" w:rsidRDefault="00BB6B6F">
          <w:pPr>
            <w:pStyle w:val="TDC2"/>
            <w:tabs>
              <w:tab w:val="right" w:leader="dot" w:pos="9678"/>
            </w:tabs>
            <w:rPr>
              <w:rFonts w:asciiTheme="minorHAnsi" w:eastAsiaTheme="minorEastAsia" w:hAnsiTheme="minorHAnsi" w:cstheme="minorBidi"/>
              <w:noProof/>
              <w:lang w:eastAsia="es-MX"/>
            </w:rPr>
          </w:pPr>
          <w:hyperlink w:anchor="_Toc136601515" w:history="1">
            <w:r w:rsidRPr="00954595">
              <w:rPr>
                <w:rStyle w:val="Hipervnculo"/>
                <w:rFonts w:ascii="Arial" w:hAnsi="Arial" w:cs="Arial"/>
                <w:b/>
                <w:noProof/>
              </w:rPr>
              <w:t>9. Reporte de la Recaudación:</w:t>
            </w:r>
            <w:r>
              <w:rPr>
                <w:noProof/>
                <w:webHidden/>
              </w:rPr>
              <w:tab/>
            </w:r>
            <w:r>
              <w:rPr>
                <w:noProof/>
                <w:webHidden/>
              </w:rPr>
              <w:fldChar w:fldCharType="begin"/>
            </w:r>
            <w:r>
              <w:rPr>
                <w:noProof/>
                <w:webHidden/>
              </w:rPr>
              <w:instrText xml:space="preserve"> PAGEREF _Toc136601515 \h </w:instrText>
            </w:r>
            <w:r>
              <w:rPr>
                <w:noProof/>
                <w:webHidden/>
              </w:rPr>
            </w:r>
            <w:r>
              <w:rPr>
                <w:noProof/>
                <w:webHidden/>
              </w:rPr>
              <w:fldChar w:fldCharType="separate"/>
            </w:r>
            <w:r w:rsidR="00695CC6">
              <w:rPr>
                <w:noProof/>
                <w:webHidden/>
              </w:rPr>
              <w:t>14</w:t>
            </w:r>
            <w:r>
              <w:rPr>
                <w:noProof/>
                <w:webHidden/>
              </w:rPr>
              <w:fldChar w:fldCharType="end"/>
            </w:r>
          </w:hyperlink>
        </w:p>
        <w:p w14:paraId="49A9D1CE" w14:textId="2551A130" w:rsidR="00BB6B6F" w:rsidRDefault="00BB6B6F">
          <w:pPr>
            <w:pStyle w:val="TDC2"/>
            <w:tabs>
              <w:tab w:val="right" w:leader="dot" w:pos="9678"/>
            </w:tabs>
            <w:rPr>
              <w:rFonts w:asciiTheme="minorHAnsi" w:eastAsiaTheme="minorEastAsia" w:hAnsiTheme="minorHAnsi" w:cstheme="minorBidi"/>
              <w:noProof/>
              <w:lang w:eastAsia="es-MX"/>
            </w:rPr>
          </w:pPr>
          <w:hyperlink w:anchor="_Toc136601516" w:history="1">
            <w:r w:rsidRPr="00954595">
              <w:rPr>
                <w:rStyle w:val="Hipervnculo"/>
                <w:rFonts w:ascii="Arial" w:hAnsi="Arial" w:cs="Arial"/>
                <w:b/>
                <w:noProof/>
              </w:rPr>
              <w:t>10. Información sobre la Deuda y el Reporte Analítico de la Deuda:</w:t>
            </w:r>
            <w:r>
              <w:rPr>
                <w:noProof/>
                <w:webHidden/>
              </w:rPr>
              <w:tab/>
            </w:r>
            <w:r>
              <w:rPr>
                <w:noProof/>
                <w:webHidden/>
              </w:rPr>
              <w:fldChar w:fldCharType="begin"/>
            </w:r>
            <w:r>
              <w:rPr>
                <w:noProof/>
                <w:webHidden/>
              </w:rPr>
              <w:instrText xml:space="preserve"> PAGEREF _Toc136601516 \h </w:instrText>
            </w:r>
            <w:r>
              <w:rPr>
                <w:noProof/>
                <w:webHidden/>
              </w:rPr>
            </w:r>
            <w:r>
              <w:rPr>
                <w:noProof/>
                <w:webHidden/>
              </w:rPr>
              <w:fldChar w:fldCharType="separate"/>
            </w:r>
            <w:r w:rsidR="00695CC6">
              <w:rPr>
                <w:noProof/>
                <w:webHidden/>
              </w:rPr>
              <w:t>14</w:t>
            </w:r>
            <w:r>
              <w:rPr>
                <w:noProof/>
                <w:webHidden/>
              </w:rPr>
              <w:fldChar w:fldCharType="end"/>
            </w:r>
          </w:hyperlink>
        </w:p>
        <w:p w14:paraId="12E2A1EE" w14:textId="189FF85E" w:rsidR="00BB6B6F" w:rsidRDefault="00BB6B6F">
          <w:pPr>
            <w:pStyle w:val="TDC2"/>
            <w:tabs>
              <w:tab w:val="right" w:leader="dot" w:pos="9678"/>
            </w:tabs>
            <w:rPr>
              <w:rFonts w:asciiTheme="minorHAnsi" w:eastAsiaTheme="minorEastAsia" w:hAnsiTheme="minorHAnsi" w:cstheme="minorBidi"/>
              <w:noProof/>
              <w:lang w:eastAsia="es-MX"/>
            </w:rPr>
          </w:pPr>
          <w:hyperlink w:anchor="_Toc136601517" w:history="1">
            <w:r w:rsidRPr="00954595">
              <w:rPr>
                <w:rStyle w:val="Hipervnculo"/>
                <w:rFonts w:ascii="Arial" w:hAnsi="Arial" w:cs="Arial"/>
                <w:b/>
                <w:noProof/>
              </w:rPr>
              <w:t>11. Calificaciones otorgadas:</w:t>
            </w:r>
            <w:r>
              <w:rPr>
                <w:noProof/>
                <w:webHidden/>
              </w:rPr>
              <w:tab/>
            </w:r>
            <w:r>
              <w:rPr>
                <w:noProof/>
                <w:webHidden/>
              </w:rPr>
              <w:fldChar w:fldCharType="begin"/>
            </w:r>
            <w:r>
              <w:rPr>
                <w:noProof/>
                <w:webHidden/>
              </w:rPr>
              <w:instrText xml:space="preserve"> PAGEREF _Toc136601517 \h </w:instrText>
            </w:r>
            <w:r>
              <w:rPr>
                <w:noProof/>
                <w:webHidden/>
              </w:rPr>
            </w:r>
            <w:r>
              <w:rPr>
                <w:noProof/>
                <w:webHidden/>
              </w:rPr>
              <w:fldChar w:fldCharType="separate"/>
            </w:r>
            <w:r w:rsidR="00695CC6">
              <w:rPr>
                <w:noProof/>
                <w:webHidden/>
              </w:rPr>
              <w:t>15</w:t>
            </w:r>
            <w:r>
              <w:rPr>
                <w:noProof/>
                <w:webHidden/>
              </w:rPr>
              <w:fldChar w:fldCharType="end"/>
            </w:r>
          </w:hyperlink>
        </w:p>
        <w:p w14:paraId="1B6AF5FD" w14:textId="675032CF" w:rsidR="00BB6B6F" w:rsidRDefault="00BB6B6F">
          <w:pPr>
            <w:pStyle w:val="TDC2"/>
            <w:tabs>
              <w:tab w:val="right" w:leader="dot" w:pos="9678"/>
            </w:tabs>
            <w:rPr>
              <w:rFonts w:asciiTheme="minorHAnsi" w:eastAsiaTheme="minorEastAsia" w:hAnsiTheme="minorHAnsi" w:cstheme="minorBidi"/>
              <w:noProof/>
              <w:lang w:eastAsia="es-MX"/>
            </w:rPr>
          </w:pPr>
          <w:hyperlink w:anchor="_Toc136601518" w:history="1">
            <w:r w:rsidRPr="00954595">
              <w:rPr>
                <w:rStyle w:val="Hipervnculo"/>
                <w:rFonts w:ascii="Arial" w:hAnsi="Arial" w:cs="Arial"/>
                <w:b/>
                <w:noProof/>
              </w:rPr>
              <w:t>12. Proceso de Mejora:</w:t>
            </w:r>
            <w:r>
              <w:rPr>
                <w:noProof/>
                <w:webHidden/>
              </w:rPr>
              <w:tab/>
            </w:r>
            <w:r>
              <w:rPr>
                <w:noProof/>
                <w:webHidden/>
              </w:rPr>
              <w:fldChar w:fldCharType="begin"/>
            </w:r>
            <w:r>
              <w:rPr>
                <w:noProof/>
                <w:webHidden/>
              </w:rPr>
              <w:instrText xml:space="preserve"> PAGEREF _Toc136601518 \h </w:instrText>
            </w:r>
            <w:r>
              <w:rPr>
                <w:noProof/>
                <w:webHidden/>
              </w:rPr>
            </w:r>
            <w:r>
              <w:rPr>
                <w:noProof/>
                <w:webHidden/>
              </w:rPr>
              <w:fldChar w:fldCharType="separate"/>
            </w:r>
            <w:r w:rsidR="00695CC6">
              <w:rPr>
                <w:noProof/>
                <w:webHidden/>
              </w:rPr>
              <w:t>15</w:t>
            </w:r>
            <w:r>
              <w:rPr>
                <w:noProof/>
                <w:webHidden/>
              </w:rPr>
              <w:fldChar w:fldCharType="end"/>
            </w:r>
          </w:hyperlink>
        </w:p>
        <w:p w14:paraId="716BAC2C" w14:textId="2226E633" w:rsidR="00BB6B6F" w:rsidRDefault="00BB6B6F">
          <w:pPr>
            <w:pStyle w:val="TDC2"/>
            <w:tabs>
              <w:tab w:val="right" w:leader="dot" w:pos="9678"/>
            </w:tabs>
            <w:rPr>
              <w:rFonts w:asciiTheme="minorHAnsi" w:eastAsiaTheme="minorEastAsia" w:hAnsiTheme="minorHAnsi" w:cstheme="minorBidi"/>
              <w:noProof/>
              <w:lang w:eastAsia="es-MX"/>
            </w:rPr>
          </w:pPr>
          <w:hyperlink w:anchor="_Toc136601519" w:history="1">
            <w:r w:rsidRPr="00954595">
              <w:rPr>
                <w:rStyle w:val="Hipervnculo"/>
                <w:rFonts w:ascii="Arial" w:hAnsi="Arial" w:cs="Arial"/>
                <w:b/>
                <w:noProof/>
              </w:rPr>
              <w:t>13. Información por Segmentos:</w:t>
            </w:r>
            <w:r>
              <w:rPr>
                <w:noProof/>
                <w:webHidden/>
              </w:rPr>
              <w:tab/>
            </w:r>
            <w:r>
              <w:rPr>
                <w:noProof/>
                <w:webHidden/>
              </w:rPr>
              <w:fldChar w:fldCharType="begin"/>
            </w:r>
            <w:r>
              <w:rPr>
                <w:noProof/>
                <w:webHidden/>
              </w:rPr>
              <w:instrText xml:space="preserve"> PAGEREF _Toc136601519 \h </w:instrText>
            </w:r>
            <w:r>
              <w:rPr>
                <w:noProof/>
                <w:webHidden/>
              </w:rPr>
            </w:r>
            <w:r>
              <w:rPr>
                <w:noProof/>
                <w:webHidden/>
              </w:rPr>
              <w:fldChar w:fldCharType="separate"/>
            </w:r>
            <w:r w:rsidR="00695CC6">
              <w:rPr>
                <w:noProof/>
                <w:webHidden/>
              </w:rPr>
              <w:t>15</w:t>
            </w:r>
            <w:r>
              <w:rPr>
                <w:noProof/>
                <w:webHidden/>
              </w:rPr>
              <w:fldChar w:fldCharType="end"/>
            </w:r>
          </w:hyperlink>
        </w:p>
        <w:p w14:paraId="4AB8F5D7" w14:textId="1901C43A" w:rsidR="00BB6B6F" w:rsidRDefault="00BB6B6F">
          <w:pPr>
            <w:pStyle w:val="TDC2"/>
            <w:tabs>
              <w:tab w:val="right" w:leader="dot" w:pos="9678"/>
            </w:tabs>
            <w:rPr>
              <w:rFonts w:asciiTheme="minorHAnsi" w:eastAsiaTheme="minorEastAsia" w:hAnsiTheme="minorHAnsi" w:cstheme="minorBidi"/>
              <w:noProof/>
              <w:lang w:eastAsia="es-MX"/>
            </w:rPr>
          </w:pPr>
          <w:hyperlink w:anchor="_Toc136601520" w:history="1">
            <w:r w:rsidRPr="00954595">
              <w:rPr>
                <w:rStyle w:val="Hipervnculo"/>
                <w:rFonts w:ascii="Arial" w:hAnsi="Arial" w:cs="Arial"/>
                <w:b/>
                <w:noProof/>
              </w:rPr>
              <w:t>14. Eventos Posteriores al Cierre:</w:t>
            </w:r>
            <w:r>
              <w:rPr>
                <w:noProof/>
                <w:webHidden/>
              </w:rPr>
              <w:tab/>
            </w:r>
            <w:r>
              <w:rPr>
                <w:noProof/>
                <w:webHidden/>
              </w:rPr>
              <w:fldChar w:fldCharType="begin"/>
            </w:r>
            <w:r>
              <w:rPr>
                <w:noProof/>
                <w:webHidden/>
              </w:rPr>
              <w:instrText xml:space="preserve"> PAGEREF _Toc136601520 \h </w:instrText>
            </w:r>
            <w:r>
              <w:rPr>
                <w:noProof/>
                <w:webHidden/>
              </w:rPr>
            </w:r>
            <w:r>
              <w:rPr>
                <w:noProof/>
                <w:webHidden/>
              </w:rPr>
              <w:fldChar w:fldCharType="separate"/>
            </w:r>
            <w:r w:rsidR="00695CC6">
              <w:rPr>
                <w:noProof/>
                <w:webHidden/>
              </w:rPr>
              <w:t>15</w:t>
            </w:r>
            <w:r>
              <w:rPr>
                <w:noProof/>
                <w:webHidden/>
              </w:rPr>
              <w:fldChar w:fldCharType="end"/>
            </w:r>
          </w:hyperlink>
        </w:p>
        <w:p w14:paraId="34BC1BA3" w14:textId="4D9EE475" w:rsidR="00BB6B6F" w:rsidRDefault="00BB6B6F">
          <w:pPr>
            <w:pStyle w:val="TDC2"/>
            <w:tabs>
              <w:tab w:val="right" w:leader="dot" w:pos="9678"/>
            </w:tabs>
            <w:rPr>
              <w:rFonts w:asciiTheme="minorHAnsi" w:eastAsiaTheme="minorEastAsia" w:hAnsiTheme="minorHAnsi" w:cstheme="minorBidi"/>
              <w:noProof/>
              <w:lang w:eastAsia="es-MX"/>
            </w:rPr>
          </w:pPr>
          <w:hyperlink w:anchor="_Toc136601521" w:history="1">
            <w:r w:rsidRPr="00954595">
              <w:rPr>
                <w:rStyle w:val="Hipervnculo"/>
                <w:rFonts w:ascii="Arial" w:hAnsi="Arial" w:cs="Arial"/>
                <w:b/>
                <w:noProof/>
              </w:rPr>
              <w:t>15. Partes Relacionadas:</w:t>
            </w:r>
            <w:r>
              <w:rPr>
                <w:noProof/>
                <w:webHidden/>
              </w:rPr>
              <w:tab/>
            </w:r>
            <w:r>
              <w:rPr>
                <w:noProof/>
                <w:webHidden/>
              </w:rPr>
              <w:fldChar w:fldCharType="begin"/>
            </w:r>
            <w:r>
              <w:rPr>
                <w:noProof/>
                <w:webHidden/>
              </w:rPr>
              <w:instrText xml:space="preserve"> PAGEREF _Toc136601521 \h </w:instrText>
            </w:r>
            <w:r>
              <w:rPr>
                <w:noProof/>
                <w:webHidden/>
              </w:rPr>
            </w:r>
            <w:r>
              <w:rPr>
                <w:noProof/>
                <w:webHidden/>
              </w:rPr>
              <w:fldChar w:fldCharType="separate"/>
            </w:r>
            <w:r w:rsidR="00695CC6">
              <w:rPr>
                <w:noProof/>
                <w:webHidden/>
              </w:rPr>
              <w:t>15</w:t>
            </w:r>
            <w:r>
              <w:rPr>
                <w:noProof/>
                <w:webHidden/>
              </w:rPr>
              <w:fldChar w:fldCharType="end"/>
            </w:r>
          </w:hyperlink>
        </w:p>
        <w:p w14:paraId="2F7D1096" w14:textId="55CA085C" w:rsidR="00BB6B6F" w:rsidRDefault="00BB6B6F">
          <w:pPr>
            <w:pStyle w:val="TDC2"/>
            <w:tabs>
              <w:tab w:val="right" w:leader="dot" w:pos="9678"/>
            </w:tabs>
            <w:rPr>
              <w:rFonts w:asciiTheme="minorHAnsi" w:eastAsiaTheme="minorEastAsia" w:hAnsiTheme="minorHAnsi" w:cstheme="minorBidi"/>
              <w:noProof/>
              <w:lang w:eastAsia="es-MX"/>
            </w:rPr>
          </w:pPr>
          <w:hyperlink w:anchor="_Toc136601522" w:history="1">
            <w:r w:rsidRPr="00954595">
              <w:rPr>
                <w:rStyle w:val="Hipervnculo"/>
                <w:rFonts w:ascii="Arial" w:hAnsi="Arial" w:cs="Arial"/>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_Toc136601522 \h </w:instrText>
            </w:r>
            <w:r>
              <w:rPr>
                <w:noProof/>
                <w:webHidden/>
              </w:rPr>
            </w:r>
            <w:r>
              <w:rPr>
                <w:noProof/>
                <w:webHidden/>
              </w:rPr>
              <w:fldChar w:fldCharType="separate"/>
            </w:r>
            <w:r w:rsidR="00695CC6">
              <w:rPr>
                <w:noProof/>
                <w:webHidden/>
              </w:rPr>
              <w:t>15</w:t>
            </w:r>
            <w:r>
              <w:rPr>
                <w:noProof/>
                <w:webHidden/>
              </w:rPr>
              <w:fldChar w:fldCharType="end"/>
            </w:r>
          </w:hyperlink>
        </w:p>
        <w:p w14:paraId="6BF21232" w14:textId="77777777" w:rsidR="00F46719" w:rsidRPr="00F525D7" w:rsidRDefault="00657327">
          <w:pPr>
            <w:rPr>
              <w:rFonts w:ascii="Arial" w:hAnsi="Arial" w:cs="Arial"/>
              <w:sz w:val="20"/>
              <w:szCs w:val="20"/>
            </w:rPr>
          </w:pPr>
          <w:r w:rsidRPr="00F525D7">
            <w:rPr>
              <w:rFonts w:ascii="Arial" w:hAnsi="Arial" w:cs="Arial"/>
              <w:b/>
              <w:bCs/>
              <w:sz w:val="20"/>
              <w:szCs w:val="20"/>
              <w:lang w:val="es-ES"/>
            </w:rPr>
            <w:fldChar w:fldCharType="end"/>
          </w:r>
        </w:p>
      </w:sdtContent>
    </w:sdt>
    <w:p w14:paraId="40B101D9" w14:textId="77777777" w:rsidR="00F46719" w:rsidRPr="00F525D7" w:rsidRDefault="00F46719" w:rsidP="00CB41C4">
      <w:pPr>
        <w:tabs>
          <w:tab w:val="left" w:leader="underscore" w:pos="9639"/>
        </w:tabs>
        <w:spacing w:after="0" w:line="240" w:lineRule="auto"/>
        <w:jc w:val="both"/>
        <w:rPr>
          <w:rFonts w:ascii="Arial" w:hAnsi="Arial" w:cs="Arial"/>
          <w:sz w:val="20"/>
          <w:szCs w:val="20"/>
        </w:rPr>
      </w:pPr>
    </w:p>
    <w:p w14:paraId="61A0BB12" w14:textId="77777777" w:rsidR="00F525D7" w:rsidRPr="00F525D7" w:rsidRDefault="00F525D7" w:rsidP="00CB41C4">
      <w:pPr>
        <w:tabs>
          <w:tab w:val="left" w:leader="underscore" w:pos="9639"/>
        </w:tabs>
        <w:spacing w:after="0" w:line="240" w:lineRule="auto"/>
        <w:jc w:val="both"/>
        <w:rPr>
          <w:rFonts w:ascii="Arial" w:hAnsi="Arial" w:cs="Arial"/>
          <w:sz w:val="20"/>
          <w:szCs w:val="20"/>
        </w:rPr>
      </w:pPr>
    </w:p>
    <w:p w14:paraId="6E358830" w14:textId="77777777" w:rsidR="007675C0" w:rsidRDefault="007675C0" w:rsidP="000C3365">
      <w:pPr>
        <w:pStyle w:val="Ttulo2"/>
        <w:rPr>
          <w:rFonts w:ascii="Arial" w:hAnsi="Arial" w:cs="Arial"/>
          <w:b/>
          <w:color w:val="auto"/>
          <w:sz w:val="20"/>
          <w:szCs w:val="20"/>
        </w:rPr>
      </w:pPr>
    </w:p>
    <w:p w14:paraId="16B693CC" w14:textId="77777777" w:rsidR="007D1E76" w:rsidRPr="00F525D7" w:rsidRDefault="007D1E76" w:rsidP="000C3365">
      <w:pPr>
        <w:pStyle w:val="Ttulo2"/>
        <w:rPr>
          <w:rFonts w:ascii="Arial" w:hAnsi="Arial" w:cs="Arial"/>
          <w:b/>
          <w:color w:val="auto"/>
          <w:sz w:val="20"/>
          <w:szCs w:val="20"/>
        </w:rPr>
      </w:pPr>
      <w:bookmarkStart w:id="0" w:name="_Toc136601506"/>
      <w:r w:rsidRPr="00F525D7">
        <w:rPr>
          <w:rFonts w:ascii="Arial" w:hAnsi="Arial" w:cs="Arial"/>
          <w:b/>
          <w:color w:val="auto"/>
          <w:sz w:val="20"/>
          <w:szCs w:val="20"/>
        </w:rPr>
        <w:t>Introducción:</w:t>
      </w:r>
      <w:bookmarkEnd w:id="0"/>
    </w:p>
    <w:p w14:paraId="7550C46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Breve descripción de las actividades principales de la entidad.</w:t>
      </w:r>
    </w:p>
    <w:p w14:paraId="368BDF0A" w14:textId="4C8E22B1" w:rsidR="007D1E76" w:rsidRDefault="00CC30A1"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Denominado comercialmente como: “F</w:t>
      </w:r>
      <w:r w:rsidR="00C175B6">
        <w:rPr>
          <w:rFonts w:ascii="Arial" w:hAnsi="Arial" w:cs="Arial"/>
          <w:sz w:val="20"/>
          <w:szCs w:val="20"/>
        </w:rPr>
        <w:t>OGIM</w:t>
      </w:r>
      <w:r>
        <w:rPr>
          <w:rFonts w:ascii="Arial" w:hAnsi="Arial" w:cs="Arial"/>
          <w:sz w:val="20"/>
          <w:szCs w:val="20"/>
        </w:rPr>
        <w:t>”, desempeña</w:t>
      </w:r>
      <w:r w:rsidR="00C012DE">
        <w:rPr>
          <w:rFonts w:ascii="Arial" w:hAnsi="Arial" w:cs="Arial"/>
          <w:sz w:val="20"/>
          <w:szCs w:val="20"/>
        </w:rPr>
        <w:t>ba</w:t>
      </w:r>
      <w:r>
        <w:rPr>
          <w:rFonts w:ascii="Arial" w:hAnsi="Arial" w:cs="Arial"/>
          <w:sz w:val="20"/>
          <w:szCs w:val="20"/>
        </w:rPr>
        <w:t xml:space="preserve"> actividades</w:t>
      </w:r>
      <w:r w:rsidR="0062279F">
        <w:rPr>
          <w:rFonts w:ascii="Arial" w:hAnsi="Arial" w:cs="Arial"/>
          <w:sz w:val="20"/>
          <w:szCs w:val="20"/>
        </w:rPr>
        <w:t xml:space="preserve"> encaminadas</w:t>
      </w:r>
      <w:r>
        <w:rPr>
          <w:rFonts w:ascii="Arial" w:hAnsi="Arial" w:cs="Arial"/>
          <w:sz w:val="20"/>
          <w:szCs w:val="20"/>
        </w:rPr>
        <w:t xml:space="preserve"> </w:t>
      </w:r>
      <w:r w:rsidR="0062279F">
        <w:rPr>
          <w:rFonts w:ascii="Arial" w:hAnsi="Arial" w:cs="Arial"/>
          <w:sz w:val="20"/>
          <w:szCs w:val="20"/>
        </w:rPr>
        <w:t>a</w:t>
      </w:r>
      <w:r>
        <w:rPr>
          <w:rFonts w:ascii="Arial" w:hAnsi="Arial" w:cs="Arial"/>
          <w:sz w:val="20"/>
          <w:szCs w:val="20"/>
        </w:rPr>
        <w:t xml:space="preserve"> p</w:t>
      </w:r>
      <w:r w:rsidR="00C06DC3" w:rsidRPr="00F525D7">
        <w:rPr>
          <w:rFonts w:ascii="Arial" w:hAnsi="Arial" w:cs="Arial"/>
          <w:sz w:val="20"/>
          <w:szCs w:val="20"/>
        </w:rPr>
        <w:t>romo</w:t>
      </w:r>
      <w:r>
        <w:rPr>
          <w:rFonts w:ascii="Arial" w:hAnsi="Arial" w:cs="Arial"/>
          <w:sz w:val="20"/>
          <w:szCs w:val="20"/>
        </w:rPr>
        <w:t>ver</w:t>
      </w:r>
      <w:r w:rsidR="00C06DC3" w:rsidRPr="00F525D7">
        <w:rPr>
          <w:rFonts w:ascii="Arial" w:hAnsi="Arial" w:cs="Arial"/>
          <w:sz w:val="20"/>
          <w:szCs w:val="20"/>
        </w:rPr>
        <w:t xml:space="preserve"> </w:t>
      </w:r>
      <w:r>
        <w:rPr>
          <w:rFonts w:ascii="Arial" w:hAnsi="Arial" w:cs="Arial"/>
          <w:sz w:val="20"/>
          <w:szCs w:val="20"/>
        </w:rPr>
        <w:t xml:space="preserve">y </w:t>
      </w:r>
      <w:r w:rsidR="00C06DC3" w:rsidRPr="00F525D7">
        <w:rPr>
          <w:rFonts w:ascii="Arial" w:hAnsi="Arial" w:cs="Arial"/>
          <w:sz w:val="20"/>
          <w:szCs w:val="20"/>
        </w:rPr>
        <w:t>coloca</w:t>
      </w:r>
      <w:r>
        <w:rPr>
          <w:rFonts w:ascii="Arial" w:hAnsi="Arial" w:cs="Arial"/>
          <w:sz w:val="20"/>
          <w:szCs w:val="20"/>
        </w:rPr>
        <w:t>r</w:t>
      </w:r>
      <w:r w:rsidR="00C06DC3" w:rsidRPr="00F525D7">
        <w:rPr>
          <w:rFonts w:ascii="Arial" w:hAnsi="Arial" w:cs="Arial"/>
          <w:sz w:val="20"/>
          <w:szCs w:val="20"/>
        </w:rPr>
        <w:t xml:space="preserve"> créditos a </w:t>
      </w:r>
      <w:r>
        <w:rPr>
          <w:rFonts w:ascii="Arial" w:hAnsi="Arial" w:cs="Arial"/>
          <w:sz w:val="20"/>
          <w:szCs w:val="20"/>
        </w:rPr>
        <w:t>M</w:t>
      </w:r>
      <w:r w:rsidR="00C06DC3" w:rsidRPr="00F525D7">
        <w:rPr>
          <w:rFonts w:ascii="Arial" w:hAnsi="Arial" w:cs="Arial"/>
          <w:sz w:val="20"/>
          <w:szCs w:val="20"/>
        </w:rPr>
        <w:t xml:space="preserve">icros, </w:t>
      </w:r>
      <w:r>
        <w:rPr>
          <w:rFonts w:ascii="Arial" w:hAnsi="Arial" w:cs="Arial"/>
          <w:sz w:val="20"/>
          <w:szCs w:val="20"/>
        </w:rPr>
        <w:t>P</w:t>
      </w:r>
      <w:r w:rsidR="00C06DC3" w:rsidRPr="00F525D7">
        <w:rPr>
          <w:rFonts w:ascii="Arial" w:hAnsi="Arial" w:cs="Arial"/>
          <w:sz w:val="20"/>
          <w:szCs w:val="20"/>
        </w:rPr>
        <w:t xml:space="preserve">equeñas y </w:t>
      </w:r>
      <w:r>
        <w:rPr>
          <w:rFonts w:ascii="Arial" w:hAnsi="Arial" w:cs="Arial"/>
          <w:sz w:val="20"/>
          <w:szCs w:val="20"/>
        </w:rPr>
        <w:t>M</w:t>
      </w:r>
      <w:r w:rsidR="00C06DC3" w:rsidRPr="00F525D7">
        <w:rPr>
          <w:rFonts w:ascii="Arial" w:hAnsi="Arial" w:cs="Arial"/>
          <w:sz w:val="20"/>
          <w:szCs w:val="20"/>
        </w:rPr>
        <w:t xml:space="preserve">edianas </w:t>
      </w:r>
      <w:r>
        <w:rPr>
          <w:rFonts w:ascii="Arial" w:hAnsi="Arial" w:cs="Arial"/>
          <w:sz w:val="20"/>
          <w:szCs w:val="20"/>
        </w:rPr>
        <w:t>E</w:t>
      </w:r>
      <w:r w:rsidR="00C06DC3" w:rsidRPr="00F525D7">
        <w:rPr>
          <w:rFonts w:ascii="Arial" w:hAnsi="Arial" w:cs="Arial"/>
          <w:sz w:val="20"/>
          <w:szCs w:val="20"/>
        </w:rPr>
        <w:t>mpresas</w:t>
      </w:r>
      <w:r>
        <w:rPr>
          <w:rFonts w:ascii="Arial" w:hAnsi="Arial" w:cs="Arial"/>
          <w:sz w:val="20"/>
          <w:szCs w:val="20"/>
        </w:rPr>
        <w:t xml:space="preserve"> (MIPYMES)</w:t>
      </w:r>
      <w:r w:rsidR="00C06DC3" w:rsidRPr="00F525D7">
        <w:rPr>
          <w:rFonts w:ascii="Arial" w:hAnsi="Arial" w:cs="Arial"/>
          <w:sz w:val="20"/>
          <w:szCs w:val="20"/>
        </w:rPr>
        <w:t>, destacando que una parte considerable de ellas, tratándose de personas físicas no son sujetos de líneas de crédito por las instituciones de crédito que conforman la banca comercial.</w:t>
      </w:r>
    </w:p>
    <w:p w14:paraId="5CABEA02" w14:textId="67C1EFF9" w:rsidR="00C012DE" w:rsidRDefault="00C012DE" w:rsidP="00CB41C4">
      <w:pPr>
        <w:tabs>
          <w:tab w:val="left" w:leader="underscore" w:pos="9639"/>
        </w:tabs>
        <w:spacing w:after="0" w:line="240" w:lineRule="auto"/>
        <w:jc w:val="both"/>
        <w:rPr>
          <w:rFonts w:ascii="Arial" w:hAnsi="Arial" w:cs="Arial"/>
          <w:sz w:val="20"/>
          <w:szCs w:val="20"/>
        </w:rPr>
      </w:pPr>
    </w:p>
    <w:p w14:paraId="062D1681" w14:textId="77777777" w:rsidR="007675C0" w:rsidRPr="00F525D7" w:rsidRDefault="007675C0" w:rsidP="007675C0">
      <w:pPr>
        <w:pStyle w:val="Ttulo2"/>
        <w:rPr>
          <w:rFonts w:ascii="Arial" w:hAnsi="Arial" w:cs="Arial"/>
          <w:b/>
          <w:color w:val="auto"/>
          <w:sz w:val="20"/>
          <w:szCs w:val="20"/>
        </w:rPr>
      </w:pPr>
      <w:bookmarkStart w:id="1" w:name="_Toc136601507"/>
      <w:r>
        <w:rPr>
          <w:rFonts w:ascii="Arial" w:hAnsi="Arial" w:cs="Arial"/>
          <w:b/>
          <w:color w:val="auto"/>
          <w:sz w:val="20"/>
          <w:szCs w:val="20"/>
        </w:rPr>
        <w:t>1</w:t>
      </w:r>
      <w:r w:rsidRPr="00F525D7">
        <w:rPr>
          <w:rFonts w:ascii="Arial" w:hAnsi="Arial" w:cs="Arial"/>
          <w:b/>
          <w:color w:val="auto"/>
          <w:sz w:val="20"/>
          <w:szCs w:val="20"/>
        </w:rPr>
        <w:t>. Autorización e Historia:</w:t>
      </w:r>
      <w:bookmarkEnd w:id="1"/>
    </w:p>
    <w:p w14:paraId="0AC50020"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42A27403"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6D496D41"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34F15279"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Fecha de creación del ente.</w:t>
      </w:r>
    </w:p>
    <w:p w14:paraId="406AE34F" w14:textId="77777777" w:rsidR="00C012DE" w:rsidRDefault="00C012DE" w:rsidP="007675C0">
      <w:pPr>
        <w:spacing w:after="0" w:line="240" w:lineRule="auto"/>
        <w:jc w:val="both"/>
        <w:rPr>
          <w:rFonts w:ascii="Arial" w:hAnsi="Arial" w:cs="Arial"/>
          <w:sz w:val="20"/>
          <w:szCs w:val="20"/>
        </w:rPr>
      </w:pPr>
    </w:p>
    <w:p w14:paraId="28F5A92D" w14:textId="68347B4B" w:rsidR="007675C0" w:rsidRPr="00F525D7" w:rsidRDefault="007675C0" w:rsidP="007675C0">
      <w:pPr>
        <w:spacing w:after="0" w:line="240" w:lineRule="auto"/>
        <w:jc w:val="both"/>
        <w:rPr>
          <w:rFonts w:ascii="Arial" w:hAnsi="Arial" w:cs="Arial"/>
          <w:sz w:val="20"/>
          <w:szCs w:val="20"/>
        </w:rPr>
      </w:pPr>
      <w:r w:rsidRPr="00F525D7">
        <w:rPr>
          <w:rFonts w:ascii="Arial" w:hAnsi="Arial" w:cs="Arial"/>
          <w:sz w:val="20"/>
          <w:szCs w:val="20"/>
        </w:rPr>
        <w:t>La Entidad se creó mediante contrato constitutivo de fecha 7 de mayo de 1997, el Gobierno del Estado de</w:t>
      </w:r>
      <w:r>
        <w:rPr>
          <w:rFonts w:ascii="Arial" w:hAnsi="Arial" w:cs="Arial"/>
          <w:sz w:val="20"/>
          <w:szCs w:val="20"/>
        </w:rPr>
        <w:t xml:space="preserve"> </w:t>
      </w:r>
      <w:r w:rsidRPr="00F525D7">
        <w:rPr>
          <w:rFonts w:ascii="Arial" w:hAnsi="Arial" w:cs="Arial"/>
          <w:sz w:val="20"/>
          <w:szCs w:val="20"/>
        </w:rPr>
        <w:t>Guanajuato y Bancomer, S.A., formalizaron la creación de la Entidad, que en su origen fue identificado con el número F/27804-4, denominado “Fondo Guanajuato de Inversión en Zonas Marginadas”, por sus siglas FOGIM. Que con fecha 31 de agosto del 2001 se celebró el Convenio de Sustitución de Fiduciaria, en el cual Banco Internacional, S.A., Institución de Banca Múltiple, Grupo Financiero BITAL, División Fiduciaria adquirió el carácter de Fiduciario Sustituto. Fondo Guanajuato de Inversión en Zonas Marginadas es una Entidad de la administración pública paraestatal.</w:t>
      </w:r>
    </w:p>
    <w:p w14:paraId="7367E62E"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p>
    <w:p w14:paraId="73F673CF" w14:textId="77777777" w:rsidR="007675C0" w:rsidRPr="00F525D7" w:rsidRDefault="007675C0" w:rsidP="007675C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Principales cambios en su estructura (interna históricamente).</w:t>
      </w:r>
    </w:p>
    <w:p w14:paraId="4F6EC1F3" w14:textId="77777777" w:rsidR="00C012DE" w:rsidRDefault="00C012DE" w:rsidP="007675C0">
      <w:pPr>
        <w:spacing w:after="0" w:line="240" w:lineRule="auto"/>
        <w:jc w:val="both"/>
        <w:rPr>
          <w:rFonts w:ascii="Arial" w:hAnsi="Arial" w:cs="Arial"/>
          <w:sz w:val="20"/>
          <w:szCs w:val="20"/>
        </w:rPr>
      </w:pPr>
    </w:p>
    <w:p w14:paraId="4F115F3C" w14:textId="26882135" w:rsidR="007675C0" w:rsidRDefault="007675C0" w:rsidP="007675C0">
      <w:pPr>
        <w:spacing w:after="0" w:line="240" w:lineRule="auto"/>
        <w:jc w:val="both"/>
        <w:rPr>
          <w:rFonts w:ascii="Arial" w:hAnsi="Arial" w:cs="Arial"/>
          <w:sz w:val="20"/>
          <w:szCs w:val="20"/>
        </w:rPr>
      </w:pPr>
      <w:r w:rsidRPr="00F525D7">
        <w:rPr>
          <w:rFonts w:ascii="Arial" w:hAnsi="Arial" w:cs="Arial"/>
          <w:sz w:val="20"/>
          <w:szCs w:val="20"/>
        </w:rPr>
        <w:t>El 13 de septiembre del año 2001 y 17 de septiembre del 2002, se celebraron el Primero y Segundo Convenio Modificatorios al Fideicomiso consecutivamente, adecuando diversas estipulaciones al contrato Constitutivo de fecha 7 de mayo de 1997, constituyendo ambos documentos el texto vigente de contrato de</w:t>
      </w:r>
      <w:r w:rsidR="00C012DE">
        <w:rPr>
          <w:rFonts w:ascii="Arial" w:hAnsi="Arial" w:cs="Arial"/>
          <w:sz w:val="20"/>
          <w:szCs w:val="20"/>
        </w:rPr>
        <w:t xml:space="preserve"> </w:t>
      </w:r>
      <w:r w:rsidRPr="00F525D7">
        <w:rPr>
          <w:rFonts w:ascii="Arial" w:hAnsi="Arial" w:cs="Arial"/>
          <w:sz w:val="20"/>
          <w:szCs w:val="20"/>
        </w:rPr>
        <w:t>Fideicomiso.</w:t>
      </w:r>
    </w:p>
    <w:p w14:paraId="45D949A9" w14:textId="77777777" w:rsidR="00C012DE" w:rsidRPr="00F525D7" w:rsidRDefault="00C012DE" w:rsidP="007675C0">
      <w:pPr>
        <w:spacing w:after="0" w:line="240" w:lineRule="auto"/>
        <w:jc w:val="both"/>
        <w:rPr>
          <w:rFonts w:ascii="Arial" w:hAnsi="Arial" w:cs="Arial"/>
          <w:sz w:val="20"/>
          <w:szCs w:val="20"/>
        </w:rPr>
      </w:pPr>
    </w:p>
    <w:p w14:paraId="687F565D" w14:textId="46C41245" w:rsidR="007675C0" w:rsidRPr="000B50F3" w:rsidRDefault="007675C0" w:rsidP="007675C0">
      <w:pPr>
        <w:spacing w:after="0" w:line="240" w:lineRule="auto"/>
        <w:jc w:val="both"/>
        <w:rPr>
          <w:rFonts w:ascii="Arial" w:hAnsi="Arial" w:cs="Arial"/>
          <w:sz w:val="20"/>
          <w:szCs w:val="20"/>
        </w:rPr>
      </w:pPr>
      <w:r w:rsidRPr="000B50F3">
        <w:rPr>
          <w:rFonts w:ascii="Arial" w:hAnsi="Arial" w:cs="Arial"/>
          <w:sz w:val="20"/>
          <w:szCs w:val="20"/>
        </w:rPr>
        <w:t xml:space="preserve">Con fecha 7 de abril del 2011, se celebró el Tercer Convenio Modificatorio al Fideicomiso, a efecto de contemplar en carácter de Fideicomitente en sustitución del extinto Sistema Estatal de Financiamiento al Desarrollo del Estado de Guanajuato, al Gobierno del Estado de Guanajuato, por conducto de la Secretaría de Finanzas y Administración (en la actualidad </w:t>
      </w:r>
      <w:r w:rsidR="00980620" w:rsidRPr="000B50F3">
        <w:rPr>
          <w:rFonts w:ascii="Arial" w:hAnsi="Arial" w:cs="Arial"/>
          <w:sz w:val="20"/>
          <w:szCs w:val="20"/>
        </w:rPr>
        <w:t>Secretar</w:t>
      </w:r>
      <w:r w:rsidR="00E35B72" w:rsidRPr="000B50F3">
        <w:rPr>
          <w:rFonts w:ascii="Arial" w:hAnsi="Arial" w:cs="Arial"/>
          <w:sz w:val="20"/>
          <w:szCs w:val="20"/>
        </w:rPr>
        <w:t>í</w:t>
      </w:r>
      <w:r w:rsidR="00980620" w:rsidRPr="000B50F3">
        <w:rPr>
          <w:rFonts w:ascii="Arial" w:hAnsi="Arial" w:cs="Arial"/>
          <w:sz w:val="20"/>
          <w:szCs w:val="20"/>
        </w:rPr>
        <w:t>a</w:t>
      </w:r>
      <w:r w:rsidRPr="000B50F3">
        <w:rPr>
          <w:rFonts w:ascii="Arial" w:hAnsi="Arial" w:cs="Arial"/>
          <w:sz w:val="20"/>
          <w:szCs w:val="20"/>
        </w:rPr>
        <w:t xml:space="preserve"> de Finanzas, Inversión y Administración- SFIA).</w:t>
      </w:r>
    </w:p>
    <w:p w14:paraId="6AFDCDB6" w14:textId="77777777" w:rsidR="00C012DE" w:rsidRPr="000B50F3" w:rsidRDefault="00C012DE" w:rsidP="007675C0">
      <w:pPr>
        <w:spacing w:after="0" w:line="240" w:lineRule="auto"/>
        <w:jc w:val="both"/>
        <w:rPr>
          <w:rFonts w:ascii="Arial" w:hAnsi="Arial" w:cs="Arial"/>
          <w:sz w:val="20"/>
          <w:szCs w:val="20"/>
        </w:rPr>
      </w:pPr>
    </w:p>
    <w:p w14:paraId="78211841" w14:textId="77777777" w:rsidR="007675C0" w:rsidRPr="000B50F3" w:rsidRDefault="007675C0" w:rsidP="007675C0">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Así mismo en fecha 29 de diciembre del 2014, se suscribió el Cuarto Convenio Modificatorio al Fideicomiso, toda vez que se ha determinado una actualización en cuanto a la operación, para hacer más eficiente la administración de los programas de apoyo y el uso de sus recursos.</w:t>
      </w:r>
    </w:p>
    <w:p w14:paraId="28AC7A17" w14:textId="06B64B15" w:rsidR="007675C0" w:rsidRPr="000B50F3" w:rsidRDefault="007675C0" w:rsidP="007675C0">
      <w:pPr>
        <w:tabs>
          <w:tab w:val="left" w:leader="underscore" w:pos="9639"/>
        </w:tabs>
        <w:spacing w:after="0" w:line="240" w:lineRule="auto"/>
        <w:jc w:val="both"/>
        <w:rPr>
          <w:rFonts w:ascii="Arial" w:hAnsi="Arial" w:cs="Arial"/>
          <w:sz w:val="20"/>
          <w:szCs w:val="20"/>
        </w:rPr>
      </w:pPr>
    </w:p>
    <w:p w14:paraId="39058CB6" w14:textId="77777777" w:rsidR="0062279F" w:rsidRPr="000B50F3" w:rsidRDefault="0062279F" w:rsidP="0062279F">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 xml:space="preserve">c) </w:t>
      </w:r>
      <w:r w:rsidRPr="000B50F3">
        <w:rPr>
          <w:rFonts w:ascii="Tahoma" w:hAnsi="Tahoma" w:cs="Tahoma"/>
          <w:sz w:val="20"/>
          <w:szCs w:val="20"/>
          <w:lang w:val="es-ES"/>
        </w:rPr>
        <w:t xml:space="preserve">Derivado del Decreto </w:t>
      </w:r>
      <w:r w:rsidRPr="000B50F3">
        <w:rPr>
          <w:rFonts w:ascii="Tahoma" w:eastAsia="Arial Unicode MS" w:hAnsi="Tahoma" w:cs="Tahoma"/>
          <w:sz w:val="20"/>
          <w:szCs w:val="20"/>
        </w:rPr>
        <w:t xml:space="preserve">Gubernativo número 1, publicado en el Periódico Oficial del Gobierno del Estado de Guanajuato, número 194, tercera parte, del 26 de septiembre de 2024, en su artículo segundo transitorio del citado Decreto Gubernativo número 1, se señala que con la entrada en vigor de dicho decreto -el día de su publicación-, el fideicomiso </w:t>
      </w:r>
      <w:r w:rsidRPr="000B50F3">
        <w:rPr>
          <w:rFonts w:ascii="Arial" w:hAnsi="Arial" w:cs="Arial"/>
          <w:sz w:val="20"/>
          <w:szCs w:val="20"/>
        </w:rPr>
        <w:t>Fondo Guanajuato de Inversión en Zonas Marginadas</w:t>
      </w:r>
      <w:r w:rsidRPr="000B50F3">
        <w:rPr>
          <w:rFonts w:ascii="Tahoma" w:eastAsia="Arial Unicode MS" w:hAnsi="Tahoma" w:cs="Tahoma"/>
          <w:sz w:val="20"/>
          <w:szCs w:val="20"/>
        </w:rPr>
        <w:t xml:space="preserve"> ya no podrá asumir derechos ni obligaciones y en términos del artículo 392, fracción I, de la Ley General de Títulos y Operaciones de Crédito, llevará a cabo su proceso de extinción.</w:t>
      </w:r>
    </w:p>
    <w:p w14:paraId="24F3EA93" w14:textId="77777777" w:rsidR="0062279F" w:rsidRPr="000B50F3" w:rsidRDefault="0062279F" w:rsidP="0062279F">
      <w:pPr>
        <w:tabs>
          <w:tab w:val="left" w:leader="underscore" w:pos="9639"/>
        </w:tabs>
        <w:spacing w:after="0" w:line="240" w:lineRule="auto"/>
        <w:jc w:val="both"/>
        <w:rPr>
          <w:rFonts w:ascii="Arial" w:hAnsi="Arial" w:cs="Arial"/>
          <w:sz w:val="20"/>
          <w:szCs w:val="20"/>
        </w:rPr>
      </w:pPr>
    </w:p>
    <w:p w14:paraId="1A6B1C14" w14:textId="6A3AF66B" w:rsidR="0062279F" w:rsidRDefault="0062279F" w:rsidP="0062279F">
      <w:pPr>
        <w:tabs>
          <w:tab w:val="left" w:leader="underscore" w:pos="9639"/>
        </w:tabs>
        <w:spacing w:after="0" w:line="240" w:lineRule="auto"/>
        <w:jc w:val="both"/>
        <w:rPr>
          <w:rFonts w:ascii="Tahoma" w:eastAsia="Arial Unicode MS" w:hAnsi="Tahoma" w:cs="Tahoma"/>
          <w:sz w:val="20"/>
          <w:szCs w:val="20"/>
        </w:rPr>
      </w:pPr>
      <w:r w:rsidRPr="000B50F3">
        <w:rPr>
          <w:rFonts w:ascii="Tahoma" w:eastAsia="Arial Unicode MS" w:hAnsi="Tahoma" w:cs="Tahoma"/>
          <w:sz w:val="20"/>
          <w:szCs w:val="20"/>
        </w:rPr>
        <w:t xml:space="preserve">De conformidad a lo señalado en líneas que anteceden </w:t>
      </w:r>
      <w:r w:rsidRPr="000B50F3">
        <w:rPr>
          <w:rFonts w:ascii="Arial" w:hAnsi="Arial" w:cs="Arial"/>
          <w:sz w:val="20"/>
          <w:szCs w:val="20"/>
        </w:rPr>
        <w:t>Fondo Guanajuato de Inversión en Zonas Marginadas</w:t>
      </w:r>
      <w:r w:rsidRPr="000B50F3">
        <w:rPr>
          <w:rFonts w:ascii="Tahoma" w:eastAsia="Arial Unicode MS" w:hAnsi="Tahoma" w:cs="Tahoma"/>
          <w:sz w:val="20"/>
          <w:szCs w:val="20"/>
        </w:rPr>
        <w:t>, no cuenta con facultades para poder seguir otorgando financiamientos, por lo que actualmente solo tiene facultades para continuar con su labor de cobranza administrativa, extrajudicial</w:t>
      </w:r>
      <w:r w:rsidR="00A24CDC">
        <w:rPr>
          <w:rFonts w:ascii="Tahoma" w:eastAsia="Arial Unicode MS" w:hAnsi="Tahoma" w:cs="Tahoma"/>
          <w:sz w:val="20"/>
          <w:szCs w:val="20"/>
        </w:rPr>
        <w:t>,</w:t>
      </w:r>
      <w:r w:rsidRPr="000B50F3">
        <w:rPr>
          <w:rFonts w:ascii="Tahoma" w:eastAsia="Arial Unicode MS" w:hAnsi="Tahoma" w:cs="Tahoma"/>
          <w:sz w:val="20"/>
          <w:szCs w:val="20"/>
        </w:rPr>
        <w:t xml:space="preserve"> judicial </w:t>
      </w:r>
      <w:r w:rsidR="00A24CDC">
        <w:rPr>
          <w:rFonts w:ascii="Tahoma" w:eastAsia="Arial Unicode MS" w:hAnsi="Tahoma" w:cs="Tahoma"/>
          <w:sz w:val="20"/>
          <w:szCs w:val="20"/>
        </w:rPr>
        <w:t xml:space="preserve">y las demás gestiones que de esto deriven </w:t>
      </w:r>
      <w:r w:rsidRPr="000B50F3">
        <w:rPr>
          <w:rFonts w:ascii="Tahoma" w:eastAsia="Arial Unicode MS" w:hAnsi="Tahoma" w:cs="Tahoma"/>
          <w:sz w:val="20"/>
          <w:szCs w:val="20"/>
        </w:rPr>
        <w:t>con el fin reintegrar los recursos económicos financiados a las arcas públicas.</w:t>
      </w:r>
    </w:p>
    <w:p w14:paraId="30A3A2DB" w14:textId="77777777" w:rsidR="000B50F3" w:rsidRDefault="000B50F3" w:rsidP="0062279F">
      <w:pPr>
        <w:tabs>
          <w:tab w:val="left" w:leader="underscore" w:pos="9639"/>
        </w:tabs>
        <w:spacing w:after="0" w:line="240" w:lineRule="auto"/>
        <w:jc w:val="both"/>
        <w:rPr>
          <w:rFonts w:ascii="Tahoma" w:eastAsia="Arial Unicode MS" w:hAnsi="Tahoma" w:cs="Tahoma"/>
          <w:sz w:val="20"/>
          <w:szCs w:val="20"/>
        </w:rPr>
      </w:pPr>
    </w:p>
    <w:p w14:paraId="1C6C0B49" w14:textId="77777777" w:rsidR="000B50F3" w:rsidRPr="000B50F3" w:rsidRDefault="000B50F3" w:rsidP="0062279F">
      <w:pPr>
        <w:tabs>
          <w:tab w:val="left" w:leader="underscore" w:pos="9639"/>
        </w:tabs>
        <w:spacing w:after="0" w:line="240" w:lineRule="auto"/>
        <w:jc w:val="both"/>
        <w:rPr>
          <w:rFonts w:ascii="Arial" w:hAnsi="Arial" w:cs="Arial"/>
          <w:b/>
          <w:sz w:val="20"/>
          <w:szCs w:val="20"/>
        </w:rPr>
      </w:pPr>
    </w:p>
    <w:p w14:paraId="7BD47D39" w14:textId="77777777" w:rsidR="007675C0" w:rsidRPr="000B50F3" w:rsidRDefault="007675C0" w:rsidP="007675C0">
      <w:pPr>
        <w:tabs>
          <w:tab w:val="left" w:leader="underscore" w:pos="9639"/>
        </w:tabs>
        <w:spacing w:after="0" w:line="240" w:lineRule="auto"/>
        <w:jc w:val="both"/>
        <w:rPr>
          <w:rFonts w:ascii="Arial" w:hAnsi="Arial" w:cs="Arial"/>
          <w:sz w:val="20"/>
          <w:szCs w:val="20"/>
        </w:rPr>
      </w:pPr>
    </w:p>
    <w:p w14:paraId="21D4EEBE" w14:textId="77777777" w:rsidR="007D1E76" w:rsidRPr="00F525D7" w:rsidRDefault="007D1E76" w:rsidP="000C3365">
      <w:pPr>
        <w:pStyle w:val="Ttulo2"/>
        <w:rPr>
          <w:rFonts w:ascii="Arial" w:hAnsi="Arial" w:cs="Arial"/>
          <w:b/>
          <w:color w:val="auto"/>
          <w:sz w:val="20"/>
          <w:szCs w:val="20"/>
        </w:rPr>
      </w:pPr>
      <w:bookmarkStart w:id="2" w:name="_Toc136601508"/>
      <w:r w:rsidRPr="000B50F3">
        <w:rPr>
          <w:rFonts w:ascii="Arial" w:hAnsi="Arial" w:cs="Arial"/>
          <w:b/>
          <w:color w:val="auto"/>
          <w:sz w:val="20"/>
          <w:szCs w:val="20"/>
        </w:rPr>
        <w:lastRenderedPageBreak/>
        <w:t xml:space="preserve">2. </w:t>
      </w:r>
      <w:r w:rsidR="007675C0" w:rsidRPr="000B50F3">
        <w:rPr>
          <w:rFonts w:ascii="Arial" w:hAnsi="Arial" w:cs="Arial"/>
          <w:b/>
          <w:color w:val="auto"/>
          <w:sz w:val="20"/>
          <w:szCs w:val="20"/>
        </w:rPr>
        <w:t>P</w:t>
      </w:r>
      <w:r w:rsidRPr="000B50F3">
        <w:rPr>
          <w:rFonts w:ascii="Arial" w:hAnsi="Arial" w:cs="Arial"/>
          <w:b/>
          <w:color w:val="auto"/>
          <w:sz w:val="20"/>
          <w:szCs w:val="20"/>
        </w:rPr>
        <w:t>an</w:t>
      </w:r>
      <w:r w:rsidR="00E00323" w:rsidRPr="000B50F3">
        <w:rPr>
          <w:rFonts w:ascii="Arial" w:hAnsi="Arial" w:cs="Arial"/>
          <w:b/>
          <w:color w:val="auto"/>
          <w:sz w:val="20"/>
          <w:szCs w:val="20"/>
        </w:rPr>
        <w:t>orama Económico y Financiero:</w:t>
      </w:r>
      <w:bookmarkEnd w:id="2"/>
    </w:p>
    <w:p w14:paraId="00D7AC65" w14:textId="77777777" w:rsidR="007675C0" w:rsidRDefault="007675C0" w:rsidP="00CB41C4">
      <w:pPr>
        <w:tabs>
          <w:tab w:val="left" w:leader="underscore" w:pos="9639"/>
        </w:tabs>
        <w:spacing w:after="0" w:line="240" w:lineRule="auto"/>
        <w:jc w:val="both"/>
        <w:rPr>
          <w:rFonts w:ascii="Arial" w:hAnsi="Arial" w:cs="Arial"/>
          <w:sz w:val="20"/>
          <w:szCs w:val="20"/>
        </w:rPr>
      </w:pPr>
    </w:p>
    <w:p w14:paraId="6CFD491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 las principales condiciones económico-financieras bajo las cuales el ente público estuvo operando; y las cuales influyeron en la toma de decisiones de la administración; tanto</w:t>
      </w:r>
      <w:r w:rsidR="00E00323" w:rsidRPr="00F525D7">
        <w:rPr>
          <w:rFonts w:ascii="Arial" w:hAnsi="Arial" w:cs="Arial"/>
          <w:sz w:val="20"/>
          <w:szCs w:val="20"/>
        </w:rPr>
        <w:t xml:space="preserve"> a nivel local como federal.</w:t>
      </w:r>
    </w:p>
    <w:p w14:paraId="4BEA3CF1" w14:textId="77777777" w:rsidR="00D911C4" w:rsidRDefault="00D911C4" w:rsidP="00726778">
      <w:pPr>
        <w:spacing w:after="0" w:line="240" w:lineRule="auto"/>
        <w:jc w:val="both"/>
        <w:rPr>
          <w:rFonts w:ascii="Arial" w:hAnsi="Arial" w:cs="Arial"/>
          <w:sz w:val="20"/>
          <w:szCs w:val="20"/>
        </w:rPr>
      </w:pPr>
    </w:p>
    <w:p w14:paraId="7430CE7A"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Contexto Global</w:t>
      </w:r>
    </w:p>
    <w:p w14:paraId="0F6E11DD" w14:textId="77777777" w:rsidR="00D911C4" w:rsidRDefault="00D911C4" w:rsidP="00726778">
      <w:pPr>
        <w:spacing w:after="0" w:line="240" w:lineRule="auto"/>
        <w:jc w:val="both"/>
        <w:rPr>
          <w:rFonts w:ascii="Arial" w:hAnsi="Arial" w:cs="Arial"/>
          <w:sz w:val="20"/>
          <w:szCs w:val="20"/>
        </w:rPr>
      </w:pPr>
    </w:p>
    <w:p w14:paraId="0CB0025C"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La desaceleración económica que se venía presentando a nivel internacional, aunada a la contingencia sanitaria provocada por el COVID-19, generó un entorno económico que derivó en recesión y pérdida de empleos en todo el mundo.</w:t>
      </w:r>
    </w:p>
    <w:p w14:paraId="57574A4E" w14:textId="77777777" w:rsidR="00D911C4" w:rsidRDefault="00D911C4" w:rsidP="00726778">
      <w:pPr>
        <w:spacing w:after="0" w:line="240" w:lineRule="auto"/>
        <w:jc w:val="both"/>
        <w:rPr>
          <w:rFonts w:ascii="Arial" w:hAnsi="Arial" w:cs="Arial"/>
          <w:sz w:val="20"/>
          <w:szCs w:val="20"/>
        </w:rPr>
      </w:pPr>
    </w:p>
    <w:p w14:paraId="4ACA65BB"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El Fondo Monetario Internacional estima que en el año 2020 existió una contracción económica del -3.3% y que alrededor de 95 millones de personas adicionales quedaron por debajo del umbral de la pobreza extrema a nivel mundial.</w:t>
      </w:r>
    </w:p>
    <w:p w14:paraId="51AD9724" w14:textId="77777777" w:rsidR="00D911C4" w:rsidRDefault="00D911C4" w:rsidP="00726778">
      <w:pPr>
        <w:spacing w:after="0" w:line="240" w:lineRule="auto"/>
        <w:jc w:val="both"/>
        <w:rPr>
          <w:rFonts w:ascii="Arial" w:hAnsi="Arial" w:cs="Arial"/>
          <w:sz w:val="20"/>
          <w:szCs w:val="20"/>
        </w:rPr>
      </w:pPr>
    </w:p>
    <w:p w14:paraId="0B8C229D"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 xml:space="preserve">De igual manera, la economía de México tuvo una contracción de -8.5% </w:t>
      </w:r>
      <w:proofErr w:type="gramStart"/>
      <w:r>
        <w:rPr>
          <w:rFonts w:ascii="Arial" w:hAnsi="Arial" w:cs="Arial"/>
          <w:sz w:val="20"/>
          <w:szCs w:val="20"/>
        </w:rPr>
        <w:t>de acuerdo a</w:t>
      </w:r>
      <w:proofErr w:type="gramEnd"/>
      <w:r>
        <w:rPr>
          <w:rFonts w:ascii="Arial" w:hAnsi="Arial" w:cs="Arial"/>
          <w:sz w:val="20"/>
          <w:szCs w:val="20"/>
        </w:rPr>
        <w:t xml:space="preserve"> los datos del INEGI.</w:t>
      </w:r>
    </w:p>
    <w:p w14:paraId="1A188F0B" w14:textId="77777777" w:rsidR="00D911C4" w:rsidRDefault="00D911C4" w:rsidP="00726778">
      <w:pPr>
        <w:spacing w:after="0" w:line="240" w:lineRule="auto"/>
        <w:jc w:val="both"/>
        <w:rPr>
          <w:rFonts w:ascii="Arial" w:hAnsi="Arial" w:cs="Arial"/>
          <w:sz w:val="20"/>
          <w:szCs w:val="20"/>
        </w:rPr>
      </w:pPr>
    </w:p>
    <w:p w14:paraId="3B3460B4" w14:textId="77777777" w:rsidR="00D911C4" w:rsidRDefault="00D911C4" w:rsidP="00726778">
      <w:pPr>
        <w:spacing w:after="0" w:line="240" w:lineRule="auto"/>
        <w:jc w:val="both"/>
        <w:rPr>
          <w:rFonts w:ascii="Arial" w:hAnsi="Arial" w:cs="Arial"/>
          <w:sz w:val="20"/>
          <w:szCs w:val="20"/>
        </w:rPr>
      </w:pPr>
      <w:r>
        <w:rPr>
          <w:rFonts w:ascii="Arial" w:hAnsi="Arial" w:cs="Arial"/>
          <w:sz w:val="20"/>
          <w:szCs w:val="20"/>
        </w:rPr>
        <w:t>Contexto Local</w:t>
      </w:r>
    </w:p>
    <w:p w14:paraId="636EACB6" w14:textId="77777777" w:rsidR="00D911C4" w:rsidRDefault="00D911C4" w:rsidP="00726778">
      <w:pPr>
        <w:spacing w:after="0" w:line="240" w:lineRule="auto"/>
        <w:jc w:val="both"/>
        <w:rPr>
          <w:rFonts w:ascii="Arial" w:hAnsi="Arial" w:cs="Arial"/>
          <w:sz w:val="20"/>
          <w:szCs w:val="20"/>
        </w:rPr>
      </w:pPr>
    </w:p>
    <w:p w14:paraId="27E49B5C" w14:textId="77777777" w:rsidR="002B0504" w:rsidRDefault="002B0504" w:rsidP="00726778">
      <w:pPr>
        <w:spacing w:after="0" w:line="240" w:lineRule="auto"/>
        <w:jc w:val="both"/>
        <w:rPr>
          <w:rFonts w:ascii="Arial" w:hAnsi="Arial" w:cs="Arial"/>
          <w:sz w:val="20"/>
          <w:szCs w:val="20"/>
        </w:rPr>
      </w:pPr>
      <w:r>
        <w:rPr>
          <w:rFonts w:ascii="Arial" w:hAnsi="Arial" w:cs="Arial"/>
          <w:sz w:val="20"/>
          <w:szCs w:val="20"/>
        </w:rPr>
        <w:t>Guanajuato por su parte, ha enfrentado una reducción en los ingresos provenientes de la federación. De acuerdo con el Paquete Fiscal 2021, se espera una reducción de más de 4 mil millones de pesos con respecto al año 2020.</w:t>
      </w:r>
    </w:p>
    <w:p w14:paraId="0828D8B7" w14:textId="77777777" w:rsidR="002B0504" w:rsidRDefault="002B0504" w:rsidP="00726778">
      <w:pPr>
        <w:spacing w:after="0" w:line="240" w:lineRule="auto"/>
        <w:jc w:val="both"/>
        <w:rPr>
          <w:rFonts w:ascii="Arial" w:hAnsi="Arial" w:cs="Arial"/>
          <w:sz w:val="20"/>
          <w:szCs w:val="20"/>
        </w:rPr>
      </w:pPr>
    </w:p>
    <w:p w14:paraId="220E921D" w14:textId="77777777" w:rsidR="002B0504" w:rsidRDefault="002B0504" w:rsidP="00726778">
      <w:pPr>
        <w:spacing w:after="0" w:line="240" w:lineRule="auto"/>
        <w:jc w:val="both"/>
        <w:rPr>
          <w:rFonts w:ascii="Arial" w:hAnsi="Arial" w:cs="Arial"/>
          <w:sz w:val="20"/>
          <w:szCs w:val="20"/>
        </w:rPr>
      </w:pPr>
      <w:r>
        <w:rPr>
          <w:rFonts w:ascii="Arial" w:hAnsi="Arial" w:cs="Arial"/>
          <w:sz w:val="20"/>
          <w:szCs w:val="20"/>
        </w:rPr>
        <w:t>No obstante, lo anterior, existen oportunidades en el entorno que pueden ser capitalizadas como el T-MEC, que entró en vigor el pasado 1 de julio de 2020, el cual representa la posibilidad de impulsar el comercio internacional y aprovechar las ventajas competitivas de Guanajuato.</w:t>
      </w:r>
    </w:p>
    <w:p w14:paraId="24082DC4" w14:textId="77777777" w:rsidR="002B0504" w:rsidRDefault="002B0504" w:rsidP="00726778">
      <w:pPr>
        <w:spacing w:after="0" w:line="240" w:lineRule="auto"/>
        <w:jc w:val="both"/>
        <w:rPr>
          <w:rFonts w:ascii="Arial" w:hAnsi="Arial" w:cs="Arial"/>
          <w:sz w:val="20"/>
          <w:szCs w:val="20"/>
        </w:rPr>
      </w:pPr>
    </w:p>
    <w:p w14:paraId="68D079C3" w14:textId="77777777" w:rsidR="002B0504" w:rsidRPr="000B50F3" w:rsidRDefault="002B0504" w:rsidP="00726778">
      <w:pPr>
        <w:spacing w:after="0" w:line="240" w:lineRule="auto"/>
        <w:jc w:val="both"/>
        <w:rPr>
          <w:rFonts w:ascii="Arial" w:hAnsi="Arial" w:cs="Arial"/>
          <w:sz w:val="20"/>
          <w:szCs w:val="20"/>
        </w:rPr>
      </w:pPr>
      <w:r w:rsidRPr="000B50F3">
        <w:rPr>
          <w:rFonts w:ascii="Arial" w:hAnsi="Arial" w:cs="Arial"/>
          <w:sz w:val="20"/>
          <w:szCs w:val="20"/>
        </w:rPr>
        <w:t>Actualización del Programa de Gobierno</w:t>
      </w:r>
    </w:p>
    <w:p w14:paraId="20DC2B92" w14:textId="77777777" w:rsidR="002B0504" w:rsidRPr="000B50F3" w:rsidRDefault="002B0504" w:rsidP="00726778">
      <w:pPr>
        <w:spacing w:after="0" w:line="240" w:lineRule="auto"/>
        <w:jc w:val="both"/>
        <w:rPr>
          <w:rFonts w:ascii="Arial" w:hAnsi="Arial" w:cs="Arial"/>
          <w:sz w:val="20"/>
          <w:szCs w:val="20"/>
        </w:rPr>
      </w:pPr>
    </w:p>
    <w:p w14:paraId="7D95D49B" w14:textId="3ED7A007" w:rsidR="00AD08A5" w:rsidRPr="000B50F3" w:rsidRDefault="00436531" w:rsidP="00726778">
      <w:pPr>
        <w:spacing w:after="0" w:line="240" w:lineRule="auto"/>
        <w:jc w:val="both"/>
        <w:rPr>
          <w:rFonts w:ascii="Arial" w:hAnsi="Arial" w:cs="Arial"/>
          <w:sz w:val="20"/>
        </w:rPr>
      </w:pPr>
      <w:r w:rsidRPr="000B50F3">
        <w:rPr>
          <w:rFonts w:ascii="Arial" w:hAnsi="Arial" w:cs="Arial"/>
          <w:sz w:val="20"/>
        </w:rPr>
        <w:t xml:space="preserve">En el marco de su administración 2024-2030 y bajo el concepto de </w:t>
      </w:r>
      <w:r w:rsidRPr="000B50F3">
        <w:rPr>
          <w:rFonts w:ascii="Arial" w:hAnsi="Arial" w:cs="Arial"/>
          <w:b/>
          <w:sz w:val="20"/>
        </w:rPr>
        <w:t>«Nuevo Comienzo»</w:t>
      </w:r>
      <w:r w:rsidRPr="000B50F3">
        <w:rPr>
          <w:rFonts w:ascii="Arial" w:hAnsi="Arial" w:cs="Arial"/>
          <w:sz w:val="20"/>
        </w:rPr>
        <w:t>, se ha reconocido la importancia de abordar esta problemática estructural. Uno de los compromisos prioritarios de la presente administración estatal es promover una economía más inclusiva, que fomente la igualdad de oportunidades para toda la ciudadanía y potencie el desarrollo de aquellos sectores que históricamente han sido desatendidos por las entidades financieras tradicionales.</w:t>
      </w:r>
    </w:p>
    <w:p w14:paraId="7122EFAD" w14:textId="1C768925" w:rsidR="00436531" w:rsidRPr="000B50F3" w:rsidRDefault="00436531" w:rsidP="00726778">
      <w:pPr>
        <w:spacing w:after="0" w:line="240" w:lineRule="auto"/>
        <w:jc w:val="both"/>
        <w:rPr>
          <w:rFonts w:ascii="Arial" w:hAnsi="Arial" w:cs="Arial"/>
          <w:sz w:val="20"/>
        </w:rPr>
      </w:pPr>
    </w:p>
    <w:p w14:paraId="0A7814EE" w14:textId="77777777" w:rsidR="00436531" w:rsidRPr="000B50F3" w:rsidRDefault="00436531" w:rsidP="00726778">
      <w:pPr>
        <w:spacing w:after="0" w:line="240" w:lineRule="auto"/>
        <w:jc w:val="both"/>
        <w:rPr>
          <w:rFonts w:ascii="Arial" w:hAnsi="Arial" w:cs="Arial"/>
          <w:sz w:val="20"/>
          <w:szCs w:val="20"/>
        </w:rPr>
      </w:pPr>
    </w:p>
    <w:p w14:paraId="5CE38827" w14:textId="77777777" w:rsidR="00436531" w:rsidRPr="000B50F3" w:rsidRDefault="00436531" w:rsidP="00436531">
      <w:pPr>
        <w:jc w:val="both"/>
        <w:rPr>
          <w:rFonts w:ascii="Arial" w:hAnsi="Arial" w:cs="Arial"/>
          <w:sz w:val="20"/>
        </w:rPr>
      </w:pPr>
      <w:r w:rsidRPr="000B50F3">
        <w:rPr>
          <w:rFonts w:ascii="Arial" w:hAnsi="Arial" w:cs="Arial"/>
          <w:sz w:val="20"/>
        </w:rPr>
        <w:t>Lo anterior, se encuentra alineado con el Plan Estatal de Desarrollo (PED) visión 2050, en el cual se definió un nuevo modelo de desarrollo a partir de cinco pilares para responder a las circunstancias locales, nacionales y globales, actuales y con prospectiva de futuro.</w:t>
      </w:r>
    </w:p>
    <w:p w14:paraId="1FEB2F37" w14:textId="77777777" w:rsidR="00436531" w:rsidRPr="000B50F3" w:rsidRDefault="00436531" w:rsidP="00436531">
      <w:pPr>
        <w:jc w:val="both"/>
        <w:rPr>
          <w:rFonts w:ascii="Arial" w:hAnsi="Arial" w:cs="Arial"/>
          <w:sz w:val="20"/>
        </w:rPr>
      </w:pPr>
      <w:r w:rsidRPr="000B50F3">
        <w:rPr>
          <w:rFonts w:ascii="Arial" w:hAnsi="Arial" w:cs="Arial"/>
          <w:sz w:val="20"/>
        </w:rPr>
        <w:t>Este nuevo modelo y sus cinco pilares se alinean a las orientaciones internacionales plasmadas en la Agenda 2030 para que los gobiernos se anticipen con acciones y estrategias, a las consecuencias de las problemáticas presentes en el mundo y que son factores clave para el desarrollo de las sociedades de manera más inclusiva, equitativa, próspera, sostenible y resiliente.</w:t>
      </w:r>
    </w:p>
    <w:p w14:paraId="32069988" w14:textId="77F9AAA3" w:rsidR="000B50F3" w:rsidRPr="000B50F3" w:rsidRDefault="00436531" w:rsidP="00436531">
      <w:pPr>
        <w:jc w:val="both"/>
        <w:rPr>
          <w:rFonts w:ascii="Arial" w:hAnsi="Arial" w:cs="Arial"/>
          <w:sz w:val="20"/>
        </w:rPr>
      </w:pPr>
      <w:r w:rsidRPr="000B50F3">
        <w:rPr>
          <w:rFonts w:ascii="Arial" w:hAnsi="Arial" w:cs="Arial"/>
          <w:sz w:val="20"/>
        </w:rPr>
        <w:t>Lo anterior, en atención al Pilar 2. Economía dinámica y sustentable, Objetivo 2.2 Fortalecer el desarrollo económico de la entidad con visión sustentable, estrategias 2.1.2 Generación de oportunidades para participar en la economía formal con base a las vocaciones regionales, 2.2.3 Impulso a la articulación productiva de impacto amplio en las cadenas de suministro. Aunado a los Pilares 1. Sociedad incluyente, resiliente y solidaria, Objetivo 1.1 Incrementar la calidad de vida de la población y Pilar 3. Nueva gobernanza, a través del Objetivo 3.1 Asegurar la eficacia, eficiencia y transparencia de la gestión gubernamental, Estrategia 3.1.1 Fortalecimiento de las capacidades de gestión de la administración pública estatal.</w:t>
      </w:r>
    </w:p>
    <w:p w14:paraId="1575704C"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lastRenderedPageBreak/>
        <w:t>Meta</w:t>
      </w:r>
    </w:p>
    <w:p w14:paraId="5561DD43" w14:textId="587C611E" w:rsidR="001A5141" w:rsidRPr="000B50F3" w:rsidRDefault="00436531" w:rsidP="00436531">
      <w:pPr>
        <w:spacing w:after="0" w:line="240" w:lineRule="auto"/>
        <w:jc w:val="both"/>
        <w:rPr>
          <w:rFonts w:ascii="Arial" w:hAnsi="Arial" w:cs="Arial"/>
          <w:sz w:val="20"/>
          <w:szCs w:val="20"/>
        </w:rPr>
      </w:pPr>
      <w:r w:rsidRPr="000B50F3">
        <w:rPr>
          <w:rFonts w:ascii="Arial" w:hAnsi="Arial" w:cs="Arial"/>
          <w:sz w:val="20"/>
          <w:szCs w:val="20"/>
        </w:rPr>
        <w:t>Por lo anterior, la meta de Fondo Guanajuato de Inversión en Zonas Marginadas es restituir los recursos públicos a la Secretar</w:t>
      </w:r>
      <w:r w:rsidR="00A24CDC">
        <w:rPr>
          <w:rFonts w:ascii="Arial" w:hAnsi="Arial" w:cs="Arial"/>
          <w:sz w:val="20"/>
          <w:szCs w:val="20"/>
        </w:rPr>
        <w:t>í</w:t>
      </w:r>
      <w:r w:rsidRPr="000B50F3">
        <w:rPr>
          <w:rFonts w:ascii="Arial" w:hAnsi="Arial" w:cs="Arial"/>
          <w:sz w:val="20"/>
          <w:szCs w:val="20"/>
        </w:rPr>
        <w:t xml:space="preserve">a de Finanzas sin afectar para ello a las </w:t>
      </w:r>
      <w:proofErr w:type="spellStart"/>
      <w:r w:rsidRPr="000B50F3">
        <w:rPr>
          <w:rFonts w:ascii="Arial" w:hAnsi="Arial" w:cs="Arial"/>
          <w:sz w:val="20"/>
          <w:szCs w:val="20"/>
        </w:rPr>
        <w:t>Mipymes</w:t>
      </w:r>
      <w:proofErr w:type="spellEnd"/>
      <w:r w:rsidR="00E172BE" w:rsidRPr="000B50F3">
        <w:rPr>
          <w:rFonts w:ascii="Arial" w:hAnsi="Arial" w:cs="Arial"/>
          <w:sz w:val="20"/>
          <w:szCs w:val="20"/>
        </w:rPr>
        <w:t xml:space="preserve"> que en su momento fueron beneficiadas con algunos de los financiamientos que estuvieron vigentes hasta el momento de creación de la nueva Financiera.</w:t>
      </w:r>
    </w:p>
    <w:p w14:paraId="26724263" w14:textId="77777777" w:rsidR="00764849" w:rsidRPr="000B50F3" w:rsidRDefault="00764849" w:rsidP="00726778">
      <w:pPr>
        <w:spacing w:after="0" w:line="240" w:lineRule="auto"/>
        <w:jc w:val="both"/>
        <w:rPr>
          <w:rFonts w:ascii="Arial" w:hAnsi="Arial" w:cs="Arial"/>
          <w:sz w:val="20"/>
          <w:szCs w:val="20"/>
        </w:rPr>
      </w:pPr>
    </w:p>
    <w:p w14:paraId="08698ACA"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Responsable</w:t>
      </w:r>
    </w:p>
    <w:p w14:paraId="53FE0B0C"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FONDOSGTO-SDES</w:t>
      </w:r>
    </w:p>
    <w:p w14:paraId="53FAB6E1" w14:textId="77777777" w:rsidR="00764849" w:rsidRPr="000B50F3" w:rsidRDefault="00764849" w:rsidP="00726778">
      <w:pPr>
        <w:spacing w:after="0" w:line="240" w:lineRule="auto"/>
        <w:jc w:val="both"/>
        <w:rPr>
          <w:rFonts w:ascii="Arial" w:hAnsi="Arial" w:cs="Arial"/>
          <w:sz w:val="20"/>
          <w:szCs w:val="20"/>
        </w:rPr>
      </w:pPr>
    </w:p>
    <w:p w14:paraId="5446C8AD" w14:textId="77777777" w:rsidR="001A5141" w:rsidRPr="000B50F3" w:rsidRDefault="001A5141" w:rsidP="00726778">
      <w:pPr>
        <w:spacing w:after="0" w:line="240" w:lineRule="auto"/>
        <w:jc w:val="both"/>
        <w:rPr>
          <w:rFonts w:ascii="Arial" w:hAnsi="Arial" w:cs="Arial"/>
          <w:sz w:val="20"/>
          <w:szCs w:val="20"/>
        </w:rPr>
      </w:pPr>
      <w:r w:rsidRPr="000B50F3">
        <w:rPr>
          <w:rFonts w:ascii="Arial" w:hAnsi="Arial" w:cs="Arial"/>
          <w:sz w:val="20"/>
          <w:szCs w:val="20"/>
        </w:rPr>
        <w:t>Líneas de acción</w:t>
      </w:r>
    </w:p>
    <w:p w14:paraId="4E1F099B" w14:textId="77777777" w:rsidR="00B80395" w:rsidRPr="000B50F3" w:rsidRDefault="00B80395" w:rsidP="00B80395">
      <w:pPr>
        <w:jc w:val="both"/>
        <w:rPr>
          <w:rFonts w:ascii="Tahoma" w:eastAsia="Arial Unicode MS" w:hAnsi="Tahoma" w:cs="Tahoma"/>
          <w:sz w:val="20"/>
          <w:szCs w:val="20"/>
        </w:rPr>
      </w:pPr>
    </w:p>
    <w:p w14:paraId="3B8B1322" w14:textId="3FD7C96A" w:rsidR="00B80395" w:rsidRPr="000B50F3" w:rsidRDefault="00B80395" w:rsidP="00B80395">
      <w:pPr>
        <w:jc w:val="both"/>
        <w:rPr>
          <w:rFonts w:ascii="Tahoma" w:eastAsia="Arial Unicode MS" w:hAnsi="Tahoma" w:cs="Tahoma"/>
          <w:sz w:val="20"/>
          <w:szCs w:val="20"/>
        </w:rPr>
      </w:pPr>
      <w:r w:rsidRPr="000B50F3">
        <w:rPr>
          <w:rFonts w:ascii="Tahoma" w:eastAsia="Arial Unicode MS" w:hAnsi="Tahoma" w:cs="Tahoma"/>
          <w:sz w:val="20"/>
          <w:szCs w:val="20"/>
        </w:rPr>
        <w:t xml:space="preserve">De conformidad a lo señalado en líneas que anteceden Fondos Guanajuato, no cuenta con facultades para poder seguir otorgando financiamientos, por lo que actualmente </w:t>
      </w:r>
      <w:r w:rsidR="00E172BE" w:rsidRPr="000B50F3">
        <w:rPr>
          <w:rFonts w:ascii="Tahoma" w:eastAsia="Arial Unicode MS" w:hAnsi="Tahoma" w:cs="Tahoma"/>
          <w:sz w:val="20"/>
          <w:szCs w:val="20"/>
        </w:rPr>
        <w:t>realiza el seguimiento y cobranza</w:t>
      </w:r>
      <w:r w:rsidRPr="000B50F3">
        <w:rPr>
          <w:rFonts w:ascii="Tahoma" w:eastAsia="Arial Unicode MS" w:hAnsi="Tahoma" w:cs="Tahoma"/>
          <w:sz w:val="20"/>
          <w:szCs w:val="20"/>
        </w:rPr>
        <w:t xml:space="preserve"> </w:t>
      </w:r>
      <w:r w:rsidR="00E172BE" w:rsidRPr="000B50F3">
        <w:rPr>
          <w:rFonts w:ascii="Tahoma" w:eastAsia="Arial Unicode MS" w:hAnsi="Tahoma" w:cs="Tahoma"/>
          <w:sz w:val="20"/>
          <w:szCs w:val="20"/>
        </w:rPr>
        <w:t>de los financiamientos vigentes y hasta su total liquidación llevando para ello las gestiones necesarias para su cabal cumplimiento</w:t>
      </w:r>
      <w:r w:rsidRPr="000B50F3">
        <w:rPr>
          <w:rFonts w:ascii="Tahoma" w:eastAsia="Arial Unicode MS" w:hAnsi="Tahoma" w:cs="Tahoma"/>
          <w:sz w:val="20"/>
          <w:szCs w:val="20"/>
        </w:rPr>
        <w:t>.</w:t>
      </w:r>
    </w:p>
    <w:p w14:paraId="331D313A" w14:textId="4C16EDF0" w:rsidR="00B80395" w:rsidRPr="000B50F3" w:rsidRDefault="00B80395" w:rsidP="00B80395">
      <w:pPr>
        <w:jc w:val="both"/>
        <w:rPr>
          <w:rFonts w:ascii="Tahoma" w:hAnsi="Tahoma" w:cs="Tahoma"/>
          <w:sz w:val="20"/>
          <w:szCs w:val="20"/>
          <w:lang w:val="es-ES"/>
        </w:rPr>
      </w:pPr>
      <w:r w:rsidRPr="000B50F3">
        <w:rPr>
          <w:rFonts w:ascii="Tahoma" w:hAnsi="Tahoma" w:cs="Tahoma"/>
          <w:sz w:val="20"/>
          <w:szCs w:val="20"/>
          <w:lang w:val="es-ES"/>
        </w:rPr>
        <w:t xml:space="preserve">Al </w:t>
      </w:r>
      <w:r w:rsidR="003F281D">
        <w:rPr>
          <w:rFonts w:ascii="Tahoma" w:hAnsi="Tahoma" w:cs="Tahoma"/>
          <w:sz w:val="20"/>
          <w:szCs w:val="20"/>
          <w:lang w:val="es-ES"/>
        </w:rPr>
        <w:t>30</w:t>
      </w:r>
      <w:r w:rsidRPr="000B50F3">
        <w:rPr>
          <w:rFonts w:ascii="Tahoma" w:hAnsi="Tahoma" w:cs="Tahoma"/>
          <w:sz w:val="20"/>
          <w:szCs w:val="20"/>
          <w:lang w:val="es-ES"/>
        </w:rPr>
        <w:t xml:space="preserve"> de </w:t>
      </w:r>
      <w:r w:rsidR="003F281D">
        <w:rPr>
          <w:rFonts w:ascii="Tahoma" w:hAnsi="Tahoma" w:cs="Tahoma"/>
          <w:sz w:val="20"/>
          <w:szCs w:val="20"/>
          <w:lang w:val="es-ES"/>
        </w:rPr>
        <w:t>septiembre</w:t>
      </w:r>
      <w:r w:rsidRPr="000B50F3">
        <w:rPr>
          <w:rFonts w:ascii="Tahoma" w:hAnsi="Tahoma" w:cs="Tahoma"/>
          <w:sz w:val="20"/>
          <w:szCs w:val="20"/>
          <w:lang w:val="es-ES"/>
        </w:rPr>
        <w:t xml:space="preserve"> del ejercicio fiscal 2025, </w:t>
      </w:r>
      <w:r w:rsidR="00E172BE" w:rsidRPr="000B50F3">
        <w:rPr>
          <w:rFonts w:ascii="Tahoma" w:hAnsi="Tahoma" w:cs="Tahoma"/>
          <w:sz w:val="20"/>
          <w:szCs w:val="20"/>
          <w:lang w:val="es-ES"/>
        </w:rPr>
        <w:t xml:space="preserve">el fideicomiso </w:t>
      </w:r>
      <w:r w:rsidR="00E172BE" w:rsidRPr="000B50F3">
        <w:rPr>
          <w:rFonts w:ascii="Arial" w:hAnsi="Arial" w:cs="Arial"/>
          <w:sz w:val="20"/>
          <w:szCs w:val="20"/>
        </w:rPr>
        <w:t>Fondo Guanajuato de Inversión en Zonas Marginadas</w:t>
      </w:r>
      <w:r w:rsidRPr="000B50F3">
        <w:rPr>
          <w:rFonts w:ascii="Tahoma" w:hAnsi="Tahoma" w:cs="Tahoma"/>
          <w:sz w:val="20"/>
          <w:szCs w:val="20"/>
          <w:lang w:val="es-ES"/>
        </w:rPr>
        <w:t xml:space="preserve">, cuenta </w:t>
      </w:r>
      <w:r w:rsidR="00E172BE" w:rsidRPr="000B50F3">
        <w:rPr>
          <w:rFonts w:ascii="Tahoma" w:hAnsi="Tahoma" w:cs="Tahoma"/>
          <w:sz w:val="20"/>
          <w:szCs w:val="20"/>
          <w:lang w:val="es-ES"/>
        </w:rPr>
        <w:t>con</w:t>
      </w:r>
      <w:r w:rsidRPr="000B50F3">
        <w:rPr>
          <w:rFonts w:ascii="Tahoma" w:hAnsi="Tahoma" w:cs="Tahoma"/>
          <w:sz w:val="20"/>
          <w:szCs w:val="20"/>
          <w:lang w:val="es-ES"/>
        </w:rPr>
        <w:t xml:space="preserve"> los créditos activos para gestión de cobro en cartera administrativa, extrajudicial o judicial los siguientes:</w:t>
      </w:r>
    </w:p>
    <w:p w14:paraId="19CCB9CF" w14:textId="5CC19945" w:rsidR="00B80395" w:rsidRPr="000B50F3" w:rsidRDefault="00B80395" w:rsidP="00B80395">
      <w:pPr>
        <w:spacing w:after="160" w:line="259" w:lineRule="auto"/>
        <w:jc w:val="both"/>
        <w:rPr>
          <w:rFonts w:ascii="Tahoma" w:hAnsi="Tahoma" w:cs="Tahoma"/>
          <w:sz w:val="20"/>
          <w:szCs w:val="20"/>
          <w:lang w:val="es-ES"/>
        </w:rPr>
      </w:pPr>
      <w:r w:rsidRPr="000B50F3">
        <w:rPr>
          <w:rFonts w:ascii="Tahoma" w:hAnsi="Tahoma" w:cs="Tahoma"/>
          <w:sz w:val="20"/>
          <w:szCs w:val="20"/>
          <w:lang w:val="es-ES"/>
        </w:rPr>
        <w:t xml:space="preserve">Créditos totales: </w:t>
      </w:r>
      <w:r w:rsidR="003F281D">
        <w:rPr>
          <w:rFonts w:ascii="Tahoma" w:hAnsi="Tahoma" w:cs="Tahoma"/>
          <w:sz w:val="20"/>
          <w:szCs w:val="20"/>
          <w:lang w:val="es-ES"/>
        </w:rPr>
        <w:t>6650</w:t>
      </w:r>
      <w:r w:rsidRPr="000B50F3">
        <w:rPr>
          <w:rFonts w:ascii="Tahoma" w:hAnsi="Tahoma" w:cs="Tahoma"/>
          <w:sz w:val="20"/>
          <w:szCs w:val="20"/>
          <w:lang w:val="es-ES"/>
        </w:rPr>
        <w:t xml:space="preserve"> por un monto financiado de $</w:t>
      </w:r>
      <w:r w:rsidR="003F281D">
        <w:rPr>
          <w:rFonts w:ascii="Tahoma" w:hAnsi="Tahoma" w:cs="Tahoma"/>
          <w:sz w:val="20"/>
          <w:szCs w:val="20"/>
          <w:lang w:val="es-ES"/>
        </w:rPr>
        <w:t>339,677,631</w:t>
      </w:r>
      <w:r w:rsidRPr="000B50F3">
        <w:rPr>
          <w:rFonts w:ascii="Tahoma" w:hAnsi="Tahoma" w:cs="Tahoma"/>
          <w:sz w:val="20"/>
          <w:szCs w:val="20"/>
          <w:lang w:val="es-ES"/>
        </w:rPr>
        <w:t xml:space="preserve">.90 (trescientos </w:t>
      </w:r>
      <w:r w:rsidR="003F281D">
        <w:rPr>
          <w:rFonts w:ascii="Tahoma" w:hAnsi="Tahoma" w:cs="Tahoma"/>
          <w:sz w:val="20"/>
          <w:szCs w:val="20"/>
          <w:lang w:val="es-ES"/>
        </w:rPr>
        <w:t>treinta</w:t>
      </w:r>
      <w:r w:rsidRPr="000B50F3">
        <w:rPr>
          <w:rFonts w:ascii="Tahoma" w:hAnsi="Tahoma" w:cs="Tahoma"/>
          <w:sz w:val="20"/>
          <w:szCs w:val="20"/>
          <w:lang w:val="es-ES"/>
        </w:rPr>
        <w:t xml:space="preserve"> y </w:t>
      </w:r>
      <w:r w:rsidR="003F281D">
        <w:rPr>
          <w:rFonts w:ascii="Tahoma" w:hAnsi="Tahoma" w:cs="Tahoma"/>
          <w:sz w:val="20"/>
          <w:szCs w:val="20"/>
          <w:lang w:val="es-ES"/>
        </w:rPr>
        <w:t>nueve</w:t>
      </w:r>
      <w:r w:rsidRPr="000B50F3">
        <w:rPr>
          <w:rFonts w:ascii="Tahoma" w:hAnsi="Tahoma" w:cs="Tahoma"/>
          <w:sz w:val="20"/>
          <w:szCs w:val="20"/>
          <w:lang w:val="es-ES"/>
        </w:rPr>
        <w:t xml:space="preserve"> millones </w:t>
      </w:r>
      <w:r w:rsidR="003F281D">
        <w:rPr>
          <w:rFonts w:ascii="Tahoma" w:hAnsi="Tahoma" w:cs="Tahoma"/>
          <w:sz w:val="20"/>
          <w:szCs w:val="20"/>
          <w:lang w:val="es-ES"/>
        </w:rPr>
        <w:t>seiscientos setenta y siete</w:t>
      </w:r>
      <w:r w:rsidRPr="000B50F3">
        <w:rPr>
          <w:rFonts w:ascii="Tahoma" w:hAnsi="Tahoma" w:cs="Tahoma"/>
          <w:sz w:val="20"/>
          <w:szCs w:val="20"/>
          <w:lang w:val="es-ES"/>
        </w:rPr>
        <w:t xml:space="preserve"> mil </w:t>
      </w:r>
      <w:r w:rsidR="003F281D">
        <w:rPr>
          <w:rFonts w:ascii="Tahoma" w:hAnsi="Tahoma" w:cs="Tahoma"/>
          <w:sz w:val="20"/>
          <w:szCs w:val="20"/>
          <w:lang w:val="es-ES"/>
        </w:rPr>
        <w:t>seiscientos treinta y un0</w:t>
      </w:r>
      <w:r w:rsidRPr="000B50F3">
        <w:rPr>
          <w:rFonts w:ascii="Tahoma" w:hAnsi="Tahoma" w:cs="Tahoma"/>
          <w:sz w:val="20"/>
          <w:szCs w:val="20"/>
          <w:lang w:val="es-ES"/>
        </w:rPr>
        <w:t xml:space="preserve"> 90/100 M.N.)</w:t>
      </w:r>
    </w:p>
    <w:p w14:paraId="56C4BD97" w14:textId="77777777" w:rsidR="00B80395" w:rsidRPr="000B50F3" w:rsidRDefault="00B80395" w:rsidP="00726778">
      <w:pPr>
        <w:tabs>
          <w:tab w:val="left" w:leader="underscore" w:pos="9639"/>
        </w:tabs>
        <w:spacing w:after="0" w:line="240" w:lineRule="auto"/>
        <w:jc w:val="both"/>
        <w:rPr>
          <w:rFonts w:ascii="Arial" w:hAnsi="Arial" w:cs="Arial"/>
          <w:sz w:val="20"/>
          <w:szCs w:val="20"/>
        </w:rPr>
      </w:pPr>
    </w:p>
    <w:p w14:paraId="149A1907" w14:textId="232B658C" w:rsidR="007D1E76" w:rsidRPr="000B50F3" w:rsidRDefault="00726778" w:rsidP="00726778">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 xml:space="preserve">De esta forma enfrenta una </w:t>
      </w:r>
      <w:r w:rsidR="00436531" w:rsidRPr="000B50F3">
        <w:rPr>
          <w:rFonts w:ascii="Arial" w:hAnsi="Arial" w:cs="Arial"/>
          <w:sz w:val="20"/>
          <w:szCs w:val="20"/>
        </w:rPr>
        <w:t>compleja disyuntiva al realizar gestiones de cobro sin afectar</w:t>
      </w:r>
      <w:r w:rsidRPr="000B50F3">
        <w:rPr>
          <w:rFonts w:ascii="Arial" w:hAnsi="Arial" w:cs="Arial"/>
          <w:sz w:val="20"/>
          <w:szCs w:val="20"/>
        </w:rPr>
        <w:t xml:space="preserve"> </w:t>
      </w:r>
      <w:r w:rsidR="00436531" w:rsidRPr="000B50F3">
        <w:rPr>
          <w:rFonts w:ascii="Arial" w:hAnsi="Arial" w:cs="Arial"/>
          <w:sz w:val="20"/>
          <w:szCs w:val="20"/>
        </w:rPr>
        <w:t>al</w:t>
      </w:r>
      <w:r w:rsidRPr="000B50F3">
        <w:rPr>
          <w:rFonts w:ascii="Arial" w:hAnsi="Arial" w:cs="Arial"/>
          <w:sz w:val="20"/>
          <w:szCs w:val="20"/>
        </w:rPr>
        <w:t xml:space="preserve"> segmento de mercado, </w:t>
      </w:r>
      <w:r w:rsidR="00436531" w:rsidRPr="000B50F3">
        <w:rPr>
          <w:rFonts w:ascii="Arial" w:hAnsi="Arial" w:cs="Arial"/>
          <w:sz w:val="20"/>
          <w:szCs w:val="20"/>
        </w:rPr>
        <w:t>tendiente a</w:t>
      </w:r>
      <w:r w:rsidRPr="000B50F3">
        <w:rPr>
          <w:rFonts w:ascii="Arial" w:hAnsi="Arial" w:cs="Arial"/>
          <w:sz w:val="20"/>
          <w:szCs w:val="20"/>
        </w:rPr>
        <w:t xml:space="preserve"> proteger a la planta productiva, sobre todo a los empresarios y emprendedores de las Micro y Pequeñas Empresas, aplican</w:t>
      </w:r>
      <w:r w:rsidR="00436531" w:rsidRPr="000B50F3">
        <w:rPr>
          <w:rFonts w:ascii="Arial" w:hAnsi="Arial" w:cs="Arial"/>
          <w:sz w:val="20"/>
          <w:szCs w:val="20"/>
        </w:rPr>
        <w:t>do</w:t>
      </w:r>
      <w:r w:rsidRPr="000B50F3">
        <w:rPr>
          <w:rFonts w:ascii="Arial" w:hAnsi="Arial" w:cs="Arial"/>
          <w:sz w:val="20"/>
          <w:szCs w:val="20"/>
        </w:rPr>
        <w:t xml:space="preserve"> prácticas de cobranza</w:t>
      </w:r>
      <w:r w:rsidR="00436531" w:rsidRPr="000B50F3">
        <w:rPr>
          <w:rFonts w:ascii="Arial" w:hAnsi="Arial" w:cs="Arial"/>
          <w:sz w:val="20"/>
          <w:szCs w:val="20"/>
        </w:rPr>
        <w:t xml:space="preserve"> menos</w:t>
      </w:r>
      <w:r w:rsidRPr="000B50F3">
        <w:rPr>
          <w:rFonts w:ascii="Arial" w:hAnsi="Arial" w:cs="Arial"/>
          <w:sz w:val="20"/>
          <w:szCs w:val="20"/>
        </w:rPr>
        <w:t xml:space="preserve"> agresivas </w:t>
      </w:r>
      <w:r w:rsidR="00436531" w:rsidRPr="000B50F3">
        <w:rPr>
          <w:rFonts w:ascii="Arial" w:hAnsi="Arial" w:cs="Arial"/>
          <w:sz w:val="20"/>
          <w:szCs w:val="20"/>
        </w:rPr>
        <w:t>evitando</w:t>
      </w:r>
      <w:r w:rsidRPr="000B50F3">
        <w:rPr>
          <w:rFonts w:ascii="Arial" w:hAnsi="Arial" w:cs="Arial"/>
          <w:sz w:val="20"/>
          <w:szCs w:val="20"/>
        </w:rPr>
        <w:t xml:space="preserve"> </w:t>
      </w:r>
      <w:r w:rsidR="00436531" w:rsidRPr="000B50F3">
        <w:rPr>
          <w:rFonts w:ascii="Arial" w:hAnsi="Arial" w:cs="Arial"/>
          <w:sz w:val="20"/>
          <w:szCs w:val="20"/>
        </w:rPr>
        <w:t>que resulte</w:t>
      </w:r>
      <w:r w:rsidRPr="000B50F3">
        <w:rPr>
          <w:rFonts w:ascii="Arial" w:hAnsi="Arial" w:cs="Arial"/>
          <w:sz w:val="20"/>
          <w:szCs w:val="20"/>
        </w:rPr>
        <w:t>n perjudiciales para las empresas.</w:t>
      </w:r>
    </w:p>
    <w:p w14:paraId="76BEF037"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1612638C"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5A81A52F" w14:textId="77777777" w:rsidR="007D1E76" w:rsidRPr="000B50F3" w:rsidRDefault="007675C0" w:rsidP="000C3365">
      <w:pPr>
        <w:pStyle w:val="Ttulo2"/>
        <w:rPr>
          <w:rFonts w:ascii="Arial" w:hAnsi="Arial" w:cs="Arial"/>
          <w:b/>
          <w:color w:val="auto"/>
          <w:sz w:val="20"/>
          <w:szCs w:val="20"/>
        </w:rPr>
      </w:pPr>
      <w:bookmarkStart w:id="3" w:name="_Toc136601509"/>
      <w:r w:rsidRPr="000B50F3">
        <w:rPr>
          <w:rFonts w:ascii="Arial" w:hAnsi="Arial" w:cs="Arial"/>
          <w:b/>
          <w:color w:val="auto"/>
          <w:sz w:val="20"/>
          <w:szCs w:val="20"/>
        </w:rPr>
        <w:t>3</w:t>
      </w:r>
      <w:r w:rsidR="007D1E76" w:rsidRPr="000B50F3">
        <w:rPr>
          <w:rFonts w:ascii="Arial" w:hAnsi="Arial" w:cs="Arial"/>
          <w:b/>
          <w:color w:val="auto"/>
          <w:sz w:val="20"/>
          <w:szCs w:val="20"/>
        </w:rPr>
        <w:t xml:space="preserve">. </w:t>
      </w:r>
      <w:r w:rsidR="00E00323" w:rsidRPr="000B50F3">
        <w:rPr>
          <w:rFonts w:ascii="Arial" w:hAnsi="Arial" w:cs="Arial"/>
          <w:b/>
          <w:color w:val="auto"/>
          <w:sz w:val="20"/>
          <w:szCs w:val="20"/>
        </w:rPr>
        <w:t>Organización y Objeto Social:</w:t>
      </w:r>
      <w:bookmarkEnd w:id="3"/>
    </w:p>
    <w:p w14:paraId="3AAAE62C"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494D079E"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Se informará sobre:</w:t>
      </w:r>
    </w:p>
    <w:p w14:paraId="2B2A05E0"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0630352D"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a)</w:t>
      </w:r>
      <w:r w:rsidRPr="000B50F3">
        <w:rPr>
          <w:rFonts w:ascii="Arial" w:hAnsi="Arial" w:cs="Arial"/>
          <w:sz w:val="20"/>
          <w:szCs w:val="20"/>
        </w:rPr>
        <w:t xml:space="preserve"> Objeto social.</w:t>
      </w:r>
    </w:p>
    <w:p w14:paraId="0274A7D0" w14:textId="77777777" w:rsidR="00A84C72" w:rsidRPr="000B50F3" w:rsidRDefault="00A84C72" w:rsidP="00CB41C4">
      <w:pPr>
        <w:tabs>
          <w:tab w:val="left" w:leader="underscore" w:pos="9639"/>
        </w:tabs>
        <w:spacing w:after="0" w:line="240" w:lineRule="auto"/>
        <w:jc w:val="both"/>
        <w:rPr>
          <w:rFonts w:ascii="Arial" w:hAnsi="Arial" w:cs="Arial"/>
          <w:sz w:val="20"/>
          <w:szCs w:val="20"/>
        </w:rPr>
      </w:pPr>
    </w:p>
    <w:p w14:paraId="50568D56" w14:textId="3CA60167" w:rsidR="007D1E76" w:rsidRPr="000B50F3" w:rsidRDefault="00E10E6F" w:rsidP="00CB41C4">
      <w:pPr>
        <w:tabs>
          <w:tab w:val="left" w:leader="underscore" w:pos="9639"/>
        </w:tabs>
        <w:spacing w:after="0" w:line="240" w:lineRule="auto"/>
        <w:jc w:val="both"/>
        <w:rPr>
          <w:rFonts w:ascii="Arial" w:hAnsi="Arial" w:cs="Arial"/>
          <w:sz w:val="20"/>
          <w:szCs w:val="20"/>
        </w:rPr>
      </w:pPr>
      <w:r w:rsidRPr="000B50F3">
        <w:rPr>
          <w:rFonts w:ascii="Arial" w:hAnsi="Arial" w:cs="Arial"/>
          <w:sz w:val="20"/>
          <w:szCs w:val="20"/>
        </w:rPr>
        <w:t>Tiene como objeto</w:t>
      </w:r>
      <w:r w:rsidR="00A24CDC">
        <w:rPr>
          <w:rFonts w:ascii="Arial" w:hAnsi="Arial" w:cs="Arial"/>
          <w:sz w:val="20"/>
          <w:szCs w:val="20"/>
        </w:rPr>
        <w:t xml:space="preserve"> dar seguimiento a los créditos vigentes otorgados en el Estado de Guanajuato</w:t>
      </w:r>
    </w:p>
    <w:p w14:paraId="2378ED9E"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p>
    <w:p w14:paraId="0C5A5A32" w14:textId="77777777" w:rsidR="007D1E76" w:rsidRPr="000B50F3" w:rsidRDefault="007D1E76" w:rsidP="00CB41C4">
      <w:pPr>
        <w:tabs>
          <w:tab w:val="left" w:leader="underscore" w:pos="9639"/>
        </w:tabs>
        <w:spacing w:after="0" w:line="240" w:lineRule="auto"/>
        <w:jc w:val="both"/>
        <w:rPr>
          <w:rFonts w:ascii="Arial" w:hAnsi="Arial" w:cs="Arial"/>
          <w:sz w:val="20"/>
          <w:szCs w:val="20"/>
        </w:rPr>
      </w:pPr>
      <w:r w:rsidRPr="000B50F3">
        <w:rPr>
          <w:rFonts w:ascii="Arial" w:hAnsi="Arial" w:cs="Arial"/>
          <w:b/>
          <w:sz w:val="20"/>
          <w:szCs w:val="20"/>
        </w:rPr>
        <w:t>b)</w:t>
      </w:r>
      <w:r w:rsidRPr="000B50F3">
        <w:rPr>
          <w:rFonts w:ascii="Arial" w:hAnsi="Arial" w:cs="Arial"/>
          <w:sz w:val="20"/>
          <w:szCs w:val="20"/>
        </w:rPr>
        <w:t xml:space="preserve"> Principal actividad.</w:t>
      </w:r>
    </w:p>
    <w:p w14:paraId="0142DB54" w14:textId="77777777" w:rsidR="00A84C72" w:rsidRPr="000B50F3" w:rsidRDefault="00A84C72" w:rsidP="00370D9F">
      <w:pPr>
        <w:spacing w:after="0" w:line="240" w:lineRule="auto"/>
        <w:jc w:val="both"/>
        <w:rPr>
          <w:rFonts w:ascii="Arial" w:hAnsi="Arial" w:cs="Arial"/>
          <w:sz w:val="20"/>
          <w:szCs w:val="20"/>
        </w:rPr>
      </w:pPr>
    </w:p>
    <w:p w14:paraId="7CE4CA9A" w14:textId="1213717D" w:rsidR="006E13A0" w:rsidRPr="000B50F3" w:rsidRDefault="00370D9F" w:rsidP="006E13A0">
      <w:pPr>
        <w:spacing w:after="0" w:line="240" w:lineRule="auto"/>
        <w:jc w:val="both"/>
        <w:rPr>
          <w:rFonts w:ascii="Arial" w:hAnsi="Arial" w:cs="Arial"/>
          <w:sz w:val="20"/>
          <w:szCs w:val="20"/>
        </w:rPr>
      </w:pPr>
      <w:r w:rsidRPr="000B50F3">
        <w:rPr>
          <w:rFonts w:ascii="Arial" w:hAnsi="Arial" w:cs="Arial"/>
          <w:sz w:val="20"/>
          <w:szCs w:val="20"/>
        </w:rPr>
        <w:t xml:space="preserve">Denominado comercialmente como Fondo Guanajuato de </w:t>
      </w:r>
      <w:r w:rsidR="00C175B6" w:rsidRPr="000B50F3">
        <w:rPr>
          <w:rFonts w:ascii="Arial" w:hAnsi="Arial" w:cs="Arial"/>
          <w:sz w:val="20"/>
          <w:szCs w:val="20"/>
        </w:rPr>
        <w:t>I</w:t>
      </w:r>
      <w:r w:rsidRPr="000B50F3">
        <w:rPr>
          <w:rFonts w:ascii="Arial" w:hAnsi="Arial" w:cs="Arial"/>
          <w:sz w:val="20"/>
          <w:szCs w:val="20"/>
        </w:rPr>
        <w:t xml:space="preserve">nversión en </w:t>
      </w:r>
      <w:r w:rsidR="00C175B6" w:rsidRPr="000B50F3">
        <w:rPr>
          <w:rFonts w:ascii="Arial" w:hAnsi="Arial" w:cs="Arial"/>
          <w:sz w:val="20"/>
          <w:szCs w:val="20"/>
        </w:rPr>
        <w:t>Z</w:t>
      </w:r>
      <w:r w:rsidRPr="000B50F3">
        <w:rPr>
          <w:rFonts w:ascii="Arial" w:hAnsi="Arial" w:cs="Arial"/>
          <w:sz w:val="20"/>
          <w:szCs w:val="20"/>
        </w:rPr>
        <w:t xml:space="preserve">onas </w:t>
      </w:r>
      <w:r w:rsidR="00C175B6" w:rsidRPr="000B50F3">
        <w:rPr>
          <w:rFonts w:ascii="Arial" w:hAnsi="Arial" w:cs="Arial"/>
          <w:sz w:val="20"/>
          <w:szCs w:val="20"/>
        </w:rPr>
        <w:t>M</w:t>
      </w:r>
      <w:r w:rsidRPr="000B50F3">
        <w:rPr>
          <w:rFonts w:ascii="Arial" w:hAnsi="Arial" w:cs="Arial"/>
          <w:sz w:val="20"/>
          <w:szCs w:val="20"/>
        </w:rPr>
        <w:t>arginadas, se desempeñan funciones y actividades de</w:t>
      </w:r>
      <w:r w:rsidR="006E13A0" w:rsidRPr="000B50F3">
        <w:rPr>
          <w:rFonts w:ascii="Arial" w:hAnsi="Arial" w:cs="Arial"/>
          <w:sz w:val="20"/>
          <w:szCs w:val="20"/>
        </w:rPr>
        <w:t xml:space="preserve"> recuperación de los</w:t>
      </w:r>
      <w:r w:rsidRPr="000B50F3">
        <w:rPr>
          <w:rFonts w:ascii="Arial" w:hAnsi="Arial" w:cs="Arial"/>
          <w:sz w:val="20"/>
          <w:szCs w:val="20"/>
        </w:rPr>
        <w:t xml:space="preserve"> Financiamiento en apoyo</w:t>
      </w:r>
      <w:r w:rsidR="006E13A0" w:rsidRPr="000B50F3">
        <w:rPr>
          <w:rFonts w:ascii="Arial" w:hAnsi="Arial" w:cs="Arial"/>
          <w:sz w:val="20"/>
          <w:szCs w:val="20"/>
        </w:rPr>
        <w:t xml:space="preserve"> que fueron objeto</w:t>
      </w:r>
      <w:r w:rsidRPr="000B50F3">
        <w:rPr>
          <w:rFonts w:ascii="Arial" w:hAnsi="Arial" w:cs="Arial"/>
          <w:sz w:val="20"/>
          <w:szCs w:val="20"/>
        </w:rPr>
        <w:t xml:space="preserve"> la</w:t>
      </w:r>
      <w:r w:rsidR="006E13A0" w:rsidRPr="000B50F3">
        <w:rPr>
          <w:rFonts w:ascii="Arial" w:hAnsi="Arial" w:cs="Arial"/>
          <w:sz w:val="20"/>
          <w:szCs w:val="20"/>
        </w:rPr>
        <w:t>s</w:t>
      </w:r>
      <w:r w:rsidRPr="000B50F3">
        <w:rPr>
          <w:rFonts w:ascii="Arial" w:hAnsi="Arial" w:cs="Arial"/>
          <w:sz w:val="20"/>
          <w:szCs w:val="20"/>
        </w:rPr>
        <w:t xml:space="preserve"> Mic</w:t>
      </w:r>
      <w:r w:rsidR="006E13A0" w:rsidRPr="000B50F3">
        <w:rPr>
          <w:rFonts w:ascii="Arial" w:hAnsi="Arial" w:cs="Arial"/>
          <w:sz w:val="20"/>
          <w:szCs w:val="20"/>
        </w:rPr>
        <w:t xml:space="preserve">ro, Pequeña y Mediana empresa mediante las gestiones de seguimiento y cobranza administrativa, extrajudicial y judicial y que dichos recursos sean reintegrados a la </w:t>
      </w:r>
      <w:r w:rsidR="00A24CDC" w:rsidRPr="000B50F3">
        <w:rPr>
          <w:rFonts w:ascii="Arial" w:hAnsi="Arial" w:cs="Arial"/>
          <w:sz w:val="20"/>
          <w:szCs w:val="20"/>
        </w:rPr>
        <w:t>secretaria</w:t>
      </w:r>
      <w:r w:rsidR="006E13A0" w:rsidRPr="000B50F3">
        <w:rPr>
          <w:rFonts w:ascii="Arial" w:hAnsi="Arial" w:cs="Arial"/>
          <w:sz w:val="20"/>
          <w:szCs w:val="20"/>
        </w:rPr>
        <w:t xml:space="preserve"> de Finanzas, así como a los entes con lo que se cuenta con Convenios de Colaboración.</w:t>
      </w:r>
    </w:p>
    <w:p w14:paraId="24B3E99F" w14:textId="5F696991" w:rsidR="00370D9F" w:rsidRPr="000B50F3" w:rsidRDefault="00370D9F" w:rsidP="00370D9F">
      <w:pPr>
        <w:spacing w:after="0" w:line="240" w:lineRule="auto"/>
        <w:jc w:val="both"/>
        <w:rPr>
          <w:rFonts w:ascii="Arial" w:hAnsi="Arial" w:cs="Arial"/>
          <w:sz w:val="20"/>
          <w:szCs w:val="20"/>
        </w:rPr>
      </w:pPr>
    </w:p>
    <w:p w14:paraId="63B45AC8" w14:textId="77777777" w:rsidR="00A84C72" w:rsidRDefault="00A84C72" w:rsidP="00370D9F">
      <w:pPr>
        <w:spacing w:after="0" w:line="240" w:lineRule="auto"/>
        <w:jc w:val="both"/>
        <w:rPr>
          <w:rFonts w:ascii="Arial" w:hAnsi="Arial" w:cs="Arial"/>
          <w:sz w:val="20"/>
          <w:szCs w:val="20"/>
        </w:rPr>
      </w:pPr>
    </w:p>
    <w:p w14:paraId="25587793" w14:textId="77777777" w:rsidR="00695CC6" w:rsidRDefault="00695CC6" w:rsidP="00370D9F">
      <w:pPr>
        <w:spacing w:after="0" w:line="240" w:lineRule="auto"/>
        <w:jc w:val="both"/>
        <w:rPr>
          <w:rFonts w:ascii="Arial" w:hAnsi="Arial" w:cs="Arial"/>
          <w:sz w:val="20"/>
          <w:szCs w:val="20"/>
        </w:rPr>
      </w:pPr>
    </w:p>
    <w:p w14:paraId="0BF7708C" w14:textId="77777777" w:rsidR="00695CC6" w:rsidRDefault="00695CC6" w:rsidP="00370D9F">
      <w:pPr>
        <w:spacing w:after="0" w:line="240" w:lineRule="auto"/>
        <w:jc w:val="both"/>
        <w:rPr>
          <w:rFonts w:ascii="Arial" w:hAnsi="Arial" w:cs="Arial"/>
          <w:sz w:val="20"/>
          <w:szCs w:val="20"/>
        </w:rPr>
      </w:pPr>
    </w:p>
    <w:p w14:paraId="1C06798D" w14:textId="77777777" w:rsidR="00695CC6" w:rsidRDefault="00695CC6" w:rsidP="00370D9F">
      <w:pPr>
        <w:spacing w:after="0" w:line="240" w:lineRule="auto"/>
        <w:jc w:val="both"/>
        <w:rPr>
          <w:rFonts w:ascii="Arial" w:hAnsi="Arial" w:cs="Arial"/>
          <w:sz w:val="20"/>
          <w:szCs w:val="20"/>
        </w:rPr>
      </w:pPr>
    </w:p>
    <w:p w14:paraId="0CE61799" w14:textId="77777777" w:rsidR="00695CC6" w:rsidRDefault="00695CC6" w:rsidP="00370D9F">
      <w:pPr>
        <w:spacing w:after="0" w:line="240" w:lineRule="auto"/>
        <w:jc w:val="both"/>
        <w:rPr>
          <w:rFonts w:ascii="Arial" w:hAnsi="Arial" w:cs="Arial"/>
          <w:sz w:val="20"/>
          <w:szCs w:val="20"/>
        </w:rPr>
      </w:pPr>
    </w:p>
    <w:p w14:paraId="5D7AFAEF" w14:textId="77777777" w:rsidR="000B50F3" w:rsidRPr="000B50F3" w:rsidRDefault="000B50F3" w:rsidP="00370D9F">
      <w:pPr>
        <w:spacing w:after="0" w:line="240" w:lineRule="auto"/>
        <w:jc w:val="both"/>
        <w:rPr>
          <w:rFonts w:ascii="Arial" w:hAnsi="Arial" w:cs="Arial"/>
          <w:sz w:val="20"/>
          <w:szCs w:val="20"/>
        </w:rPr>
      </w:pPr>
    </w:p>
    <w:p w14:paraId="190B9309" w14:textId="30882D86" w:rsidR="00370D9F" w:rsidRPr="00F525D7" w:rsidRDefault="00370D9F" w:rsidP="00370D9F">
      <w:pPr>
        <w:spacing w:after="0" w:line="240" w:lineRule="auto"/>
        <w:jc w:val="both"/>
        <w:rPr>
          <w:rFonts w:ascii="Arial" w:hAnsi="Arial" w:cs="Arial"/>
          <w:sz w:val="20"/>
          <w:szCs w:val="20"/>
        </w:rPr>
      </w:pPr>
      <w:r w:rsidRPr="000B50F3">
        <w:rPr>
          <w:rFonts w:ascii="Arial" w:hAnsi="Arial" w:cs="Arial"/>
          <w:sz w:val="20"/>
          <w:szCs w:val="20"/>
        </w:rPr>
        <w:lastRenderedPageBreak/>
        <w:t>Los financiamientos (programas) que se refieren a la operación</w:t>
      </w:r>
      <w:r w:rsidR="006E13A0" w:rsidRPr="000B50F3">
        <w:rPr>
          <w:rFonts w:ascii="Arial" w:hAnsi="Arial" w:cs="Arial"/>
          <w:sz w:val="20"/>
          <w:szCs w:val="20"/>
        </w:rPr>
        <w:t xml:space="preserve"> y que estuvieron vigentes hasta el ejercicio fiscal 2024</w:t>
      </w:r>
      <w:r w:rsidRPr="000B50F3">
        <w:rPr>
          <w:rFonts w:ascii="Arial" w:hAnsi="Arial" w:cs="Arial"/>
          <w:sz w:val="20"/>
          <w:szCs w:val="20"/>
        </w:rPr>
        <w:t>, son como sigue:</w:t>
      </w:r>
    </w:p>
    <w:p w14:paraId="6C1474B8" w14:textId="77777777" w:rsidR="00136C10" w:rsidRPr="00F525D7" w:rsidRDefault="00136C10" w:rsidP="00370D9F">
      <w:pPr>
        <w:spacing w:after="0" w:line="240" w:lineRule="auto"/>
        <w:jc w:val="both"/>
        <w:rPr>
          <w:rFonts w:ascii="Arial" w:hAnsi="Arial" w:cs="Arial"/>
          <w:sz w:val="20"/>
          <w:szCs w:val="20"/>
        </w:rPr>
      </w:pPr>
    </w:p>
    <w:p w14:paraId="67CE9660"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 xml:space="preserve">Crédito </w:t>
      </w:r>
      <w:proofErr w:type="spellStart"/>
      <w:r w:rsidR="00AE61EE" w:rsidRPr="0064068F">
        <w:rPr>
          <w:rFonts w:ascii="Arial" w:hAnsi="Arial" w:cs="Arial"/>
          <w:sz w:val="20"/>
          <w:szCs w:val="20"/>
        </w:rPr>
        <w:t>Fogim</w:t>
      </w:r>
      <w:proofErr w:type="spellEnd"/>
      <w:r w:rsidR="00AE61EE" w:rsidRPr="0064068F">
        <w:rPr>
          <w:rFonts w:ascii="Arial" w:hAnsi="Arial" w:cs="Arial"/>
          <w:sz w:val="20"/>
          <w:szCs w:val="20"/>
        </w:rPr>
        <w:t xml:space="preserve"> de $10,000.00 a $500,000.00 Hasta 48 meses</w:t>
      </w:r>
      <w:r w:rsidR="00370D9F" w:rsidRPr="00F525D7">
        <w:rPr>
          <w:rFonts w:ascii="Arial" w:hAnsi="Arial" w:cs="Arial"/>
          <w:sz w:val="20"/>
          <w:szCs w:val="20"/>
        </w:rPr>
        <w:t>.</w:t>
      </w:r>
    </w:p>
    <w:p w14:paraId="7B6BD17D" w14:textId="77777777" w:rsidR="00136C10" w:rsidRPr="00F525D7" w:rsidRDefault="00136C10" w:rsidP="00370D9F">
      <w:pPr>
        <w:spacing w:after="0" w:line="240" w:lineRule="auto"/>
        <w:jc w:val="both"/>
        <w:rPr>
          <w:rFonts w:ascii="Arial" w:hAnsi="Arial" w:cs="Arial"/>
          <w:sz w:val="20"/>
          <w:szCs w:val="20"/>
        </w:rPr>
      </w:pPr>
    </w:p>
    <w:p w14:paraId="7250A8D6"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Crédito Contigo si Ahorramos Agua de $10,000.00 a $500,000.00 Hasta 36 meses</w:t>
      </w:r>
      <w:r w:rsidR="00370D9F" w:rsidRPr="00F525D7">
        <w:rPr>
          <w:rFonts w:ascii="Arial" w:hAnsi="Arial" w:cs="Arial"/>
          <w:sz w:val="20"/>
          <w:szCs w:val="20"/>
        </w:rPr>
        <w:t>.</w:t>
      </w:r>
    </w:p>
    <w:p w14:paraId="1B6A0079" w14:textId="77777777" w:rsidR="00136C10" w:rsidRPr="00F525D7" w:rsidRDefault="00136C10" w:rsidP="00370D9F">
      <w:pPr>
        <w:spacing w:after="0" w:line="240" w:lineRule="auto"/>
        <w:jc w:val="both"/>
        <w:rPr>
          <w:rFonts w:ascii="Arial" w:hAnsi="Arial" w:cs="Arial"/>
          <w:sz w:val="20"/>
          <w:szCs w:val="20"/>
        </w:rPr>
      </w:pPr>
    </w:p>
    <w:p w14:paraId="4CA0D6A2"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III</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Impulso a pequeños comercios de $10,000.00 a $50,000.00 Hasta 40 semanas</w:t>
      </w:r>
      <w:r w:rsidR="00370D9F" w:rsidRPr="00F525D7">
        <w:rPr>
          <w:rFonts w:ascii="Arial" w:hAnsi="Arial" w:cs="Arial"/>
          <w:sz w:val="20"/>
          <w:szCs w:val="20"/>
        </w:rPr>
        <w:t>.</w:t>
      </w:r>
    </w:p>
    <w:p w14:paraId="5156D2ED" w14:textId="77777777" w:rsidR="00136C10" w:rsidRPr="00F525D7" w:rsidRDefault="00136C10" w:rsidP="00370D9F">
      <w:pPr>
        <w:spacing w:after="0" w:line="240" w:lineRule="auto"/>
        <w:jc w:val="both"/>
        <w:rPr>
          <w:rFonts w:ascii="Arial" w:hAnsi="Arial" w:cs="Arial"/>
          <w:sz w:val="20"/>
          <w:szCs w:val="20"/>
        </w:rPr>
      </w:pPr>
    </w:p>
    <w:p w14:paraId="0AE6B248" w14:textId="77777777" w:rsidR="00370D9F" w:rsidRPr="00F525D7" w:rsidRDefault="00283450" w:rsidP="00370D9F">
      <w:pPr>
        <w:spacing w:after="0" w:line="240" w:lineRule="auto"/>
        <w:jc w:val="both"/>
        <w:rPr>
          <w:rFonts w:ascii="Arial" w:hAnsi="Arial" w:cs="Arial"/>
          <w:sz w:val="20"/>
          <w:szCs w:val="20"/>
        </w:rPr>
      </w:pPr>
      <w:r w:rsidRPr="00F525D7">
        <w:rPr>
          <w:rFonts w:ascii="Arial" w:hAnsi="Arial" w:cs="Arial"/>
          <w:sz w:val="20"/>
          <w:szCs w:val="20"/>
        </w:rPr>
        <w:t>IV</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Empoderamiento Mujeres de $10,000.00 a $50,000.00 Hasta 40 semanas</w:t>
      </w:r>
      <w:r w:rsidR="00370D9F" w:rsidRPr="00F525D7">
        <w:rPr>
          <w:rFonts w:ascii="Arial" w:hAnsi="Arial" w:cs="Arial"/>
          <w:sz w:val="20"/>
          <w:szCs w:val="20"/>
        </w:rPr>
        <w:t>.</w:t>
      </w:r>
    </w:p>
    <w:p w14:paraId="4F522203" w14:textId="77777777" w:rsidR="00136C10" w:rsidRPr="00F525D7" w:rsidRDefault="00136C10" w:rsidP="00370D9F">
      <w:pPr>
        <w:spacing w:after="0" w:line="240" w:lineRule="auto"/>
        <w:jc w:val="both"/>
        <w:rPr>
          <w:rFonts w:ascii="Arial" w:hAnsi="Arial" w:cs="Arial"/>
          <w:sz w:val="20"/>
          <w:szCs w:val="20"/>
        </w:rPr>
      </w:pPr>
    </w:p>
    <w:p w14:paraId="1CEFAD3A" w14:textId="77777777" w:rsidR="00370D9F" w:rsidRPr="007E2B12" w:rsidRDefault="00283450" w:rsidP="00370D9F">
      <w:pPr>
        <w:spacing w:after="0" w:line="240" w:lineRule="auto"/>
        <w:jc w:val="both"/>
        <w:rPr>
          <w:rFonts w:ascii="Arial" w:hAnsi="Arial" w:cs="Arial"/>
          <w:sz w:val="20"/>
          <w:szCs w:val="20"/>
        </w:rPr>
      </w:pPr>
      <w:r w:rsidRPr="00F525D7">
        <w:rPr>
          <w:rFonts w:ascii="Arial" w:hAnsi="Arial" w:cs="Arial"/>
          <w:sz w:val="20"/>
          <w:szCs w:val="20"/>
        </w:rPr>
        <w:t>V</w:t>
      </w:r>
      <w:r w:rsidR="00370D9F" w:rsidRPr="00F525D7">
        <w:rPr>
          <w:rFonts w:ascii="Arial" w:hAnsi="Arial" w:cs="Arial"/>
          <w:sz w:val="20"/>
          <w:szCs w:val="20"/>
        </w:rPr>
        <w:t xml:space="preserve">) </w:t>
      </w:r>
      <w:r w:rsidR="00AE61EE">
        <w:rPr>
          <w:rFonts w:ascii="Arial" w:hAnsi="Arial" w:cs="Arial"/>
          <w:sz w:val="20"/>
          <w:szCs w:val="20"/>
        </w:rPr>
        <w:t xml:space="preserve">   </w:t>
      </w:r>
      <w:r w:rsidR="00AE61EE" w:rsidRPr="0064068F">
        <w:rPr>
          <w:rFonts w:ascii="Arial" w:hAnsi="Arial" w:cs="Arial"/>
          <w:sz w:val="20"/>
          <w:szCs w:val="20"/>
        </w:rPr>
        <w:t xml:space="preserve">Programa mi </w:t>
      </w:r>
      <w:r w:rsidR="00AE61EE" w:rsidRPr="007E2B12">
        <w:rPr>
          <w:rFonts w:ascii="Arial" w:hAnsi="Arial" w:cs="Arial"/>
          <w:sz w:val="20"/>
          <w:szCs w:val="20"/>
        </w:rPr>
        <w:t>maíz de $10,000.00 a $500,000.00 Hasta 24 meses</w:t>
      </w:r>
      <w:r w:rsidR="00370D9F" w:rsidRPr="007E2B12">
        <w:rPr>
          <w:rFonts w:ascii="Arial" w:hAnsi="Arial" w:cs="Arial"/>
          <w:sz w:val="20"/>
          <w:szCs w:val="20"/>
        </w:rPr>
        <w:t>.</w:t>
      </w:r>
    </w:p>
    <w:p w14:paraId="31D53F45" w14:textId="77777777" w:rsidR="00283450" w:rsidRPr="007E2B12" w:rsidRDefault="00283450" w:rsidP="00370D9F">
      <w:pPr>
        <w:spacing w:after="0" w:line="240" w:lineRule="auto"/>
        <w:jc w:val="both"/>
        <w:rPr>
          <w:rFonts w:ascii="Arial" w:hAnsi="Arial" w:cs="Arial"/>
          <w:sz w:val="20"/>
          <w:szCs w:val="20"/>
        </w:rPr>
      </w:pPr>
    </w:p>
    <w:p w14:paraId="5CE9128E" w14:textId="0CB64BC6" w:rsidR="007D1E76" w:rsidRPr="00F525D7" w:rsidRDefault="00370D9F" w:rsidP="00370D9F">
      <w:pPr>
        <w:tabs>
          <w:tab w:val="left" w:leader="underscore" w:pos="9639"/>
        </w:tabs>
        <w:spacing w:after="0" w:line="240" w:lineRule="auto"/>
        <w:jc w:val="both"/>
        <w:rPr>
          <w:rFonts w:ascii="Arial" w:hAnsi="Arial" w:cs="Arial"/>
          <w:sz w:val="20"/>
          <w:szCs w:val="20"/>
        </w:rPr>
      </w:pPr>
      <w:r w:rsidRPr="007E2B12">
        <w:rPr>
          <w:rFonts w:ascii="Arial" w:hAnsi="Arial" w:cs="Arial"/>
          <w:sz w:val="20"/>
          <w:szCs w:val="20"/>
        </w:rPr>
        <w:t xml:space="preserve">Cada uno de los programas </w:t>
      </w:r>
      <w:r w:rsidR="006E13A0" w:rsidRPr="007E2B12">
        <w:rPr>
          <w:rFonts w:ascii="Arial" w:hAnsi="Arial" w:cs="Arial"/>
          <w:sz w:val="20"/>
          <w:szCs w:val="20"/>
        </w:rPr>
        <w:t>fueron</w:t>
      </w:r>
      <w:r w:rsidRPr="007E2B12">
        <w:rPr>
          <w:rFonts w:ascii="Arial" w:hAnsi="Arial" w:cs="Arial"/>
          <w:sz w:val="20"/>
          <w:szCs w:val="20"/>
        </w:rPr>
        <w:t xml:space="preserve"> aprobado por el Comité Técnico en apego a las Reglas de Operación de la Entidad, así como establecido en los fines del Fideicomiso en los convenios modificatorios.</w:t>
      </w:r>
    </w:p>
    <w:p w14:paraId="7479BF47"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7DAC03F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00B748D2">
        <w:rPr>
          <w:rFonts w:ascii="Arial" w:hAnsi="Arial" w:cs="Arial"/>
          <w:sz w:val="20"/>
          <w:szCs w:val="20"/>
        </w:rPr>
        <w:t xml:space="preserve"> Ejercicio fiscal</w:t>
      </w:r>
      <w:r w:rsidRPr="00F525D7">
        <w:rPr>
          <w:rFonts w:ascii="Arial" w:hAnsi="Arial" w:cs="Arial"/>
          <w:sz w:val="20"/>
          <w:szCs w:val="20"/>
        </w:rPr>
        <w:t>.</w:t>
      </w:r>
    </w:p>
    <w:p w14:paraId="4B223B8E" w14:textId="77777777" w:rsidR="007D1E76" w:rsidRPr="00F525D7" w:rsidRDefault="00097BDF" w:rsidP="00CB41C4">
      <w:pPr>
        <w:tabs>
          <w:tab w:val="left" w:leader="underscore" w:pos="9639"/>
        </w:tabs>
        <w:spacing w:after="0" w:line="240" w:lineRule="auto"/>
        <w:jc w:val="both"/>
        <w:rPr>
          <w:rFonts w:ascii="Arial" w:hAnsi="Arial" w:cs="Arial"/>
          <w:sz w:val="20"/>
          <w:szCs w:val="20"/>
        </w:rPr>
      </w:pPr>
      <w:r w:rsidRPr="00F525D7">
        <w:rPr>
          <w:rFonts w:ascii="Arial" w:eastAsia="Times New Roman" w:hAnsi="Arial" w:cs="Arial"/>
          <w:color w:val="000000"/>
          <w:sz w:val="20"/>
          <w:szCs w:val="20"/>
        </w:rPr>
        <w:t>El ejercicio fiscal que ha asumido el Fondo para la integración de sus estados financieros corresponde al año natural, durante el cual se realizan cortes mensuales para la presentación de cuentas públicas intermedias.</w:t>
      </w:r>
    </w:p>
    <w:p w14:paraId="7B53A26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28A583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Régimen jurídico (Forma como está dada de alta la entidad ante la S.H.C.P., ejemplos: S.C., S.A., Personas morales sin fines de lucro, etc.).</w:t>
      </w:r>
    </w:p>
    <w:p w14:paraId="2067B15E" w14:textId="77777777" w:rsidR="00097BDF" w:rsidRPr="00F525D7" w:rsidRDefault="00097BDF" w:rsidP="00097BDF">
      <w:pPr>
        <w:pStyle w:val="Prrafodelista"/>
        <w:spacing w:after="0" w:line="240" w:lineRule="exact"/>
        <w:ind w:left="0"/>
        <w:jc w:val="both"/>
        <w:rPr>
          <w:rFonts w:ascii="Arial" w:eastAsia="Times New Roman" w:hAnsi="Arial" w:cs="Arial"/>
          <w:bCs/>
          <w:sz w:val="20"/>
          <w:szCs w:val="20"/>
          <w:lang w:eastAsia="es-ES"/>
        </w:rPr>
      </w:pPr>
      <w:r w:rsidRPr="00F525D7">
        <w:rPr>
          <w:rFonts w:ascii="Arial" w:eastAsia="Times New Roman" w:hAnsi="Arial" w:cs="Arial"/>
          <w:sz w:val="20"/>
          <w:szCs w:val="20"/>
          <w:lang w:val="es-ES"/>
        </w:rPr>
        <w:t xml:space="preserve">Fondo </w:t>
      </w:r>
      <w:r w:rsidRPr="00F525D7">
        <w:rPr>
          <w:rFonts w:ascii="Arial" w:eastAsia="Times New Roman" w:hAnsi="Arial" w:cs="Arial"/>
          <w:sz w:val="20"/>
          <w:szCs w:val="20"/>
        </w:rPr>
        <w:t xml:space="preserve">Guanajuato de Inversión en Zonas Marginadas </w:t>
      </w:r>
      <w:r w:rsidRPr="00F525D7">
        <w:rPr>
          <w:rFonts w:ascii="Arial" w:eastAsia="Times New Roman" w:hAnsi="Arial" w:cs="Arial"/>
          <w:sz w:val="20"/>
          <w:szCs w:val="20"/>
          <w:lang w:val="es-ES"/>
        </w:rPr>
        <w:t>fue constituido el día 7 de mayo de 1997 a través del contrato de fideicomiso celebrado por una parte por el Sistema Estatal de Financiamiento al Desarrollo del Estado de Guanajuato (“SEFIDE”), en su carácter de fideicomitente y por otra parte en su carácter de fiduciaria, Bancomer, S.A. Institución de Banca Múltiple, en dicho contrato SEFIDE realizó una aportación inicial de manera solidaria por $1,000,000</w:t>
      </w:r>
    </w:p>
    <w:p w14:paraId="450C2622" w14:textId="77777777" w:rsidR="00097BDF" w:rsidRPr="00F525D7" w:rsidRDefault="00097BDF" w:rsidP="00097BDF">
      <w:pPr>
        <w:pStyle w:val="Prrafodelista"/>
        <w:spacing w:after="0" w:line="240" w:lineRule="exact"/>
        <w:ind w:left="1080"/>
        <w:jc w:val="both"/>
        <w:rPr>
          <w:rFonts w:ascii="Arial" w:hAnsi="Arial" w:cs="Arial"/>
          <w:b/>
          <w:i/>
          <w:sz w:val="20"/>
          <w:szCs w:val="20"/>
        </w:rPr>
      </w:pPr>
    </w:p>
    <w:p w14:paraId="7E1FCF06" w14:textId="77777777" w:rsidR="00097BDF" w:rsidRPr="00F525D7" w:rsidRDefault="00097BDF" w:rsidP="00097BDF">
      <w:pPr>
        <w:jc w:val="both"/>
        <w:rPr>
          <w:rFonts w:ascii="Arial" w:hAnsi="Arial" w:cs="Arial"/>
          <w:sz w:val="20"/>
          <w:szCs w:val="20"/>
        </w:rPr>
      </w:pPr>
      <w:r w:rsidRPr="00F525D7">
        <w:rPr>
          <w:rFonts w:ascii="Arial" w:hAnsi="Arial" w:cs="Arial"/>
          <w:sz w:val="20"/>
          <w:szCs w:val="20"/>
        </w:rPr>
        <w:t>De igual manera el contrato de fideicomiso establece que SEFIDE en su figura de fideicomitente, constituyó un Comité Técnico, entre cuyas facultades se encuentran establecer las reglas de operación del fideicomiso para desarrollo de su objeto.</w:t>
      </w:r>
    </w:p>
    <w:p w14:paraId="25560FDE" w14:textId="77777777" w:rsidR="007D1E76" w:rsidRPr="00F525D7" w:rsidRDefault="00097BDF" w:rsidP="00097BDF">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El día 19 de noviembre de 2010 fue publicado en el Periódico Oficial del Gobierno del Estado de Guanajuato número 185 segunda parte, del decreto Gubernativo número 155 mediante el cual se extingue el organismo público descentralizado SEFIDE, como una entidad de la Administración Pública Estatal. En el artículo 5 del decreto en mención se establece que la </w:t>
      </w:r>
      <w:r w:rsidR="005208D0" w:rsidRPr="00F525D7">
        <w:rPr>
          <w:rFonts w:ascii="Arial" w:hAnsi="Arial" w:cs="Arial"/>
          <w:sz w:val="20"/>
          <w:szCs w:val="20"/>
        </w:rPr>
        <w:t>Secretaría de</w:t>
      </w:r>
      <w:r w:rsidRPr="00F525D7">
        <w:rPr>
          <w:rFonts w:ascii="Arial" w:hAnsi="Arial" w:cs="Arial"/>
          <w:sz w:val="20"/>
          <w:szCs w:val="20"/>
        </w:rPr>
        <w:t xml:space="preserve"> Desarrollo Económico Sustentable sustituye en todos sus derechos, obligaciones y asume los compromisos adquiridos por el SEFIDE, debiendo cumplir íntegramente con ellos. Debido a lo anterior el día 7 de abril de 2011 se celebró convenio modificatorio al contrato de fideicomiso del día 7 de mayo de 1997.</w:t>
      </w:r>
    </w:p>
    <w:p w14:paraId="71AB86B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C5B4CB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Consideraciones fiscales del ente: </w:t>
      </w:r>
      <w:r w:rsidR="00657009" w:rsidRPr="00F525D7">
        <w:rPr>
          <w:rFonts w:ascii="Arial" w:hAnsi="Arial" w:cs="Arial"/>
          <w:sz w:val="20"/>
          <w:szCs w:val="20"/>
        </w:rPr>
        <w:t>R</w:t>
      </w:r>
      <w:r w:rsidRPr="00F525D7">
        <w:rPr>
          <w:rFonts w:ascii="Arial" w:hAnsi="Arial" w:cs="Arial"/>
          <w:sz w:val="20"/>
          <w:szCs w:val="20"/>
        </w:rPr>
        <w:t>evelar el tipo de contribuciones que esté obligado a pagar o retener.</w:t>
      </w:r>
    </w:p>
    <w:p w14:paraId="359A80E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 xml:space="preserve">El régimen fiscal del </w:t>
      </w:r>
      <w:proofErr w:type="gramStart"/>
      <w:r w:rsidRPr="00F525D7">
        <w:rPr>
          <w:rFonts w:ascii="Arial" w:eastAsia="Times New Roman" w:hAnsi="Arial" w:cs="Arial"/>
          <w:color w:val="000000"/>
          <w:sz w:val="20"/>
          <w:szCs w:val="20"/>
        </w:rPr>
        <w:t>Fondo,</w:t>
      </w:r>
      <w:proofErr w:type="gramEnd"/>
      <w:r w:rsidRPr="00F525D7">
        <w:rPr>
          <w:rFonts w:ascii="Arial" w:eastAsia="Times New Roman" w:hAnsi="Arial" w:cs="Arial"/>
          <w:color w:val="000000"/>
          <w:sz w:val="20"/>
          <w:szCs w:val="20"/>
        </w:rPr>
        <w:t xml:space="preserve"> se ubica en el marco del Título III de la Ley del Impuesto Sobre la Renta (LISR) como persona moral no contribuyente.</w:t>
      </w:r>
    </w:p>
    <w:p w14:paraId="03505D97"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p>
    <w:p w14:paraId="3D230F6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OBLIGACIONES FISCALES:</w:t>
      </w:r>
    </w:p>
    <w:p w14:paraId="05126F9D"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p>
    <w:p w14:paraId="2F507CF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IMPUESTOS FEDERALES</w:t>
      </w:r>
    </w:p>
    <w:p w14:paraId="3DD668D8"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mensuales de ISR por sueldos y salarios</w:t>
      </w:r>
      <w:r w:rsidR="00C818A1">
        <w:rPr>
          <w:rFonts w:ascii="Arial" w:eastAsia="Times New Roman" w:hAnsi="Arial" w:cs="Arial"/>
          <w:color w:val="000000"/>
          <w:sz w:val="20"/>
          <w:szCs w:val="20"/>
        </w:rPr>
        <w:t>.</w:t>
      </w:r>
    </w:p>
    <w:p w14:paraId="6580F5E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mensual de retención de ISR por servicios profesionales</w:t>
      </w:r>
      <w:r w:rsidR="00C818A1">
        <w:rPr>
          <w:rFonts w:ascii="Arial" w:eastAsia="Times New Roman" w:hAnsi="Arial" w:cs="Arial"/>
          <w:color w:val="000000"/>
          <w:sz w:val="20"/>
          <w:szCs w:val="20"/>
        </w:rPr>
        <w:t>.</w:t>
      </w:r>
    </w:p>
    <w:p w14:paraId="1F661A5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mensual de retenciones de ISR de ingresos por arrendamiento</w:t>
      </w:r>
      <w:r w:rsidR="00C818A1">
        <w:rPr>
          <w:rFonts w:ascii="Arial" w:eastAsia="Times New Roman" w:hAnsi="Arial" w:cs="Arial"/>
          <w:color w:val="000000"/>
          <w:sz w:val="20"/>
          <w:szCs w:val="20"/>
        </w:rPr>
        <w:t>.</w:t>
      </w:r>
    </w:p>
    <w:p w14:paraId="2B0D9F1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 xml:space="preserve">Declaración informativa </w:t>
      </w:r>
      <w:r w:rsidR="00C818A1">
        <w:rPr>
          <w:rFonts w:ascii="Arial" w:eastAsia="Times New Roman" w:hAnsi="Arial" w:cs="Arial"/>
          <w:color w:val="000000"/>
          <w:sz w:val="20"/>
          <w:szCs w:val="20"/>
        </w:rPr>
        <w:t>anual de Ingresos y Erogaciones.</w:t>
      </w:r>
    </w:p>
    <w:p w14:paraId="449D68F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Declaración informativa anual de retenciones de ISR por sueldos y salarios e ingresos asimilados a salarios.</w:t>
      </w:r>
    </w:p>
    <w:p w14:paraId="65D067E7" w14:textId="77777777" w:rsidR="00400196" w:rsidRPr="00F525D7" w:rsidRDefault="00C818A1" w:rsidP="0040019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Declaración i</w:t>
      </w:r>
      <w:r w:rsidR="00400196" w:rsidRPr="00F525D7">
        <w:rPr>
          <w:rFonts w:ascii="Arial" w:eastAsia="Times New Roman" w:hAnsi="Arial" w:cs="Arial"/>
          <w:color w:val="000000"/>
          <w:sz w:val="20"/>
          <w:szCs w:val="20"/>
        </w:rPr>
        <w:t>nformativa anual del subsidio para el empleo</w:t>
      </w:r>
      <w:r>
        <w:rPr>
          <w:rFonts w:ascii="Arial" w:eastAsia="Times New Roman" w:hAnsi="Arial" w:cs="Arial"/>
          <w:color w:val="000000"/>
          <w:sz w:val="20"/>
          <w:szCs w:val="20"/>
        </w:rPr>
        <w:t>.</w:t>
      </w:r>
    </w:p>
    <w:p w14:paraId="072EEE26"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 xml:space="preserve">Declaración informativa anual de pagos y retenciones de servicios profesionales. </w:t>
      </w:r>
    </w:p>
    <w:p w14:paraId="2E72EA7E"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Declaración informativa anual de retenciones de ISR por arrendamiento de inmuebles</w:t>
      </w:r>
      <w:r w:rsidR="00C818A1">
        <w:rPr>
          <w:rFonts w:ascii="Arial" w:eastAsia="Times New Roman" w:hAnsi="Arial" w:cs="Arial"/>
          <w:color w:val="000000"/>
          <w:sz w:val="20"/>
          <w:szCs w:val="20"/>
        </w:rPr>
        <w:t>.</w:t>
      </w:r>
    </w:p>
    <w:p w14:paraId="099AB094" w14:textId="77777777" w:rsidR="00F525D7" w:rsidRPr="00F525D7" w:rsidRDefault="00F525D7" w:rsidP="00400196">
      <w:pPr>
        <w:pStyle w:val="Prrafodelista"/>
        <w:spacing w:after="0" w:line="240" w:lineRule="auto"/>
        <w:ind w:left="0"/>
        <w:jc w:val="both"/>
        <w:rPr>
          <w:rFonts w:ascii="Arial" w:eastAsia="Times New Roman" w:hAnsi="Arial" w:cs="Arial"/>
          <w:color w:val="000000"/>
          <w:sz w:val="20"/>
          <w:szCs w:val="20"/>
        </w:rPr>
      </w:pPr>
    </w:p>
    <w:p w14:paraId="0E74D837"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IMPUESTOS ESTATALES</w:t>
      </w:r>
    </w:p>
    <w:p w14:paraId="33975D2B"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Mensuales:</w:t>
      </w:r>
    </w:p>
    <w:p w14:paraId="50DE1462" w14:textId="77777777" w:rsidR="00400196" w:rsidRPr="00F525D7" w:rsidRDefault="0094321A" w:rsidP="0040019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 xml:space="preserve">Cedular </w:t>
      </w:r>
      <w:r w:rsidR="00E54EDB" w:rsidRPr="00F525D7">
        <w:rPr>
          <w:rFonts w:ascii="Arial" w:eastAsia="Times New Roman" w:hAnsi="Arial" w:cs="Arial"/>
          <w:color w:val="000000"/>
          <w:sz w:val="20"/>
          <w:szCs w:val="20"/>
        </w:rPr>
        <w:t>3</w:t>
      </w:r>
      <w:r w:rsidR="00400196" w:rsidRPr="00F525D7">
        <w:rPr>
          <w:rFonts w:ascii="Arial" w:eastAsia="Times New Roman" w:hAnsi="Arial" w:cs="Arial"/>
          <w:color w:val="000000"/>
          <w:sz w:val="20"/>
          <w:szCs w:val="20"/>
        </w:rPr>
        <w:t>% sobre nómina</w:t>
      </w:r>
      <w:r w:rsidR="00C818A1">
        <w:rPr>
          <w:rFonts w:ascii="Arial" w:eastAsia="Times New Roman" w:hAnsi="Arial" w:cs="Arial"/>
          <w:color w:val="000000"/>
          <w:sz w:val="20"/>
          <w:szCs w:val="20"/>
        </w:rPr>
        <w:t>.</w:t>
      </w:r>
    </w:p>
    <w:p w14:paraId="72C0E4AA"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sobre servicios profesionales</w:t>
      </w:r>
      <w:r w:rsidR="00C818A1">
        <w:rPr>
          <w:rFonts w:ascii="Arial" w:eastAsia="Times New Roman" w:hAnsi="Arial" w:cs="Arial"/>
          <w:color w:val="000000"/>
          <w:sz w:val="20"/>
          <w:szCs w:val="20"/>
        </w:rPr>
        <w:t>.</w:t>
      </w:r>
    </w:p>
    <w:p w14:paraId="6D1151A1"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Entero de retenciones sobre arrendamiento de bienes inmuebles</w:t>
      </w:r>
      <w:r w:rsidR="00C818A1">
        <w:rPr>
          <w:rFonts w:ascii="Arial" w:eastAsia="Times New Roman" w:hAnsi="Arial" w:cs="Arial"/>
          <w:color w:val="000000"/>
          <w:sz w:val="20"/>
          <w:szCs w:val="20"/>
        </w:rPr>
        <w:t>.</w:t>
      </w:r>
    </w:p>
    <w:p w14:paraId="4C7581B4"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Anuales:</w:t>
      </w:r>
    </w:p>
    <w:p w14:paraId="52FDA5BD"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Informativa sobre nómina</w:t>
      </w:r>
      <w:r w:rsidR="00C818A1">
        <w:rPr>
          <w:rFonts w:ascii="Arial" w:eastAsia="Times New Roman" w:hAnsi="Arial" w:cs="Arial"/>
          <w:color w:val="000000"/>
          <w:sz w:val="20"/>
          <w:szCs w:val="20"/>
        </w:rPr>
        <w:t>.</w:t>
      </w:r>
    </w:p>
    <w:p w14:paraId="67CC2B35" w14:textId="77777777" w:rsidR="00400196" w:rsidRPr="00F525D7" w:rsidRDefault="00400196" w:rsidP="00400196">
      <w:pPr>
        <w:pStyle w:val="Prrafodelista"/>
        <w:spacing w:after="0" w:line="240" w:lineRule="auto"/>
        <w:ind w:left="0"/>
        <w:jc w:val="both"/>
        <w:rPr>
          <w:rFonts w:ascii="Arial" w:eastAsia="Times New Roman" w:hAnsi="Arial" w:cs="Arial"/>
          <w:color w:val="000000"/>
          <w:sz w:val="20"/>
          <w:szCs w:val="20"/>
        </w:rPr>
      </w:pPr>
      <w:r w:rsidRPr="00F525D7">
        <w:rPr>
          <w:rFonts w:ascii="Arial" w:eastAsia="Times New Roman" w:hAnsi="Arial" w:cs="Arial"/>
          <w:color w:val="000000"/>
          <w:sz w:val="20"/>
          <w:szCs w:val="20"/>
        </w:rPr>
        <w:t>Informativa sobre pagos efectuados por concepto de servicios profesionales</w:t>
      </w:r>
      <w:r w:rsidR="00C818A1">
        <w:rPr>
          <w:rFonts w:ascii="Arial" w:eastAsia="Times New Roman" w:hAnsi="Arial" w:cs="Arial"/>
          <w:color w:val="000000"/>
          <w:sz w:val="20"/>
          <w:szCs w:val="20"/>
        </w:rPr>
        <w:t>.</w:t>
      </w:r>
    </w:p>
    <w:p w14:paraId="1EA29182" w14:textId="77777777" w:rsidR="007D1E76" w:rsidRPr="00F525D7" w:rsidRDefault="00400196" w:rsidP="00400196">
      <w:pPr>
        <w:tabs>
          <w:tab w:val="left" w:leader="underscore" w:pos="9639"/>
        </w:tabs>
        <w:spacing w:after="0" w:line="240" w:lineRule="auto"/>
        <w:jc w:val="both"/>
        <w:rPr>
          <w:rFonts w:ascii="Arial" w:hAnsi="Arial" w:cs="Arial"/>
          <w:sz w:val="20"/>
          <w:szCs w:val="20"/>
        </w:rPr>
      </w:pPr>
      <w:r w:rsidRPr="00F525D7">
        <w:rPr>
          <w:rFonts w:ascii="Arial" w:eastAsia="Times New Roman" w:hAnsi="Arial" w:cs="Arial"/>
          <w:color w:val="000000"/>
          <w:sz w:val="20"/>
          <w:szCs w:val="20"/>
        </w:rPr>
        <w:t>Informativa sobre pagos efectuados por concepto de arrendamiento de bienes inmuebles</w:t>
      </w:r>
      <w:r w:rsidR="00C818A1">
        <w:rPr>
          <w:rFonts w:ascii="Arial" w:eastAsia="Times New Roman" w:hAnsi="Arial" w:cs="Arial"/>
          <w:color w:val="000000"/>
          <w:sz w:val="20"/>
          <w:szCs w:val="20"/>
        </w:rPr>
        <w:t>.</w:t>
      </w:r>
    </w:p>
    <w:p w14:paraId="5DB4E85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043243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f)</w:t>
      </w:r>
      <w:r w:rsidRPr="00F525D7">
        <w:rPr>
          <w:rFonts w:ascii="Arial" w:hAnsi="Arial" w:cs="Arial"/>
          <w:sz w:val="20"/>
          <w:szCs w:val="20"/>
        </w:rPr>
        <w:t xml:space="preserve"> Estructura organizacional básica.</w:t>
      </w:r>
    </w:p>
    <w:p w14:paraId="2AD0D8BA" w14:textId="77777777" w:rsidR="007D1E76" w:rsidRPr="00F525D7" w:rsidRDefault="007D1E76" w:rsidP="00CB41C4">
      <w:pPr>
        <w:tabs>
          <w:tab w:val="left" w:leader="underscore" w:pos="9639"/>
        </w:tabs>
        <w:spacing w:after="0" w:line="240" w:lineRule="auto"/>
        <w:ind w:firstLine="708"/>
        <w:jc w:val="both"/>
        <w:rPr>
          <w:rFonts w:ascii="Arial" w:hAnsi="Arial" w:cs="Arial"/>
          <w:sz w:val="20"/>
          <w:szCs w:val="20"/>
        </w:rPr>
      </w:pPr>
      <w:r w:rsidRPr="00F525D7">
        <w:rPr>
          <w:rFonts w:ascii="Arial" w:hAnsi="Arial" w:cs="Arial"/>
          <w:sz w:val="20"/>
          <w:szCs w:val="20"/>
        </w:rPr>
        <w:t>*Anexar organigrama de la entidad.</w:t>
      </w:r>
    </w:p>
    <w:p w14:paraId="29171863"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A fin de dar cumplimiento a nuestras funciones y alcanzar los objetivos, el FOGIM cuenta con tres órganos de gobierno rectores:</w:t>
      </w:r>
    </w:p>
    <w:p w14:paraId="760F5465"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El Comité Técnico.</w:t>
      </w:r>
    </w:p>
    <w:p w14:paraId="45259D01"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 El </w:t>
      </w:r>
      <w:proofErr w:type="gramStart"/>
      <w:r w:rsidRPr="00F525D7">
        <w:rPr>
          <w:rFonts w:ascii="Arial" w:hAnsi="Arial" w:cs="Arial"/>
          <w:sz w:val="20"/>
          <w:szCs w:val="20"/>
          <w:lang w:eastAsia="es-MX"/>
        </w:rPr>
        <w:t>Director General</w:t>
      </w:r>
      <w:proofErr w:type="gramEnd"/>
      <w:r w:rsidRPr="00F525D7">
        <w:rPr>
          <w:rFonts w:ascii="Arial" w:hAnsi="Arial" w:cs="Arial"/>
          <w:sz w:val="20"/>
          <w:szCs w:val="20"/>
          <w:lang w:eastAsia="es-MX"/>
        </w:rPr>
        <w:t>.</w:t>
      </w:r>
    </w:p>
    <w:p w14:paraId="4F050202"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El Sub-</w:t>
      </w:r>
      <w:proofErr w:type="gramStart"/>
      <w:r w:rsidRPr="00F525D7">
        <w:rPr>
          <w:rFonts w:ascii="Arial" w:hAnsi="Arial" w:cs="Arial"/>
          <w:sz w:val="20"/>
          <w:szCs w:val="20"/>
          <w:lang w:eastAsia="es-MX"/>
        </w:rPr>
        <w:t>Director General</w:t>
      </w:r>
      <w:proofErr w:type="gramEnd"/>
      <w:r w:rsidR="00C818A1">
        <w:rPr>
          <w:rFonts w:ascii="Arial" w:hAnsi="Arial" w:cs="Arial"/>
          <w:sz w:val="20"/>
          <w:szCs w:val="20"/>
          <w:lang w:eastAsia="es-MX"/>
        </w:rPr>
        <w:t>.</w:t>
      </w:r>
    </w:p>
    <w:p w14:paraId="0E2AEDFB" w14:textId="77777777" w:rsidR="00C8277F" w:rsidRPr="00F525D7" w:rsidRDefault="00C8277F" w:rsidP="00400196">
      <w:pPr>
        <w:autoSpaceDE w:val="0"/>
        <w:autoSpaceDN w:val="0"/>
        <w:adjustRightInd w:val="0"/>
        <w:spacing w:after="0" w:line="240" w:lineRule="auto"/>
        <w:jc w:val="both"/>
        <w:rPr>
          <w:rFonts w:ascii="Arial" w:hAnsi="Arial" w:cs="Arial"/>
          <w:sz w:val="20"/>
          <w:szCs w:val="20"/>
          <w:u w:val="single"/>
          <w:lang w:eastAsia="es-MX"/>
        </w:rPr>
      </w:pPr>
    </w:p>
    <w:p w14:paraId="1FF87533"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Comité Técnico:</w:t>
      </w:r>
    </w:p>
    <w:p w14:paraId="19B4F627"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Es el órgano de la Entidad que tiene las atribuciones de aprobar planes y programas del mismo; dictar los acuerdos necesarios para el debido otorgamiento de los préstamos y/o financiamientos; dictar cualquier acuerdo en los términos los préstamos y/o financiamientos, para conceder, negar, suspender, modificar y revocar los préstamos y/o financiamientos que la misma establece; y aprobar las aplicaciones y/o correcciones de las reservas de patrimonio de la Entidad, a propuesta del Director General.</w:t>
      </w:r>
    </w:p>
    <w:p w14:paraId="4E53FABA"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Así mismo el Comité Técnico tiene las atribuciones de vigilar que los recursos de la Entidad se apliquen y coloquen de acuerdo con las reglas de operación de la Entidad, así como establecido en los fines del Fideicomiso en los convenios modificatorios; comprobar el cumplimiento de las normas y disposiciones relativas a los sistemas de registro y contabilidad.</w:t>
      </w:r>
    </w:p>
    <w:p w14:paraId="06C69321" w14:textId="77777777" w:rsidR="00400196" w:rsidRDefault="00400196" w:rsidP="00400196">
      <w:pPr>
        <w:autoSpaceDE w:val="0"/>
        <w:autoSpaceDN w:val="0"/>
        <w:adjustRightInd w:val="0"/>
        <w:spacing w:after="0" w:line="240" w:lineRule="auto"/>
        <w:jc w:val="both"/>
        <w:rPr>
          <w:rFonts w:ascii="Arial" w:hAnsi="Arial" w:cs="Arial"/>
          <w:sz w:val="20"/>
          <w:szCs w:val="20"/>
          <w:lang w:eastAsia="es-MX"/>
        </w:rPr>
      </w:pPr>
    </w:p>
    <w:p w14:paraId="0B071F80" w14:textId="77777777" w:rsidR="007675C0" w:rsidRPr="00F525D7" w:rsidRDefault="007675C0" w:rsidP="00400196">
      <w:pPr>
        <w:autoSpaceDE w:val="0"/>
        <w:autoSpaceDN w:val="0"/>
        <w:adjustRightInd w:val="0"/>
        <w:spacing w:after="0" w:line="240" w:lineRule="auto"/>
        <w:jc w:val="both"/>
        <w:rPr>
          <w:rFonts w:ascii="Arial" w:hAnsi="Arial" w:cs="Arial"/>
          <w:sz w:val="20"/>
          <w:szCs w:val="20"/>
          <w:lang w:eastAsia="es-MX"/>
        </w:rPr>
      </w:pPr>
    </w:p>
    <w:p w14:paraId="2B50220E"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Dirección General:</w:t>
      </w:r>
    </w:p>
    <w:p w14:paraId="3C374189"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Es el máximo órgano de la Administración de la Entidad, encargado de asegurar el cumplimiento de todas las decisiones del Comité Técnico como lo son asegurar el cumplimiento de metas estratégicas, proponer nuevos esquemas al Comité Técnico, resolver cualquier situación con respecto a las reglas de operación que se presenten en el desarrollo de las actividades, entre otras.</w:t>
      </w:r>
    </w:p>
    <w:p w14:paraId="2EDA056E"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Para lograr lo anterior, la Entidad cuenta con los siguientes niveles en su organigrama que son:</w:t>
      </w:r>
    </w:p>
    <w:p w14:paraId="7D0F0C92"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Subdirección General, Subdirección de Crédito, Gerencia de Finanzas, Gerencia de Jurídico y la Gerencia de Control y Cumplimiento. Cabe señalar que es importante la gestión de promoción y venta que complementan la estructura del Fideicomiso, como la Coordinación de Programas Especiales, Gerencia de Coordinador de Sucursales y Coordinación de Comunicación Social.</w:t>
      </w:r>
    </w:p>
    <w:p w14:paraId="45624569"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p>
    <w:p w14:paraId="660D9719" w14:textId="77777777" w:rsidR="00400196" w:rsidRPr="00F525D7" w:rsidRDefault="00400196" w:rsidP="00400196">
      <w:pPr>
        <w:autoSpaceDE w:val="0"/>
        <w:autoSpaceDN w:val="0"/>
        <w:adjustRightInd w:val="0"/>
        <w:spacing w:after="0" w:line="240" w:lineRule="auto"/>
        <w:jc w:val="both"/>
        <w:rPr>
          <w:rFonts w:ascii="Arial" w:hAnsi="Arial" w:cs="Arial"/>
          <w:sz w:val="20"/>
          <w:szCs w:val="20"/>
          <w:u w:val="single"/>
          <w:lang w:eastAsia="es-MX"/>
        </w:rPr>
      </w:pPr>
      <w:r w:rsidRPr="00F525D7">
        <w:rPr>
          <w:rFonts w:ascii="Arial" w:hAnsi="Arial" w:cs="Arial"/>
          <w:sz w:val="20"/>
          <w:szCs w:val="20"/>
          <w:u w:val="single"/>
          <w:lang w:eastAsia="es-MX"/>
        </w:rPr>
        <w:t>Sub-Dirección General:</w:t>
      </w:r>
    </w:p>
    <w:p w14:paraId="326A7EA3"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Tiene a su cargo el Control de los procesos operativos para asegurar que las operaciones se realicen dentro del marco de legalidad existente, estableciendo programas de auditoría interna e implementando los procedimientos adecuados para la operación y conservación de documentos en el lugar adecuado, desarrollando e implementando procesos de mejora continua. Analiza la información contenida en los Estados Financieros supervisando el apego a normas de información financiera. Da seguimiento a las decisiones, autorizaciones y acuerdos que se den dentro del Comité Técnico, Subcomité de Crédito y Subcomité de inversiones. </w:t>
      </w:r>
    </w:p>
    <w:p w14:paraId="3A8903EA" w14:textId="77777777" w:rsidR="00400196" w:rsidRPr="00F525D7" w:rsidRDefault="00400196" w:rsidP="00400196">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Establece y ejecuta las acciones necesarias para la elaboración del presupuesto de inversión, gasto operativo e ingreso. Apoya al </w:t>
      </w:r>
      <w:proofErr w:type="gramStart"/>
      <w:r w:rsidRPr="00F525D7">
        <w:rPr>
          <w:rFonts w:ascii="Arial" w:hAnsi="Arial" w:cs="Arial"/>
          <w:sz w:val="20"/>
          <w:szCs w:val="20"/>
          <w:lang w:eastAsia="es-MX"/>
        </w:rPr>
        <w:t>Director General</w:t>
      </w:r>
      <w:proofErr w:type="gramEnd"/>
      <w:r w:rsidRPr="00F525D7">
        <w:rPr>
          <w:rFonts w:ascii="Arial" w:hAnsi="Arial" w:cs="Arial"/>
          <w:sz w:val="20"/>
          <w:szCs w:val="20"/>
          <w:lang w:eastAsia="es-MX"/>
        </w:rPr>
        <w:t xml:space="preserve"> en la elaboración y seguimiento de estrategias, programas, políticas públicas, modelos y proyectos de apoyo y servicios financieros, así como la vinculación con los diversos organismos e instituciones financieras. Así mismo, el Sub-</w:t>
      </w:r>
      <w:proofErr w:type="gramStart"/>
      <w:r w:rsidRPr="00F525D7">
        <w:rPr>
          <w:rFonts w:ascii="Arial" w:hAnsi="Arial" w:cs="Arial"/>
          <w:sz w:val="20"/>
          <w:szCs w:val="20"/>
          <w:lang w:eastAsia="es-MX"/>
        </w:rPr>
        <w:t>Director General</w:t>
      </w:r>
      <w:proofErr w:type="gramEnd"/>
      <w:r w:rsidRPr="00F525D7">
        <w:rPr>
          <w:rFonts w:ascii="Arial" w:hAnsi="Arial" w:cs="Arial"/>
          <w:sz w:val="20"/>
          <w:szCs w:val="20"/>
          <w:lang w:eastAsia="es-MX"/>
        </w:rPr>
        <w:t xml:space="preserve"> tiene a su cargo la Subdirección de Crédito, Gerencia de Finanzas, Gerencia de Cobranza Jurídico y la Gerencia de Control y Cumplimiento.</w:t>
      </w:r>
    </w:p>
    <w:p w14:paraId="3567F389" w14:textId="77777777" w:rsidR="007D1E76" w:rsidRPr="00F525D7" w:rsidRDefault="00400196" w:rsidP="00400196">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lastRenderedPageBreak/>
        <w:t>Esta última es de gran ayuda para asegurarse de muchas de las actividades de monitoreo, la Gerencia de Control y Cumplimiento, se encarga de desarrollar y mantener un programa de aseguramiento preventivo de administración de riesgos, de calidad y mejora que cubra todos los aspectos de la actividad de auditoría interna y revise continuamente su eficacia, apegándose a los Lineamientos Generales de Control Interno y sus normas de aplicación para la Administración Pública Estatal. El programa de administración de riesgos está diseñado para ayudar a la actividad de auditoría interna a añadir valor y a mejorar las operaciones de la organización y a proporcionar aseguramiento de que la actividad de auditoría interna cumple con las normas y el Código de Ética institucional. Así mismo esta área tiene a su cargo la actividad de Control de Gestión en cuanto a elaboración, seguimiento y control de metas institucionales y proyectos de inversión.</w:t>
      </w:r>
    </w:p>
    <w:p w14:paraId="6FF6AC34"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6539342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Fideicomisos, mandatos y análogos de los cuales es fideicomitente o </w:t>
      </w:r>
      <w:r w:rsidR="00657009" w:rsidRPr="00F525D7">
        <w:rPr>
          <w:rFonts w:ascii="Arial" w:hAnsi="Arial" w:cs="Arial"/>
          <w:sz w:val="20"/>
          <w:szCs w:val="20"/>
        </w:rPr>
        <w:t>fideicomisario</w:t>
      </w:r>
      <w:r w:rsidRPr="00F525D7">
        <w:rPr>
          <w:rFonts w:ascii="Arial" w:hAnsi="Arial" w:cs="Arial"/>
          <w:sz w:val="20"/>
          <w:szCs w:val="20"/>
        </w:rPr>
        <w:t>.</w:t>
      </w:r>
    </w:p>
    <w:p w14:paraId="5E91F642" w14:textId="77777777" w:rsidR="007D1E76" w:rsidRPr="00F525D7" w:rsidRDefault="0040019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se tienen fideicomisos, mandatos y análogos de los cuales la entidad sea fideicomitente o fiduciario.</w:t>
      </w:r>
    </w:p>
    <w:p w14:paraId="20A13020" w14:textId="77777777" w:rsidR="00CB41C4" w:rsidRPr="00F525D7" w:rsidRDefault="00CB41C4" w:rsidP="00CB41C4">
      <w:pPr>
        <w:tabs>
          <w:tab w:val="left" w:leader="underscore" w:pos="9639"/>
        </w:tabs>
        <w:spacing w:after="0" w:line="240" w:lineRule="auto"/>
        <w:jc w:val="both"/>
        <w:rPr>
          <w:rFonts w:ascii="Arial" w:hAnsi="Arial" w:cs="Arial"/>
          <w:sz w:val="20"/>
          <w:szCs w:val="20"/>
        </w:rPr>
      </w:pPr>
    </w:p>
    <w:p w14:paraId="62BFEF8C" w14:textId="77777777" w:rsidR="007D1E76" w:rsidRPr="00F525D7" w:rsidRDefault="007675C0" w:rsidP="000C3365">
      <w:pPr>
        <w:pStyle w:val="Ttulo2"/>
        <w:rPr>
          <w:rFonts w:ascii="Arial" w:hAnsi="Arial" w:cs="Arial"/>
          <w:b/>
          <w:color w:val="auto"/>
          <w:sz w:val="20"/>
          <w:szCs w:val="20"/>
        </w:rPr>
      </w:pPr>
      <w:bookmarkStart w:id="4" w:name="_Toc136601510"/>
      <w:r>
        <w:rPr>
          <w:rFonts w:ascii="Arial" w:hAnsi="Arial" w:cs="Arial"/>
          <w:b/>
          <w:color w:val="auto"/>
          <w:sz w:val="20"/>
          <w:szCs w:val="20"/>
        </w:rPr>
        <w:t>4</w:t>
      </w:r>
      <w:r w:rsidR="007D1E76" w:rsidRPr="00F525D7">
        <w:rPr>
          <w:rFonts w:ascii="Arial" w:hAnsi="Arial" w:cs="Arial"/>
          <w:b/>
          <w:color w:val="auto"/>
          <w:sz w:val="20"/>
          <w:szCs w:val="20"/>
        </w:rPr>
        <w:t>. Bases de Preparació</w:t>
      </w:r>
      <w:r w:rsidR="00E00323" w:rsidRPr="00F525D7">
        <w:rPr>
          <w:rFonts w:ascii="Arial" w:hAnsi="Arial" w:cs="Arial"/>
          <w:b/>
          <w:color w:val="auto"/>
          <w:sz w:val="20"/>
          <w:szCs w:val="20"/>
        </w:rPr>
        <w:t>n de los Estados Financieros:</w:t>
      </w:r>
      <w:bookmarkEnd w:id="4"/>
    </w:p>
    <w:p w14:paraId="7855C95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0E19F5A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4F1186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Si se ha observado la normatividad emitida por el CONAC y las disposiciones legales aplicables.</w:t>
      </w:r>
    </w:p>
    <w:p w14:paraId="0041E503" w14:textId="77777777" w:rsidR="006C3F9A" w:rsidRPr="00F525D7" w:rsidRDefault="006C3F9A" w:rsidP="006C3F9A">
      <w:pPr>
        <w:autoSpaceDE w:val="0"/>
        <w:autoSpaceDN w:val="0"/>
        <w:adjustRightInd w:val="0"/>
        <w:spacing w:after="0" w:line="240" w:lineRule="auto"/>
        <w:jc w:val="both"/>
        <w:rPr>
          <w:rFonts w:ascii="Arial" w:hAnsi="Arial" w:cs="Arial"/>
          <w:sz w:val="20"/>
          <w:szCs w:val="20"/>
          <w:lang w:eastAsia="es-MX"/>
        </w:rPr>
      </w:pPr>
      <w:r w:rsidRPr="00F525D7">
        <w:rPr>
          <w:rFonts w:ascii="Arial" w:hAnsi="Arial" w:cs="Arial"/>
          <w:sz w:val="20"/>
          <w:szCs w:val="20"/>
          <w:lang w:eastAsia="es-MX"/>
        </w:rPr>
        <w:t xml:space="preserve">Los estados </w:t>
      </w:r>
      <w:r w:rsidR="00FA113D">
        <w:rPr>
          <w:rFonts w:ascii="Arial" w:hAnsi="Arial" w:cs="Arial"/>
          <w:sz w:val="20"/>
          <w:szCs w:val="20"/>
          <w:lang w:eastAsia="es-MX"/>
        </w:rPr>
        <w:t xml:space="preserve">financieros </w:t>
      </w:r>
      <w:r w:rsidRPr="00F525D7">
        <w:rPr>
          <w:rFonts w:ascii="Arial" w:hAnsi="Arial" w:cs="Arial"/>
          <w:sz w:val="20"/>
          <w:szCs w:val="20"/>
          <w:lang w:eastAsia="es-MX"/>
        </w:rPr>
        <w:t xml:space="preserve">del Fondo se </w:t>
      </w:r>
      <w:r w:rsidR="005208D0" w:rsidRPr="00F525D7">
        <w:rPr>
          <w:rFonts w:ascii="Arial" w:hAnsi="Arial" w:cs="Arial"/>
          <w:sz w:val="20"/>
          <w:szCs w:val="20"/>
          <w:lang w:eastAsia="es-MX"/>
        </w:rPr>
        <w:t>prepararán</w:t>
      </w:r>
      <w:r w:rsidRPr="00F525D7">
        <w:rPr>
          <w:rFonts w:ascii="Arial" w:hAnsi="Arial" w:cs="Arial"/>
          <w:sz w:val="20"/>
          <w:szCs w:val="20"/>
          <w:lang w:eastAsia="es-MX"/>
        </w:rPr>
        <w:t xml:space="preserve"> de conformidad con las siguientes disposiciones normativas que le son aplicables en su carácter de administración descentralizada:</w:t>
      </w:r>
    </w:p>
    <w:p w14:paraId="7AFB6367" w14:textId="77777777" w:rsidR="006C3F9A" w:rsidRPr="00F525D7" w:rsidRDefault="006C3F9A" w:rsidP="006C3F9A">
      <w:pPr>
        <w:spacing w:after="0" w:line="240" w:lineRule="auto"/>
        <w:ind w:right="51"/>
        <w:jc w:val="both"/>
        <w:rPr>
          <w:rFonts w:ascii="Arial" w:hAnsi="Arial" w:cs="Arial"/>
          <w:sz w:val="20"/>
          <w:szCs w:val="20"/>
          <w:lang w:eastAsia="es-MX"/>
        </w:rPr>
      </w:pPr>
    </w:p>
    <w:p w14:paraId="192152EB" w14:textId="77777777" w:rsidR="006C3F9A" w:rsidRPr="00F525D7" w:rsidRDefault="006C3F9A" w:rsidP="006C3F9A">
      <w:pPr>
        <w:tabs>
          <w:tab w:val="num" w:pos="1560"/>
        </w:tabs>
        <w:spacing w:after="0" w:line="240" w:lineRule="auto"/>
        <w:ind w:right="51"/>
        <w:jc w:val="both"/>
        <w:rPr>
          <w:rFonts w:ascii="Arial" w:hAnsi="Arial" w:cs="Arial"/>
          <w:sz w:val="20"/>
          <w:szCs w:val="20"/>
          <w:lang w:eastAsia="es-MX"/>
        </w:rPr>
      </w:pPr>
      <w:r w:rsidRPr="00F525D7">
        <w:rPr>
          <w:rFonts w:ascii="Arial" w:hAnsi="Arial" w:cs="Arial"/>
          <w:sz w:val="20"/>
          <w:szCs w:val="20"/>
          <w:lang w:eastAsia="es-MX"/>
        </w:rPr>
        <w:t>Las disposiciones vigentes de la Ley General de Contabilidad Gubernamental (LGCG) y normas reglamentarias emitidas a través de acuerdos del Consejo Nacional de Armonización Contable (CONAC).</w:t>
      </w:r>
    </w:p>
    <w:p w14:paraId="2E76C3D5" w14:textId="77777777" w:rsidR="006C3F9A" w:rsidRPr="00F525D7" w:rsidRDefault="006C3F9A" w:rsidP="006C3F9A">
      <w:pPr>
        <w:tabs>
          <w:tab w:val="left" w:leader="underscore" w:pos="9639"/>
        </w:tabs>
        <w:spacing w:after="0" w:line="240" w:lineRule="auto"/>
        <w:jc w:val="both"/>
        <w:rPr>
          <w:rFonts w:ascii="Arial" w:hAnsi="Arial" w:cs="Arial"/>
          <w:sz w:val="20"/>
          <w:szCs w:val="20"/>
          <w:lang w:eastAsia="es-MX"/>
        </w:rPr>
      </w:pPr>
    </w:p>
    <w:p w14:paraId="1D43A0A4" w14:textId="77777777" w:rsidR="007D1E76" w:rsidRPr="00F525D7" w:rsidRDefault="006C3F9A" w:rsidP="006C3F9A">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t xml:space="preserve">Es importante mencionar que este fideicomiso se encuentra en proceso de incorporarse al Sistema Integral de SAP </w:t>
      </w:r>
      <w:r w:rsidR="00AE4502">
        <w:rPr>
          <w:rFonts w:ascii="Arial" w:hAnsi="Arial" w:cs="Arial"/>
          <w:sz w:val="20"/>
          <w:szCs w:val="20"/>
          <w:lang w:eastAsia="es-MX"/>
        </w:rPr>
        <w:t>4 Hanna</w:t>
      </w:r>
      <w:r w:rsidRPr="00F525D7">
        <w:rPr>
          <w:rFonts w:ascii="Arial" w:hAnsi="Arial" w:cs="Arial"/>
          <w:sz w:val="20"/>
          <w:szCs w:val="20"/>
          <w:lang w:eastAsia="es-MX"/>
        </w:rPr>
        <w:t>, con el apoyo de las áreas técnicas de la Secretaría de Finanzas Inversión y Administración.</w:t>
      </w:r>
    </w:p>
    <w:p w14:paraId="46767A6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A41F46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F525D7">
        <w:rPr>
          <w:rFonts w:ascii="Arial" w:hAnsi="Arial" w:cs="Arial"/>
          <w:sz w:val="20"/>
          <w:szCs w:val="20"/>
        </w:rPr>
        <w:t>los mismos</w:t>
      </w:r>
      <w:proofErr w:type="gramEnd"/>
      <w:r w:rsidRPr="00F525D7">
        <w:rPr>
          <w:rFonts w:ascii="Arial" w:hAnsi="Arial" w:cs="Arial"/>
          <w:sz w:val="20"/>
          <w:szCs w:val="20"/>
        </w:rPr>
        <w:t>.</w:t>
      </w:r>
    </w:p>
    <w:p w14:paraId="5F4984A8" w14:textId="77777777" w:rsidR="006C3F9A" w:rsidRPr="00F525D7" w:rsidRDefault="006C3F9A" w:rsidP="006C3F9A">
      <w:pPr>
        <w:tabs>
          <w:tab w:val="num" w:pos="1560"/>
        </w:tabs>
        <w:ind w:right="51"/>
        <w:jc w:val="both"/>
        <w:rPr>
          <w:rFonts w:ascii="Arial" w:hAnsi="Arial" w:cs="Arial"/>
          <w:sz w:val="20"/>
          <w:szCs w:val="20"/>
          <w:lang w:eastAsia="es-MX"/>
        </w:rPr>
      </w:pPr>
      <w:r w:rsidRPr="00F525D7">
        <w:rPr>
          <w:rFonts w:ascii="Arial" w:hAnsi="Arial" w:cs="Arial"/>
          <w:sz w:val="20"/>
          <w:szCs w:val="20"/>
          <w:lang w:eastAsia="es-MX"/>
        </w:rPr>
        <w:t>De conformidad con el Marco Conceptual Gubernamental se pueden aplicar supletoriamente y en el orden a continuación señalado las siguientes normas:</w:t>
      </w:r>
    </w:p>
    <w:p w14:paraId="22730330" w14:textId="77777777" w:rsidR="006C3F9A" w:rsidRPr="00F525D7"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F525D7">
        <w:rPr>
          <w:rFonts w:ascii="Arial" w:hAnsi="Arial" w:cs="Arial"/>
          <w:sz w:val="20"/>
          <w:szCs w:val="20"/>
          <w:lang w:eastAsia="es-MX"/>
        </w:rPr>
        <w:t>La Normatividad emitida por las unidades administrativas o instancias competentes en materia de Contabilidad Gubernamental.</w:t>
      </w:r>
    </w:p>
    <w:p w14:paraId="314E2054" w14:textId="77777777" w:rsidR="006C3F9A" w:rsidRPr="00F525D7"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F525D7">
        <w:rPr>
          <w:rFonts w:ascii="Arial" w:hAnsi="Arial" w:cs="Arial"/>
          <w:sz w:val="20"/>
          <w:szCs w:val="20"/>
          <w:lang w:eastAsia="es-MX"/>
        </w:rPr>
        <w:t>Normas Internacionales de Contabilidad para el Sector Público (NICSP).</w:t>
      </w:r>
    </w:p>
    <w:p w14:paraId="1D3B12D4" w14:textId="77777777" w:rsidR="007D1E76" w:rsidRPr="00F525D7" w:rsidRDefault="006C3F9A" w:rsidP="00F525D7">
      <w:pPr>
        <w:numPr>
          <w:ilvl w:val="0"/>
          <w:numId w:val="2"/>
        </w:numPr>
        <w:tabs>
          <w:tab w:val="clear" w:pos="2165"/>
        </w:tabs>
        <w:spacing w:after="0" w:line="240" w:lineRule="auto"/>
        <w:ind w:left="0" w:right="51" w:firstLine="0"/>
        <w:jc w:val="both"/>
        <w:rPr>
          <w:rFonts w:ascii="Arial" w:hAnsi="Arial" w:cs="Arial"/>
          <w:sz w:val="20"/>
          <w:szCs w:val="20"/>
        </w:rPr>
      </w:pPr>
      <w:r w:rsidRPr="00F525D7">
        <w:rPr>
          <w:rFonts w:ascii="Arial" w:hAnsi="Arial" w:cs="Arial"/>
          <w:sz w:val="20"/>
          <w:szCs w:val="20"/>
          <w:lang w:eastAsia="es-MX"/>
        </w:rPr>
        <w:t>Las Normas de Información Financiera (NIF) emitidas por el Consejo Mexicano de Normas de Información Financiera, A. C.</w:t>
      </w:r>
    </w:p>
    <w:p w14:paraId="7E4E207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64039B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Postulados básicos.</w:t>
      </w:r>
    </w:p>
    <w:p w14:paraId="38F2FC38"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xml:space="preserve">A </w:t>
      </w:r>
      <w:r w:rsidR="005208D0" w:rsidRPr="00F525D7">
        <w:rPr>
          <w:rFonts w:ascii="Arial" w:hAnsi="Arial" w:cs="Arial"/>
          <w:sz w:val="20"/>
          <w:szCs w:val="20"/>
        </w:rPr>
        <w:t>continuación,</w:t>
      </w:r>
      <w:r w:rsidRPr="00F525D7">
        <w:rPr>
          <w:rFonts w:ascii="Arial" w:hAnsi="Arial" w:cs="Arial"/>
          <w:sz w:val="20"/>
          <w:szCs w:val="20"/>
        </w:rPr>
        <w:t xml:space="preserve"> se presentan los Postulados Básicos de Contabilidad Gubernamental (PBCG) aplicados por la Entidad:</w:t>
      </w:r>
    </w:p>
    <w:p w14:paraId="5CC2C8E8"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Sustancia económica.</w:t>
      </w:r>
    </w:p>
    <w:p w14:paraId="37A260F2"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Entes públicos.</w:t>
      </w:r>
    </w:p>
    <w:p w14:paraId="6B6DF6A2"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Existencia permanente.</w:t>
      </w:r>
    </w:p>
    <w:p w14:paraId="749B9311"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Revelación suficiente.</w:t>
      </w:r>
    </w:p>
    <w:p w14:paraId="0F65FAE0"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Importancia relativa.</w:t>
      </w:r>
    </w:p>
    <w:p w14:paraId="5656150D"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Registro e integración presupuestaria.</w:t>
      </w:r>
    </w:p>
    <w:p w14:paraId="3F727DF9"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Consolidación de la información financiera.</w:t>
      </w:r>
    </w:p>
    <w:p w14:paraId="265782AA"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Devengo contable.</w:t>
      </w:r>
    </w:p>
    <w:p w14:paraId="063C78FF"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Valuación.</w:t>
      </w:r>
    </w:p>
    <w:p w14:paraId="58FA7BD1" w14:textId="77777777" w:rsidR="006745FE" w:rsidRPr="00F525D7" w:rsidRDefault="006745FE" w:rsidP="006745FE">
      <w:pPr>
        <w:spacing w:after="0" w:line="240" w:lineRule="auto"/>
        <w:jc w:val="both"/>
        <w:rPr>
          <w:rFonts w:ascii="Arial" w:hAnsi="Arial" w:cs="Arial"/>
          <w:sz w:val="20"/>
          <w:szCs w:val="20"/>
        </w:rPr>
      </w:pPr>
      <w:r w:rsidRPr="00F525D7">
        <w:rPr>
          <w:rFonts w:ascii="Arial" w:hAnsi="Arial" w:cs="Arial"/>
          <w:sz w:val="20"/>
          <w:szCs w:val="20"/>
        </w:rPr>
        <w:t> Dualidad económica.</w:t>
      </w:r>
    </w:p>
    <w:p w14:paraId="1C6CEF13" w14:textId="77777777" w:rsidR="007D1E76" w:rsidRPr="00F525D7" w:rsidRDefault="006745FE" w:rsidP="006745FE">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w:t>
      </w:r>
      <w:r w:rsidR="00F525D7">
        <w:rPr>
          <w:rFonts w:ascii="Arial" w:hAnsi="Arial" w:cs="Arial"/>
          <w:sz w:val="20"/>
          <w:szCs w:val="20"/>
        </w:rPr>
        <w:t xml:space="preserve"> </w:t>
      </w:r>
      <w:r w:rsidRPr="00F525D7">
        <w:rPr>
          <w:rFonts w:ascii="Arial" w:hAnsi="Arial" w:cs="Arial"/>
          <w:sz w:val="20"/>
          <w:szCs w:val="20"/>
        </w:rPr>
        <w:t>Consistencia.</w:t>
      </w:r>
    </w:p>
    <w:p w14:paraId="1A1C5FD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D951D2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d)</w:t>
      </w:r>
      <w:r w:rsidRPr="00F525D7">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C8B8860"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Normas de Información Financiera (NIF), emitidas por el Consejo Mexicano de Normas de Información Financiera (CINIF).</w:t>
      </w:r>
    </w:p>
    <w:p w14:paraId="3FFBC1B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843404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Para las entidades que por primera vez estén implementando </w:t>
      </w:r>
      <w:r w:rsidR="005208D0" w:rsidRPr="00F525D7">
        <w:rPr>
          <w:rFonts w:ascii="Arial" w:hAnsi="Arial" w:cs="Arial"/>
          <w:sz w:val="20"/>
          <w:szCs w:val="20"/>
        </w:rPr>
        <w:t>la base devengada</w:t>
      </w:r>
      <w:r w:rsidRPr="00F525D7">
        <w:rPr>
          <w:rFonts w:ascii="Arial" w:hAnsi="Arial" w:cs="Arial"/>
          <w:sz w:val="20"/>
          <w:szCs w:val="20"/>
        </w:rPr>
        <w:t xml:space="preserve"> </w:t>
      </w:r>
      <w:proofErr w:type="gramStart"/>
      <w:r w:rsidRPr="00F525D7">
        <w:rPr>
          <w:rFonts w:ascii="Arial" w:hAnsi="Arial" w:cs="Arial"/>
          <w:sz w:val="20"/>
          <w:szCs w:val="20"/>
        </w:rPr>
        <w:t>de acuerdo a</w:t>
      </w:r>
      <w:proofErr w:type="gramEnd"/>
      <w:r w:rsidRPr="00F525D7">
        <w:rPr>
          <w:rFonts w:ascii="Arial" w:hAnsi="Arial" w:cs="Arial"/>
          <w:sz w:val="20"/>
          <w:szCs w:val="20"/>
        </w:rPr>
        <w:t xml:space="preserve"> la Ley de Contabilidad, deberán:</w:t>
      </w:r>
    </w:p>
    <w:p w14:paraId="0704CEF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E857D6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*Revelar las nuevas políticas de reconocimiento:</w:t>
      </w:r>
    </w:p>
    <w:p w14:paraId="42299D4F"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184A9F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978CFB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*Plan de implementación:</w:t>
      </w:r>
    </w:p>
    <w:p w14:paraId="5AC512F7"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575811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7E7519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*Revelar los cambios en las políticas, la clasificación y medición de </w:t>
      </w:r>
      <w:proofErr w:type="gramStart"/>
      <w:r w:rsidRPr="00F525D7">
        <w:rPr>
          <w:rFonts w:ascii="Arial" w:hAnsi="Arial" w:cs="Arial"/>
          <w:sz w:val="20"/>
          <w:szCs w:val="20"/>
        </w:rPr>
        <w:t>las mismas</w:t>
      </w:r>
      <w:proofErr w:type="gramEnd"/>
      <w:r w:rsidRPr="00F525D7">
        <w:rPr>
          <w:rFonts w:ascii="Arial" w:hAnsi="Arial" w:cs="Arial"/>
          <w:sz w:val="20"/>
          <w:szCs w:val="20"/>
        </w:rPr>
        <w:t>, así como su impacto en la información financiera:</w:t>
      </w:r>
    </w:p>
    <w:p w14:paraId="2032B53A" w14:textId="77777777" w:rsidR="007D1E76" w:rsidRPr="00F525D7" w:rsidRDefault="004B101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r w:rsidR="007B11FB" w:rsidRPr="00F525D7">
        <w:rPr>
          <w:rFonts w:ascii="Arial" w:hAnsi="Arial" w:cs="Arial"/>
          <w:sz w:val="20"/>
          <w:szCs w:val="20"/>
        </w:rPr>
        <w:t>.</w:t>
      </w:r>
    </w:p>
    <w:p w14:paraId="545F269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1587BB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A8F2E45" w14:textId="77777777" w:rsidR="007D1E76" w:rsidRPr="00F525D7" w:rsidRDefault="007675C0" w:rsidP="000C3365">
      <w:pPr>
        <w:pStyle w:val="Ttulo2"/>
        <w:rPr>
          <w:rFonts w:ascii="Arial" w:hAnsi="Arial" w:cs="Arial"/>
          <w:b/>
          <w:sz w:val="20"/>
          <w:szCs w:val="20"/>
        </w:rPr>
      </w:pPr>
      <w:bookmarkStart w:id="5" w:name="_Toc136601511"/>
      <w:r>
        <w:rPr>
          <w:rFonts w:ascii="Arial" w:hAnsi="Arial" w:cs="Arial"/>
          <w:b/>
          <w:color w:val="auto"/>
          <w:sz w:val="20"/>
          <w:szCs w:val="20"/>
        </w:rPr>
        <w:t>5</w:t>
      </w:r>
      <w:r w:rsidR="007D1E76" w:rsidRPr="00F525D7">
        <w:rPr>
          <w:rFonts w:ascii="Arial" w:hAnsi="Arial" w:cs="Arial"/>
          <w:b/>
          <w:color w:val="auto"/>
          <w:sz w:val="20"/>
          <w:szCs w:val="20"/>
        </w:rPr>
        <w:t>. Políticas de</w:t>
      </w:r>
      <w:r w:rsidR="00E00323" w:rsidRPr="00F525D7">
        <w:rPr>
          <w:rFonts w:ascii="Arial" w:hAnsi="Arial" w:cs="Arial"/>
          <w:b/>
          <w:color w:val="auto"/>
          <w:sz w:val="20"/>
          <w:szCs w:val="20"/>
        </w:rPr>
        <w:t xml:space="preserve"> Contabilidad Significativas:</w:t>
      </w:r>
      <w:bookmarkEnd w:id="5"/>
    </w:p>
    <w:p w14:paraId="01EEBA2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E69112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5FC4304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47E0C1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Actualización: se informará del método utilizado para la actualización del valor de los activos, pasivos y Hacienda Pública/</w:t>
      </w:r>
      <w:r w:rsidR="00657009" w:rsidRPr="00F525D7">
        <w:rPr>
          <w:rFonts w:ascii="Arial" w:hAnsi="Arial" w:cs="Arial"/>
          <w:sz w:val="20"/>
          <w:szCs w:val="20"/>
        </w:rPr>
        <w:t>P</w:t>
      </w:r>
      <w:r w:rsidRPr="00F525D7">
        <w:rPr>
          <w:rFonts w:ascii="Arial" w:hAnsi="Arial" w:cs="Arial"/>
          <w:sz w:val="20"/>
          <w:szCs w:val="20"/>
        </w:rPr>
        <w:t>atrimonio y las razones de dicha elección. Así como informar de la desconexión o reconexión inflacionaria:</w:t>
      </w:r>
    </w:p>
    <w:p w14:paraId="72A2631C"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A </w:t>
      </w:r>
      <w:r w:rsidR="005208D0" w:rsidRPr="00F525D7">
        <w:rPr>
          <w:rFonts w:ascii="Arial" w:hAnsi="Arial" w:cs="Arial"/>
          <w:sz w:val="20"/>
          <w:szCs w:val="20"/>
        </w:rPr>
        <w:t>continuación,</w:t>
      </w:r>
      <w:r w:rsidRPr="00F525D7">
        <w:rPr>
          <w:rFonts w:ascii="Arial" w:hAnsi="Arial" w:cs="Arial"/>
          <w:sz w:val="20"/>
          <w:szCs w:val="20"/>
        </w:rPr>
        <w:t xml:space="preserve"> se describen las políticas y prácticas contables seguidas de manera consistente por la Entidad en los años que se presentan, a menos que se especifique lo contrario.</w:t>
      </w:r>
    </w:p>
    <w:p w14:paraId="5AC10F1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El Marco Conceptual de Contabilidad Gubernamental requiere el uso de ciertas estimaciones contables en la preparación de estados financieros. Asimismo, se requiere el ejercicio de un juicio de parte de la Administración en el proceso de definición de las políticas de contabilidad de la Entidad.</w:t>
      </w:r>
    </w:p>
    <w:p w14:paraId="3B6C26F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p>
    <w:p w14:paraId="3F1EB9A0"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 Efectivo y equivalentes de efectivo:</w:t>
      </w:r>
    </w:p>
    <w:p w14:paraId="18C4134F"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Las inversiones financieras que tienen un plazo de vencimiento de hasta 91 días, son clasificadas como inversiones temporales; aquellas inversiones con plazo de vencimiento de 92 días hasta un </w:t>
      </w:r>
      <w:proofErr w:type="gramStart"/>
      <w:r w:rsidRPr="00F525D7">
        <w:rPr>
          <w:rFonts w:ascii="Arial" w:hAnsi="Arial" w:cs="Arial"/>
          <w:sz w:val="20"/>
          <w:szCs w:val="20"/>
        </w:rPr>
        <w:t>año,</w:t>
      </w:r>
      <w:proofErr w:type="gramEnd"/>
      <w:r w:rsidRPr="00F525D7">
        <w:rPr>
          <w:rFonts w:ascii="Arial" w:hAnsi="Arial" w:cs="Arial"/>
          <w:sz w:val="20"/>
          <w:szCs w:val="20"/>
        </w:rPr>
        <w:t xml:space="preserve"> son clasificadas como inversiones de corto plazo. Tanto las inversiones temporales como las de corto plazo se presentan en el activo circulante. Las inversiones con plazo de vencimiento mayor a un año se presentan dentro del activo no circulante.</w:t>
      </w:r>
    </w:p>
    <w:p w14:paraId="35256B8E"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779C06B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b. Cuentas por cobrar:</w:t>
      </w:r>
    </w:p>
    <w:p w14:paraId="37BA9C68"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Las cuentas por cobrar representan importes adeudados por clientes y son originadas por intereses sobre préstamos colocados, en el curso normal de las operaciones de la Entidad. Cuando se espera cobrarlas en un período de un año o menos desde la fecha de cierre (o en el ciclo normal de sus operaciones en el caso que este ciclo exceda este periodo), se presentan como activo circulante. En caso de no cumplir con lo anteriormente mencionado se presentan como activos no circulantes. Las otras cuentas por cobrar representan importes originados por otros ingresos diferentes a los intereses sobre préstamos colocados, en el curso normal de las operaciones de la Entidad; las cuales se espera cobrar en un periodo de un año o menos desde la fecha de cierre (o en el ciclo normal de operaciones de la Entidad en el caso que este ciclo exceda este periodo), se presentan como activo circulante. En caso de no cumplir con lo anteriormente mencionado se presentan como activos no circulantes. Las cuentas por cobrar se reconocen inicialmente a su valor razonable menos la reserva por incobrabilidad, en caso de corresponder.</w:t>
      </w:r>
    </w:p>
    <w:p w14:paraId="0D0F1A6D" w14:textId="77777777" w:rsidR="00A84C72" w:rsidRDefault="00A84C72" w:rsidP="007B11FB">
      <w:pPr>
        <w:autoSpaceDE w:val="0"/>
        <w:autoSpaceDN w:val="0"/>
        <w:adjustRightInd w:val="0"/>
        <w:spacing w:after="0" w:line="240" w:lineRule="auto"/>
        <w:jc w:val="both"/>
        <w:rPr>
          <w:rFonts w:ascii="Arial" w:hAnsi="Arial" w:cs="Arial"/>
          <w:sz w:val="20"/>
          <w:szCs w:val="20"/>
        </w:rPr>
      </w:pPr>
    </w:p>
    <w:p w14:paraId="17757681" w14:textId="77777777" w:rsidR="00F525D7" w:rsidRPr="00F525D7" w:rsidRDefault="00F525D7" w:rsidP="007B11FB">
      <w:pPr>
        <w:autoSpaceDE w:val="0"/>
        <w:autoSpaceDN w:val="0"/>
        <w:adjustRightInd w:val="0"/>
        <w:spacing w:after="0" w:line="240" w:lineRule="auto"/>
        <w:jc w:val="both"/>
        <w:rPr>
          <w:rFonts w:ascii="Arial" w:hAnsi="Arial" w:cs="Arial"/>
          <w:sz w:val="20"/>
          <w:szCs w:val="20"/>
        </w:rPr>
      </w:pPr>
    </w:p>
    <w:p w14:paraId="1050017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lastRenderedPageBreak/>
        <w:t>c. Préstamos otorgados:</w:t>
      </w:r>
    </w:p>
    <w:p w14:paraId="6854FA7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Dichos préstamos se registran en el momento en que se otorgan. Los intereses por devengar de los préstamos otorgados se reconocen en los resultados conforme se devengan. Los préstamos, se presentan </w:t>
      </w:r>
      <w:proofErr w:type="gramStart"/>
      <w:r w:rsidRPr="00F525D7">
        <w:rPr>
          <w:rFonts w:ascii="Arial" w:hAnsi="Arial" w:cs="Arial"/>
          <w:sz w:val="20"/>
          <w:szCs w:val="20"/>
        </w:rPr>
        <w:t>de acuerdo a</w:t>
      </w:r>
      <w:proofErr w:type="gramEnd"/>
      <w:r w:rsidRPr="00F525D7">
        <w:rPr>
          <w:rFonts w:ascii="Arial" w:hAnsi="Arial" w:cs="Arial"/>
          <w:sz w:val="20"/>
          <w:szCs w:val="20"/>
        </w:rPr>
        <w:t xml:space="preserve"> su plazo de recuperación, dentro del activo circulante se muestran aquellos cuyo vencimiento está dentro de los 12 meses posteriores al cierre del ejercicio, en tanto que en el activo no circulante se presentan aquellos préstamos que exceden del plazo antes mencionado.</w:t>
      </w:r>
    </w:p>
    <w:p w14:paraId="1F195E9B"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2B4F1CB4"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d. Pagos anticipados:</w:t>
      </w:r>
    </w:p>
    <w:p w14:paraId="150CE84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Los pagos anticipados representan aquellas erogaciones efectuadas por la Entidad en donde no han sido transferidos los beneficios y riesgos inherentes a los bienes que está por adquirir o a los servicios que está por recibir. Los pagos anticipados se registran a su costo y se presentan en el estado de situación financiera como activos circulantes o no circulantes, dependiendo del rubro de la partida de destino. Una vez recibidos los bienes y/o servicios, relativos a los pagos anticipados, estos deben reconocerse como un activo o como un gasto en el estado de actividades del periodo, respectivamente.</w:t>
      </w:r>
    </w:p>
    <w:p w14:paraId="2B38B3AE" w14:textId="77777777" w:rsidR="00136C10" w:rsidRPr="00F525D7" w:rsidRDefault="00136C10" w:rsidP="007B11FB">
      <w:pPr>
        <w:autoSpaceDE w:val="0"/>
        <w:autoSpaceDN w:val="0"/>
        <w:adjustRightInd w:val="0"/>
        <w:spacing w:after="0" w:line="240" w:lineRule="auto"/>
        <w:jc w:val="both"/>
        <w:rPr>
          <w:rFonts w:ascii="Arial" w:hAnsi="Arial" w:cs="Arial"/>
          <w:sz w:val="20"/>
          <w:szCs w:val="20"/>
        </w:rPr>
      </w:pPr>
    </w:p>
    <w:p w14:paraId="3951EEA8"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 Bienes muebles:</w:t>
      </w:r>
    </w:p>
    <w:p w14:paraId="173D71B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Los bienes muebles, se expresan a su costo de adquisición (histórico). La depreciación se calcula por el método de línea recta con base en las vidas útiles de los activos y porcentajes de </w:t>
      </w:r>
      <w:r w:rsidR="005208D0" w:rsidRPr="00F525D7">
        <w:rPr>
          <w:rFonts w:ascii="Arial" w:hAnsi="Arial" w:cs="Arial"/>
          <w:sz w:val="20"/>
          <w:szCs w:val="20"/>
        </w:rPr>
        <w:t>depreciación, aplicadas</w:t>
      </w:r>
      <w:r w:rsidRPr="00F525D7">
        <w:rPr>
          <w:rFonts w:ascii="Arial" w:hAnsi="Arial" w:cs="Arial"/>
          <w:sz w:val="20"/>
          <w:szCs w:val="20"/>
        </w:rPr>
        <w:t xml:space="preserve"> a los valores de los bienes muebles.</w:t>
      </w:r>
    </w:p>
    <w:p w14:paraId="2B3FFBF4"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0B1994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f. Bienes adjudicados:</w:t>
      </w:r>
    </w:p>
    <w:p w14:paraId="485135B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Los bienes adjudicados que se conforman de bienes </w:t>
      </w:r>
      <w:proofErr w:type="gramStart"/>
      <w:r w:rsidRPr="00F525D7">
        <w:rPr>
          <w:rFonts w:ascii="Arial" w:hAnsi="Arial" w:cs="Arial"/>
          <w:sz w:val="20"/>
          <w:szCs w:val="20"/>
        </w:rPr>
        <w:t>inmuebles,</w:t>
      </w:r>
      <w:proofErr w:type="gramEnd"/>
      <w:r w:rsidRPr="00F525D7">
        <w:rPr>
          <w:rFonts w:ascii="Arial" w:hAnsi="Arial" w:cs="Arial"/>
          <w:sz w:val="20"/>
          <w:szCs w:val="20"/>
        </w:rPr>
        <w:t xml:space="preserve"> se expresan a su costo de mercado, el cual es determinado mediante avalúo, al momento de su adjudicación.</w:t>
      </w:r>
    </w:p>
    <w:p w14:paraId="6E879FC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 xml:space="preserve">Los bienes inmuebles, deben ser sometidos a pruebas anuales de deterioro únicamente, cuando se identifican indicios de deterioro. </w:t>
      </w:r>
    </w:p>
    <w:p w14:paraId="64096264"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710931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g. Provisiones:</w:t>
      </w:r>
    </w:p>
    <w:p w14:paraId="31E7770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 Estas provisiones se han registrado bajo la mejor estimación realizada por la Administración.</w:t>
      </w:r>
    </w:p>
    <w:p w14:paraId="17CE1EB0"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597C02EE"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h. Beneficios a los empleados:</w:t>
      </w:r>
    </w:p>
    <w:p w14:paraId="058938C2"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 Entidad no tiene planes de beneficios a los empleados de contribución definida, con excepción de las requeridas por las leyes de seguridad social. Los beneficios directos a corto y largo plazos (sueldos, salarios, aguinaldos, vacaciones y primas sobre las mismas, etc.) se reconocen en los gastos conforme se devengan y sus pasivos se expresan a su valor nominal. En el caso de ausencias retribuidas conforme a las disposiciones legales o contractuales, estas no son acumulativas. Los beneficios por terminación de la relación laboral por causas distintas a la reestructura (indemnizaciones legales por despido, prima de antigüedad por las causas de muerte, invalidez, despido y separación voluntaria antes de la fecha de jubilación o de retiro sustitutivo de jubilación, gratificaciones adicionales, y servicios médicos, etc.), son registrados con base en estudios realizados por el personal de la Entidad.</w:t>
      </w:r>
    </w:p>
    <w:p w14:paraId="7C532B36"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1DADB46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i. Reconocimiento de ingresos:</w:t>
      </w:r>
    </w:p>
    <w:p w14:paraId="2BEF6C2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Los ingresos por las actividades del FOGIM se reconocen en el resultado del ejercicio cuando se cumple lo siguiente:</w:t>
      </w:r>
    </w:p>
    <w:p w14:paraId="1B15C521"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w:t>
      </w:r>
      <w:r w:rsidR="007B11FB" w:rsidRPr="00F525D7">
        <w:rPr>
          <w:rFonts w:ascii="Arial" w:hAnsi="Arial" w:cs="Arial"/>
          <w:sz w:val="20"/>
          <w:szCs w:val="20"/>
        </w:rPr>
        <w:t>) Los ingresos por transferencias y aportaciones se reconocen en el momento en que se reciben y/o se devengan.</w:t>
      </w:r>
    </w:p>
    <w:p w14:paraId="2D38411B"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ll</w:t>
      </w:r>
      <w:r w:rsidR="007B11FB" w:rsidRPr="00F525D7">
        <w:rPr>
          <w:rFonts w:ascii="Arial" w:hAnsi="Arial" w:cs="Arial"/>
          <w:sz w:val="20"/>
          <w:szCs w:val="20"/>
        </w:rPr>
        <w:t>) La ganancia en inversiones temporales, se reconocen cuando se devengan.</w:t>
      </w:r>
    </w:p>
    <w:p w14:paraId="62267289" w14:textId="77777777" w:rsidR="007B11FB" w:rsidRPr="00F525D7" w:rsidRDefault="00006FCA" w:rsidP="007B11FB">
      <w:pPr>
        <w:autoSpaceDE w:val="0"/>
        <w:autoSpaceDN w:val="0"/>
        <w:adjustRightInd w:val="0"/>
        <w:spacing w:after="0" w:line="240" w:lineRule="auto"/>
        <w:jc w:val="both"/>
        <w:rPr>
          <w:rFonts w:ascii="Arial" w:hAnsi="Arial" w:cs="Arial"/>
          <w:sz w:val="20"/>
          <w:szCs w:val="20"/>
        </w:rPr>
      </w:pPr>
      <w:proofErr w:type="spellStart"/>
      <w:r>
        <w:rPr>
          <w:rFonts w:ascii="Arial" w:hAnsi="Arial" w:cs="Arial"/>
          <w:sz w:val="20"/>
          <w:szCs w:val="20"/>
        </w:rPr>
        <w:t>lll</w:t>
      </w:r>
      <w:proofErr w:type="spellEnd"/>
      <w:r w:rsidR="007B11FB" w:rsidRPr="00F525D7">
        <w:rPr>
          <w:rFonts w:ascii="Arial" w:hAnsi="Arial" w:cs="Arial"/>
          <w:sz w:val="20"/>
          <w:szCs w:val="20"/>
        </w:rPr>
        <w:t xml:space="preserve">) Los ingresos por intereses se reconocen en el momento en que se devengan </w:t>
      </w:r>
      <w:proofErr w:type="gramStart"/>
      <w:r w:rsidR="007B11FB" w:rsidRPr="00F525D7">
        <w:rPr>
          <w:rFonts w:ascii="Arial" w:hAnsi="Arial" w:cs="Arial"/>
          <w:sz w:val="20"/>
          <w:szCs w:val="20"/>
        </w:rPr>
        <w:t>de acuerdo a</w:t>
      </w:r>
      <w:proofErr w:type="gramEnd"/>
      <w:r w:rsidR="007B11FB" w:rsidRPr="00F525D7">
        <w:rPr>
          <w:rFonts w:ascii="Arial" w:hAnsi="Arial" w:cs="Arial"/>
          <w:sz w:val="20"/>
          <w:szCs w:val="20"/>
        </w:rPr>
        <w:t xml:space="preserve"> los contratos respectivos.</w:t>
      </w:r>
    </w:p>
    <w:p w14:paraId="7804E7C7" w14:textId="77777777" w:rsidR="00A84C72" w:rsidRDefault="00A84C72" w:rsidP="007B11FB">
      <w:pPr>
        <w:autoSpaceDE w:val="0"/>
        <w:autoSpaceDN w:val="0"/>
        <w:adjustRightInd w:val="0"/>
        <w:spacing w:after="0" w:line="240" w:lineRule="auto"/>
        <w:jc w:val="both"/>
        <w:rPr>
          <w:rFonts w:ascii="Arial" w:hAnsi="Arial" w:cs="Arial"/>
          <w:sz w:val="20"/>
          <w:szCs w:val="20"/>
        </w:rPr>
      </w:pPr>
    </w:p>
    <w:p w14:paraId="6F3CC0B7" w14:textId="77777777" w:rsidR="00F525D7" w:rsidRPr="00F525D7" w:rsidRDefault="00F525D7" w:rsidP="007B11FB">
      <w:pPr>
        <w:autoSpaceDE w:val="0"/>
        <w:autoSpaceDN w:val="0"/>
        <w:adjustRightInd w:val="0"/>
        <w:spacing w:after="0" w:line="240" w:lineRule="auto"/>
        <w:jc w:val="both"/>
        <w:rPr>
          <w:rFonts w:ascii="Arial" w:hAnsi="Arial" w:cs="Arial"/>
          <w:sz w:val="20"/>
          <w:szCs w:val="20"/>
        </w:rPr>
      </w:pPr>
    </w:p>
    <w:p w14:paraId="08BA1D67"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lastRenderedPageBreak/>
        <w:t>j. Otras estimaciones para ingresos:</w:t>
      </w:r>
    </w:p>
    <w:p w14:paraId="6706A1B4"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w:t>
      </w:r>
    </w:p>
    <w:p w14:paraId="04765375" w14:textId="77777777" w:rsidR="00A84C72" w:rsidRPr="00F525D7" w:rsidRDefault="00A84C72" w:rsidP="007B11FB">
      <w:pPr>
        <w:autoSpaceDE w:val="0"/>
        <w:autoSpaceDN w:val="0"/>
        <w:adjustRightInd w:val="0"/>
        <w:spacing w:after="0" w:line="240" w:lineRule="auto"/>
        <w:jc w:val="both"/>
        <w:rPr>
          <w:rFonts w:ascii="Arial" w:hAnsi="Arial" w:cs="Arial"/>
          <w:sz w:val="20"/>
          <w:szCs w:val="20"/>
        </w:rPr>
      </w:pPr>
    </w:p>
    <w:p w14:paraId="4A6C538B"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k. Cuentas de orden:</w:t>
      </w:r>
    </w:p>
    <w:p w14:paraId="38CDE37F"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La Entidad lleva el control de las cuentas de orden </w:t>
      </w:r>
      <w:proofErr w:type="gramStart"/>
      <w:r w:rsidRPr="00F525D7">
        <w:rPr>
          <w:rFonts w:ascii="Arial" w:hAnsi="Arial" w:cs="Arial"/>
          <w:sz w:val="20"/>
          <w:szCs w:val="20"/>
        </w:rPr>
        <w:t>de acuerdo a</w:t>
      </w:r>
      <w:proofErr w:type="gramEnd"/>
      <w:r w:rsidRPr="00F525D7">
        <w:rPr>
          <w:rFonts w:ascii="Arial" w:hAnsi="Arial" w:cs="Arial"/>
          <w:sz w:val="20"/>
          <w:szCs w:val="20"/>
        </w:rPr>
        <w:t xml:space="preserve"> conceptos particulares de su operación.</w:t>
      </w:r>
    </w:p>
    <w:p w14:paraId="4D9D5D7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917B8B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Informar sobre la realización de operaciones en el extranjero y de sus efectos en la información financiera gubernamental:</w:t>
      </w:r>
    </w:p>
    <w:p w14:paraId="0E16CC9B"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BB414A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68902F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Método de valuación de la inversión en acciones de Compañías subsidiarias no consolidadas y asociadas:</w:t>
      </w:r>
    </w:p>
    <w:p w14:paraId="31429AD6"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33AE1E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4FA274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Sistema y método de valuación de inventarios y costo de lo vendido:</w:t>
      </w:r>
    </w:p>
    <w:p w14:paraId="6BC28585"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089234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81AF3E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4D0B6C43" w14:textId="77777777" w:rsidR="00006FCA" w:rsidRDefault="00006FCA" w:rsidP="007B11FB">
      <w:pPr>
        <w:autoSpaceDE w:val="0"/>
        <w:autoSpaceDN w:val="0"/>
        <w:adjustRightInd w:val="0"/>
        <w:spacing w:after="0" w:line="240" w:lineRule="auto"/>
        <w:jc w:val="both"/>
        <w:rPr>
          <w:rFonts w:ascii="Arial" w:hAnsi="Arial" w:cs="Arial"/>
          <w:sz w:val="20"/>
          <w:szCs w:val="20"/>
        </w:rPr>
      </w:pPr>
    </w:p>
    <w:p w14:paraId="4A451889"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El valor presente de las obligaciones por pensiones depende de un número de premisas que se determinan sobre bases legales por despido, utilizando varios supuestos. Cualquier cambio a estos supuestos afectaría el pasivo reconocido.</w:t>
      </w:r>
    </w:p>
    <w:p w14:paraId="57CB239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p>
    <w:p w14:paraId="27209625"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Al cierre de cada mes se calcula sobre la base de finiquitar a cada empleado, base en el establecido en la</w:t>
      </w:r>
    </w:p>
    <w:p w14:paraId="282CD7D1"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Ley Federal del Trabajo, determinado sobre la base del sueldo por los días trabajados, lo siguiente:</w:t>
      </w:r>
    </w:p>
    <w:p w14:paraId="5B60469D"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Aguinaldo 45 días por año</w:t>
      </w:r>
    </w:p>
    <w:p w14:paraId="1781DF23"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Prima de antigüedad 12 días por año</w:t>
      </w:r>
    </w:p>
    <w:p w14:paraId="6C59FCFB"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Indemnización 3 meses</w:t>
      </w:r>
    </w:p>
    <w:p w14:paraId="534B1D06" w14:textId="77777777" w:rsidR="007B11FB" w:rsidRPr="00F525D7" w:rsidRDefault="007B11FB" w:rsidP="007B11FB">
      <w:pPr>
        <w:autoSpaceDE w:val="0"/>
        <w:autoSpaceDN w:val="0"/>
        <w:adjustRightInd w:val="0"/>
        <w:spacing w:after="0" w:line="240" w:lineRule="auto"/>
        <w:jc w:val="both"/>
        <w:rPr>
          <w:rFonts w:ascii="Arial" w:hAnsi="Arial" w:cs="Arial"/>
          <w:sz w:val="20"/>
          <w:szCs w:val="20"/>
        </w:rPr>
      </w:pPr>
      <w:r w:rsidRPr="00F525D7">
        <w:rPr>
          <w:rFonts w:ascii="Arial" w:hAnsi="Arial" w:cs="Arial"/>
          <w:sz w:val="20"/>
          <w:szCs w:val="20"/>
        </w:rPr>
        <w:t>Vacaciones 20 días por año</w:t>
      </w:r>
    </w:p>
    <w:p w14:paraId="03A54221"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Prima Vacacional 25% sobre el total de las percepciones otorgadas.</w:t>
      </w:r>
    </w:p>
    <w:p w14:paraId="75E6A26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F084D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f)</w:t>
      </w:r>
      <w:r w:rsidRPr="00F525D7">
        <w:rPr>
          <w:rFonts w:ascii="Arial" w:hAnsi="Arial" w:cs="Arial"/>
          <w:sz w:val="20"/>
          <w:szCs w:val="20"/>
        </w:rPr>
        <w:t xml:space="preserve"> Provisiones: objetivo de su creación, monto y plazo:</w:t>
      </w:r>
    </w:p>
    <w:p w14:paraId="4525BE1E" w14:textId="77777777" w:rsidR="00A06826" w:rsidRDefault="00A06826" w:rsidP="00CB41C4">
      <w:pPr>
        <w:tabs>
          <w:tab w:val="left" w:leader="underscore" w:pos="9639"/>
        </w:tabs>
        <w:spacing w:after="0" w:line="240" w:lineRule="auto"/>
        <w:jc w:val="both"/>
        <w:rPr>
          <w:rFonts w:ascii="Arial" w:hAnsi="Arial" w:cs="Arial"/>
          <w:sz w:val="20"/>
          <w:szCs w:val="20"/>
          <w:lang w:eastAsia="es-MX"/>
        </w:rPr>
      </w:pPr>
    </w:p>
    <w:p w14:paraId="53FB68B4" w14:textId="77777777" w:rsidR="007D1E76" w:rsidRPr="00F525D7" w:rsidRDefault="007B11FB"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lang w:eastAsia="es-MX"/>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w:t>
      </w:r>
    </w:p>
    <w:p w14:paraId="6EEC992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5BB7BB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Reservas: objetivo de su creación, monto y plazo:</w:t>
      </w:r>
    </w:p>
    <w:p w14:paraId="0486686A" w14:textId="77777777" w:rsidR="00A06826" w:rsidRDefault="00A06826" w:rsidP="007B11FB">
      <w:pPr>
        <w:jc w:val="both"/>
        <w:rPr>
          <w:rFonts w:ascii="Arial" w:hAnsi="Arial" w:cs="Arial"/>
          <w:sz w:val="20"/>
          <w:szCs w:val="20"/>
          <w:lang w:eastAsia="es-MX"/>
        </w:rPr>
      </w:pPr>
    </w:p>
    <w:p w14:paraId="336055D1" w14:textId="77777777" w:rsidR="007B11FB" w:rsidRPr="00F525D7" w:rsidRDefault="007B11FB" w:rsidP="007B11FB">
      <w:pPr>
        <w:jc w:val="both"/>
        <w:rPr>
          <w:rFonts w:ascii="Arial" w:hAnsi="Arial" w:cs="Arial"/>
          <w:sz w:val="20"/>
          <w:szCs w:val="20"/>
          <w:lang w:eastAsia="es-MX"/>
        </w:rPr>
      </w:pPr>
      <w:r w:rsidRPr="00F525D7">
        <w:rPr>
          <w:rFonts w:ascii="Arial" w:hAnsi="Arial" w:cs="Arial"/>
          <w:sz w:val="20"/>
          <w:szCs w:val="20"/>
          <w:lang w:eastAsia="es-MX"/>
        </w:rPr>
        <w:t xml:space="preserve">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 </w:t>
      </w:r>
      <w:r w:rsidRPr="00F525D7">
        <w:rPr>
          <w:rFonts w:ascii="Arial" w:hAnsi="Arial" w:cs="Arial"/>
          <w:sz w:val="20"/>
          <w:szCs w:val="20"/>
        </w:rPr>
        <w:t>La estimación citada, corresponde únicamente a la porción del principal e intereses vencidos, la cual se determina únicamente una vez al año a través de la calificación de la cartera conforme a la metodología autorizada por el Comité Técnico.</w:t>
      </w:r>
      <w:r w:rsidRPr="00F525D7">
        <w:rPr>
          <w:rFonts w:ascii="Arial" w:hAnsi="Arial" w:cs="Arial"/>
          <w:sz w:val="20"/>
          <w:szCs w:val="20"/>
          <w:lang w:eastAsia="es-MX"/>
        </w:rPr>
        <w:t xml:space="preserve"> </w:t>
      </w:r>
      <w:r w:rsidRPr="00F525D7">
        <w:rPr>
          <w:rFonts w:ascii="Arial" w:hAnsi="Arial" w:cs="Arial"/>
          <w:sz w:val="20"/>
          <w:szCs w:val="20"/>
        </w:rPr>
        <w:t>La calificación de cartera crediticia tiene como objetivo el determinar la calidad de los activos de crédito y su grado de recuperación, para a su vez determinar las reservas que deberán constituirse y contra las cuales se deberán aplicar los créditos irrecuperables, o las pérdidas derivadas de la falta de recuperación total de los mismos.</w:t>
      </w:r>
    </w:p>
    <w:p w14:paraId="11C90C52" w14:textId="77777777" w:rsidR="007B11FB" w:rsidRPr="00F525D7" w:rsidRDefault="007B11FB" w:rsidP="007B11FB">
      <w:pPr>
        <w:widowControl w:val="0"/>
        <w:tabs>
          <w:tab w:val="left" w:pos="1701"/>
        </w:tabs>
        <w:jc w:val="both"/>
        <w:rPr>
          <w:rFonts w:ascii="Arial" w:hAnsi="Arial" w:cs="Arial"/>
          <w:sz w:val="20"/>
          <w:szCs w:val="20"/>
        </w:rPr>
      </w:pPr>
      <w:r w:rsidRPr="00F525D7">
        <w:rPr>
          <w:rFonts w:ascii="Arial" w:hAnsi="Arial" w:cs="Arial"/>
          <w:sz w:val="20"/>
          <w:szCs w:val="20"/>
        </w:rPr>
        <w:lastRenderedPageBreak/>
        <w:tab/>
        <w:t>La metodología de calificación de cartera autorizada por el Comité Técnico consiste en las siguientes bases:</w:t>
      </w:r>
    </w:p>
    <w:p w14:paraId="68EA4DA6" w14:textId="77777777" w:rsidR="007B11FB" w:rsidRPr="00F525D7" w:rsidRDefault="007B11FB" w:rsidP="007B11FB">
      <w:pPr>
        <w:numPr>
          <w:ilvl w:val="0"/>
          <w:numId w:val="4"/>
        </w:numPr>
        <w:spacing w:after="0" w:line="240" w:lineRule="auto"/>
        <w:ind w:left="0" w:right="51" w:firstLine="0"/>
        <w:jc w:val="both"/>
        <w:rPr>
          <w:rFonts w:ascii="Arial" w:hAnsi="Arial" w:cs="Arial"/>
          <w:b/>
          <w:bCs/>
          <w:i/>
          <w:sz w:val="20"/>
          <w:szCs w:val="20"/>
        </w:rPr>
      </w:pPr>
      <w:r w:rsidRPr="00F525D7">
        <w:rPr>
          <w:rFonts w:ascii="Arial" w:hAnsi="Arial" w:cs="Arial"/>
          <w:b/>
          <w:bCs/>
          <w:i/>
          <w:sz w:val="20"/>
          <w:szCs w:val="20"/>
        </w:rPr>
        <w:t>Estratificación de la cartera</w:t>
      </w:r>
      <w:r w:rsidRPr="00F525D7">
        <w:rPr>
          <w:rFonts w:ascii="Arial" w:hAnsi="Arial" w:cs="Arial"/>
          <w:bCs/>
          <w:i/>
          <w:sz w:val="20"/>
          <w:szCs w:val="20"/>
        </w:rPr>
        <w:t xml:space="preserve"> -</w:t>
      </w:r>
      <w:r w:rsidRPr="00F525D7">
        <w:rPr>
          <w:rFonts w:ascii="Arial" w:hAnsi="Arial" w:cs="Arial"/>
          <w:b/>
          <w:bCs/>
          <w:i/>
          <w:sz w:val="20"/>
          <w:szCs w:val="20"/>
        </w:rPr>
        <w:t xml:space="preserve"> </w:t>
      </w:r>
      <w:r w:rsidRPr="00F525D7">
        <w:rPr>
          <w:rFonts w:ascii="Arial" w:hAnsi="Arial" w:cs="Arial"/>
          <w:sz w:val="20"/>
          <w:szCs w:val="20"/>
        </w:rPr>
        <w:t>Se estratificará la totalidad de la cartera en función al número de períodos que reporten incumplimiento de pago total o parcial a la fecha de la calificación, utilizando los datos de por lo menos los doce meses anteriores a dicha fecha y en el caso de cartera nueva, los disponibles en el momento de la calificación clasificándola conforme a lo siguiente:</w:t>
      </w:r>
    </w:p>
    <w:p w14:paraId="7FB1CB6B" w14:textId="77777777" w:rsidR="007B11FB" w:rsidRPr="00F525D7" w:rsidRDefault="007B11FB" w:rsidP="007B11FB">
      <w:pPr>
        <w:widowControl w:val="0"/>
        <w:tabs>
          <w:tab w:val="left" w:pos="867"/>
          <w:tab w:val="left" w:pos="1276"/>
        </w:tabs>
        <w:jc w:val="both"/>
        <w:rPr>
          <w:rFonts w:ascii="Arial" w:hAnsi="Arial" w:cs="Arial"/>
          <w:sz w:val="20"/>
          <w:szCs w:val="20"/>
        </w:rPr>
      </w:pPr>
    </w:p>
    <w:p w14:paraId="62D5BA36" w14:textId="77777777" w:rsidR="007B11FB" w:rsidRPr="00F525D7"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b/>
          <w:bCs/>
          <w:sz w:val="20"/>
          <w:szCs w:val="20"/>
        </w:rPr>
        <w:t xml:space="preserve">Cartera sin garantía: </w:t>
      </w:r>
      <w:r w:rsidRPr="00F525D7">
        <w:rPr>
          <w:rFonts w:ascii="Arial" w:hAnsi="Arial" w:cs="Arial"/>
          <w:sz w:val="20"/>
          <w:szCs w:val="20"/>
        </w:rPr>
        <w:t xml:space="preserve">La Cartera Crediticia que no ha sido sujeta de una reestructuración como resultado del </w:t>
      </w:r>
      <w:proofErr w:type="spellStart"/>
      <w:r w:rsidRPr="00F525D7">
        <w:rPr>
          <w:rFonts w:ascii="Arial" w:hAnsi="Arial" w:cs="Arial"/>
          <w:sz w:val="20"/>
          <w:szCs w:val="20"/>
        </w:rPr>
        <w:t>emproblemamiento</w:t>
      </w:r>
      <w:proofErr w:type="spellEnd"/>
      <w:r w:rsidRPr="00F525D7">
        <w:rPr>
          <w:rFonts w:ascii="Arial" w:hAnsi="Arial" w:cs="Arial"/>
          <w:sz w:val="20"/>
          <w:szCs w:val="20"/>
        </w:rPr>
        <w:t xml:space="preserve"> de la misma, se provisionará con base en los porcentajes correspondientes de la columna que se identifica como "Créditos con reestructura", conforme </w:t>
      </w:r>
      <w:r w:rsidR="005208D0" w:rsidRPr="00F525D7">
        <w:rPr>
          <w:rFonts w:ascii="Arial" w:hAnsi="Arial" w:cs="Arial"/>
          <w:sz w:val="20"/>
          <w:szCs w:val="20"/>
        </w:rPr>
        <w:t>a la</w:t>
      </w:r>
      <w:r w:rsidRPr="00F525D7">
        <w:rPr>
          <w:rFonts w:ascii="Arial" w:hAnsi="Arial" w:cs="Arial"/>
          <w:sz w:val="20"/>
          <w:szCs w:val="20"/>
        </w:rPr>
        <w:t xml:space="preserve"> tabla prevista en el numeral II A de la metodología, en caso de no contar con reestructura se provisionará con base en los porcentajes de la columna que se identifica como “Créditos sin reestructura”.</w:t>
      </w:r>
    </w:p>
    <w:p w14:paraId="3C558AA6" w14:textId="77777777" w:rsidR="007B11FB" w:rsidRPr="00F525D7" w:rsidRDefault="007B11FB" w:rsidP="007B11FB">
      <w:pPr>
        <w:widowControl w:val="0"/>
        <w:tabs>
          <w:tab w:val="left" w:pos="867"/>
          <w:tab w:val="left" w:pos="1276"/>
        </w:tabs>
        <w:jc w:val="both"/>
        <w:rPr>
          <w:rFonts w:ascii="Arial" w:hAnsi="Arial" w:cs="Arial"/>
          <w:sz w:val="20"/>
          <w:szCs w:val="20"/>
        </w:rPr>
      </w:pPr>
    </w:p>
    <w:p w14:paraId="38B4E4C3" w14:textId="77777777" w:rsidR="007B11FB" w:rsidRPr="00F525D7"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b/>
          <w:bCs/>
          <w:sz w:val="20"/>
          <w:szCs w:val="20"/>
        </w:rPr>
        <w:t xml:space="preserve">Cartera con garantía: </w:t>
      </w:r>
      <w:r w:rsidRPr="00F525D7">
        <w:rPr>
          <w:rFonts w:ascii="Arial" w:hAnsi="Arial" w:cs="Arial"/>
          <w:sz w:val="20"/>
          <w:szCs w:val="20"/>
        </w:rPr>
        <w:t xml:space="preserve">La Cartera Crediticia que no ha sido sujeta de una reestructuración como resultado del </w:t>
      </w:r>
      <w:proofErr w:type="spellStart"/>
      <w:r w:rsidRPr="00F525D7">
        <w:rPr>
          <w:rFonts w:ascii="Arial" w:hAnsi="Arial" w:cs="Arial"/>
          <w:sz w:val="20"/>
          <w:szCs w:val="20"/>
        </w:rPr>
        <w:t>emproblemamiento</w:t>
      </w:r>
      <w:proofErr w:type="spellEnd"/>
      <w:r w:rsidRPr="00F525D7">
        <w:rPr>
          <w:rFonts w:ascii="Arial" w:hAnsi="Arial" w:cs="Arial"/>
          <w:sz w:val="20"/>
          <w:szCs w:val="20"/>
        </w:rPr>
        <w:t xml:space="preserve"> de la misma, se provisionará con base en los porcentajes correspondientes de la columna que se identifica como "Créditos con reestructura", conforme </w:t>
      </w:r>
      <w:r w:rsidR="005208D0" w:rsidRPr="00F525D7">
        <w:rPr>
          <w:rFonts w:ascii="Arial" w:hAnsi="Arial" w:cs="Arial"/>
          <w:sz w:val="20"/>
          <w:szCs w:val="20"/>
        </w:rPr>
        <w:t>a la</w:t>
      </w:r>
      <w:r w:rsidRPr="00F525D7">
        <w:rPr>
          <w:rFonts w:ascii="Arial" w:hAnsi="Arial" w:cs="Arial"/>
          <w:sz w:val="20"/>
          <w:szCs w:val="20"/>
        </w:rPr>
        <w:t xml:space="preserve"> tabla prevista en el numeral II B de la metodología, en caso de no contar con reestructura se provisionará con base en los porcentajes de la columna que se identifica como “Créditos sin reestructura”.</w:t>
      </w:r>
    </w:p>
    <w:p w14:paraId="0EB8DA3E" w14:textId="77777777" w:rsidR="00136C10" w:rsidRPr="00F525D7" w:rsidRDefault="00136C10" w:rsidP="00136C10">
      <w:pPr>
        <w:widowControl w:val="0"/>
        <w:tabs>
          <w:tab w:val="left" w:pos="867"/>
          <w:tab w:val="left" w:pos="1276"/>
        </w:tabs>
        <w:spacing w:after="0" w:line="240" w:lineRule="auto"/>
        <w:jc w:val="both"/>
        <w:rPr>
          <w:rFonts w:ascii="Arial" w:hAnsi="Arial" w:cs="Arial"/>
          <w:sz w:val="20"/>
          <w:szCs w:val="20"/>
        </w:rPr>
      </w:pPr>
    </w:p>
    <w:p w14:paraId="64994859" w14:textId="77777777" w:rsidR="007B11FB" w:rsidRPr="00F525D7" w:rsidRDefault="007B11FB" w:rsidP="007B11FB">
      <w:pPr>
        <w:widowControl w:val="0"/>
        <w:numPr>
          <w:ilvl w:val="0"/>
          <w:numId w:val="4"/>
        </w:numPr>
        <w:tabs>
          <w:tab w:val="left" w:pos="867"/>
          <w:tab w:val="left" w:pos="1276"/>
        </w:tabs>
        <w:spacing w:after="0" w:line="240" w:lineRule="auto"/>
        <w:ind w:left="0" w:firstLine="0"/>
        <w:jc w:val="both"/>
        <w:rPr>
          <w:rFonts w:ascii="Arial" w:hAnsi="Arial" w:cs="Arial"/>
          <w:b/>
          <w:bCs/>
          <w:i/>
          <w:sz w:val="20"/>
          <w:szCs w:val="20"/>
        </w:rPr>
      </w:pPr>
      <w:r w:rsidRPr="00F525D7">
        <w:rPr>
          <w:rFonts w:ascii="Arial" w:hAnsi="Arial" w:cs="Arial"/>
          <w:b/>
          <w:bCs/>
          <w:i/>
          <w:sz w:val="20"/>
          <w:szCs w:val="20"/>
        </w:rPr>
        <w:t xml:space="preserve">Porcentaje de reserva </w:t>
      </w:r>
      <w:r w:rsidRPr="00F525D7">
        <w:rPr>
          <w:rFonts w:ascii="Arial" w:hAnsi="Arial" w:cs="Arial"/>
          <w:bCs/>
          <w:i/>
          <w:sz w:val="20"/>
          <w:szCs w:val="20"/>
        </w:rPr>
        <w:t>-</w:t>
      </w:r>
      <w:r w:rsidRPr="00F525D7">
        <w:rPr>
          <w:rFonts w:ascii="Arial" w:hAnsi="Arial" w:cs="Arial"/>
          <w:b/>
          <w:bCs/>
          <w:i/>
          <w:sz w:val="20"/>
          <w:szCs w:val="20"/>
        </w:rPr>
        <w:t xml:space="preserve"> </w:t>
      </w:r>
      <w:r w:rsidRPr="00F525D7">
        <w:rPr>
          <w:rFonts w:ascii="Arial" w:hAnsi="Arial" w:cs="Arial"/>
          <w:sz w:val="20"/>
          <w:szCs w:val="20"/>
        </w:rPr>
        <w:t xml:space="preserve">Para cada estrato se constituirán las reservas preventivas que resulten de aplicar a la totalidad del saldo de capital e interés vencido del crédito, a la fecha de la evaluación, el porcentaje que se señala, según el tipo de cartera, en </w:t>
      </w:r>
      <w:r w:rsidR="005208D0" w:rsidRPr="00F525D7">
        <w:rPr>
          <w:rFonts w:ascii="Arial" w:hAnsi="Arial" w:cs="Arial"/>
          <w:sz w:val="20"/>
          <w:szCs w:val="20"/>
        </w:rPr>
        <w:t>las tablas siguientes</w:t>
      </w:r>
      <w:r w:rsidRPr="00F525D7">
        <w:rPr>
          <w:rFonts w:ascii="Arial" w:hAnsi="Arial" w:cs="Arial"/>
          <w:sz w:val="20"/>
          <w:szCs w:val="20"/>
        </w:rPr>
        <w:t>:</w:t>
      </w:r>
    </w:p>
    <w:tbl>
      <w:tblPr>
        <w:tblW w:w="4164" w:type="dxa"/>
        <w:jc w:val="center"/>
        <w:tblCellMar>
          <w:left w:w="70" w:type="dxa"/>
          <w:right w:w="70" w:type="dxa"/>
        </w:tblCellMar>
        <w:tblLook w:val="04A0" w:firstRow="1" w:lastRow="0" w:firstColumn="1" w:lastColumn="0" w:noHBand="0" w:noVBand="1"/>
      </w:tblPr>
      <w:tblGrid>
        <w:gridCol w:w="1094"/>
        <w:gridCol w:w="1510"/>
        <w:gridCol w:w="1560"/>
      </w:tblGrid>
      <w:tr w:rsidR="007B11FB" w:rsidRPr="00F525D7" w14:paraId="2720AA72" w14:textId="77777777" w:rsidTr="00283450">
        <w:trPr>
          <w:trHeight w:val="255"/>
          <w:jc w:val="center"/>
        </w:trPr>
        <w:tc>
          <w:tcPr>
            <w:tcW w:w="4164" w:type="dxa"/>
            <w:gridSpan w:val="3"/>
            <w:vAlign w:val="center"/>
            <w:hideMark/>
          </w:tcPr>
          <w:p w14:paraId="677977A4" w14:textId="77777777" w:rsidR="00163C4B" w:rsidRDefault="00163C4B" w:rsidP="00283450">
            <w:pPr>
              <w:jc w:val="both"/>
              <w:rPr>
                <w:rFonts w:ascii="Arial" w:hAnsi="Arial" w:cs="Arial"/>
                <w:b/>
                <w:bCs/>
                <w:iCs/>
                <w:color w:val="000000"/>
                <w:sz w:val="20"/>
                <w:szCs w:val="20"/>
                <w:lang w:eastAsia="es-MX"/>
              </w:rPr>
            </w:pPr>
          </w:p>
          <w:p w14:paraId="39EFAB57" w14:textId="77777777" w:rsidR="00AE61EE" w:rsidRDefault="00AE61EE" w:rsidP="00283450">
            <w:pPr>
              <w:jc w:val="both"/>
              <w:rPr>
                <w:rFonts w:ascii="Arial" w:hAnsi="Arial" w:cs="Arial"/>
                <w:b/>
                <w:bCs/>
                <w:iCs/>
                <w:color w:val="000000"/>
                <w:sz w:val="20"/>
                <w:szCs w:val="20"/>
                <w:lang w:eastAsia="es-MX"/>
              </w:rPr>
            </w:pPr>
          </w:p>
          <w:p w14:paraId="3A8CFD80" w14:textId="77777777" w:rsidR="00AE61EE" w:rsidRDefault="00AE61EE" w:rsidP="00283450">
            <w:pPr>
              <w:jc w:val="both"/>
              <w:rPr>
                <w:rFonts w:ascii="Arial" w:hAnsi="Arial" w:cs="Arial"/>
                <w:b/>
                <w:bCs/>
                <w:iCs/>
                <w:color w:val="000000"/>
                <w:sz w:val="20"/>
                <w:szCs w:val="20"/>
                <w:lang w:eastAsia="es-MX"/>
              </w:rPr>
            </w:pPr>
          </w:p>
          <w:p w14:paraId="4DE5E99F" w14:textId="77777777" w:rsidR="00AE61EE" w:rsidRDefault="00AE61EE" w:rsidP="00283450">
            <w:pPr>
              <w:jc w:val="both"/>
              <w:rPr>
                <w:rFonts w:ascii="Arial" w:hAnsi="Arial" w:cs="Arial"/>
                <w:b/>
                <w:bCs/>
                <w:iCs/>
                <w:color w:val="000000"/>
                <w:sz w:val="20"/>
                <w:szCs w:val="20"/>
                <w:lang w:eastAsia="es-MX"/>
              </w:rPr>
            </w:pPr>
          </w:p>
          <w:p w14:paraId="0840559A" w14:textId="77777777" w:rsidR="00AE61EE" w:rsidRPr="00F525D7" w:rsidRDefault="00AE61EE" w:rsidP="00283450">
            <w:pPr>
              <w:jc w:val="both"/>
              <w:rPr>
                <w:rFonts w:ascii="Arial" w:hAnsi="Arial" w:cs="Arial"/>
                <w:b/>
                <w:bCs/>
                <w:iCs/>
                <w:color w:val="000000"/>
                <w:sz w:val="20"/>
                <w:szCs w:val="20"/>
                <w:lang w:eastAsia="es-MX"/>
              </w:rPr>
            </w:pPr>
          </w:p>
        </w:tc>
      </w:tr>
      <w:tr w:rsidR="007B11FB" w:rsidRPr="00F525D7" w14:paraId="4C37F9D5" w14:textId="77777777" w:rsidTr="00283450">
        <w:trPr>
          <w:trHeight w:val="420"/>
          <w:jc w:val="center"/>
        </w:trPr>
        <w:tc>
          <w:tcPr>
            <w:tcW w:w="1094" w:type="dxa"/>
            <w:vAlign w:val="center"/>
            <w:hideMark/>
          </w:tcPr>
          <w:p w14:paraId="2B37A56A"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Meses vencidos</w:t>
            </w:r>
          </w:p>
        </w:tc>
        <w:tc>
          <w:tcPr>
            <w:tcW w:w="1510" w:type="dxa"/>
            <w:vAlign w:val="center"/>
            <w:hideMark/>
          </w:tcPr>
          <w:p w14:paraId="10D1B0B9"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sin reestructurar</w:t>
            </w:r>
          </w:p>
        </w:tc>
        <w:tc>
          <w:tcPr>
            <w:tcW w:w="1560" w:type="dxa"/>
            <w:vAlign w:val="center"/>
            <w:hideMark/>
          </w:tcPr>
          <w:p w14:paraId="57755B2F"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reestructura</w:t>
            </w:r>
          </w:p>
        </w:tc>
      </w:tr>
      <w:tr w:rsidR="007B11FB" w:rsidRPr="00F525D7" w14:paraId="4B080CE3" w14:textId="77777777" w:rsidTr="00283450">
        <w:trPr>
          <w:trHeight w:val="255"/>
          <w:jc w:val="center"/>
        </w:trPr>
        <w:tc>
          <w:tcPr>
            <w:tcW w:w="1094" w:type="dxa"/>
            <w:noWrap/>
            <w:vAlign w:val="bottom"/>
            <w:hideMark/>
          </w:tcPr>
          <w:p w14:paraId="1A783F77"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0</w:t>
            </w:r>
          </w:p>
        </w:tc>
        <w:tc>
          <w:tcPr>
            <w:tcW w:w="1510" w:type="dxa"/>
            <w:noWrap/>
            <w:vAlign w:val="bottom"/>
            <w:hideMark/>
          </w:tcPr>
          <w:p w14:paraId="12277EF7"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560" w:type="dxa"/>
            <w:noWrap/>
            <w:vAlign w:val="bottom"/>
            <w:hideMark/>
          </w:tcPr>
          <w:p w14:paraId="103E8F31"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r>
      <w:tr w:rsidR="007B11FB" w:rsidRPr="00F525D7" w14:paraId="3A0D849E" w14:textId="77777777" w:rsidTr="00283450">
        <w:trPr>
          <w:trHeight w:val="255"/>
          <w:jc w:val="center"/>
        </w:trPr>
        <w:tc>
          <w:tcPr>
            <w:tcW w:w="1094" w:type="dxa"/>
            <w:noWrap/>
            <w:vAlign w:val="bottom"/>
            <w:hideMark/>
          </w:tcPr>
          <w:p w14:paraId="0EE34240"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1</w:t>
            </w:r>
          </w:p>
        </w:tc>
        <w:tc>
          <w:tcPr>
            <w:tcW w:w="1510" w:type="dxa"/>
            <w:noWrap/>
            <w:vAlign w:val="bottom"/>
            <w:hideMark/>
          </w:tcPr>
          <w:p w14:paraId="3F71464D"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560" w:type="dxa"/>
            <w:noWrap/>
            <w:vAlign w:val="bottom"/>
            <w:hideMark/>
          </w:tcPr>
          <w:p w14:paraId="77A2C2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r>
      <w:tr w:rsidR="007B11FB" w:rsidRPr="00F525D7" w14:paraId="71A84222" w14:textId="77777777" w:rsidTr="00283450">
        <w:trPr>
          <w:trHeight w:val="255"/>
          <w:jc w:val="center"/>
        </w:trPr>
        <w:tc>
          <w:tcPr>
            <w:tcW w:w="1094" w:type="dxa"/>
            <w:noWrap/>
            <w:vAlign w:val="bottom"/>
            <w:hideMark/>
          </w:tcPr>
          <w:p w14:paraId="33A577A4"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2</w:t>
            </w:r>
          </w:p>
        </w:tc>
        <w:tc>
          <w:tcPr>
            <w:tcW w:w="1510" w:type="dxa"/>
            <w:noWrap/>
            <w:vAlign w:val="bottom"/>
            <w:hideMark/>
          </w:tcPr>
          <w:p w14:paraId="6DEBAB0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w:t>
            </w:r>
          </w:p>
        </w:tc>
        <w:tc>
          <w:tcPr>
            <w:tcW w:w="1560" w:type="dxa"/>
            <w:noWrap/>
            <w:vAlign w:val="bottom"/>
            <w:hideMark/>
          </w:tcPr>
          <w:p w14:paraId="050D7E0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r>
      <w:tr w:rsidR="007B11FB" w:rsidRPr="00F525D7" w14:paraId="7EBB8777" w14:textId="77777777" w:rsidTr="00283450">
        <w:trPr>
          <w:trHeight w:val="255"/>
          <w:jc w:val="center"/>
        </w:trPr>
        <w:tc>
          <w:tcPr>
            <w:tcW w:w="1094" w:type="dxa"/>
            <w:noWrap/>
            <w:vAlign w:val="bottom"/>
            <w:hideMark/>
          </w:tcPr>
          <w:p w14:paraId="5EFDF4A8"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3</w:t>
            </w:r>
          </w:p>
        </w:tc>
        <w:tc>
          <w:tcPr>
            <w:tcW w:w="1510" w:type="dxa"/>
            <w:noWrap/>
            <w:vAlign w:val="bottom"/>
            <w:hideMark/>
          </w:tcPr>
          <w:p w14:paraId="4F9FB6D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c>
          <w:tcPr>
            <w:tcW w:w="1560" w:type="dxa"/>
            <w:noWrap/>
            <w:vAlign w:val="bottom"/>
            <w:hideMark/>
          </w:tcPr>
          <w:p w14:paraId="3D36E9FE"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25%</w:t>
            </w:r>
          </w:p>
        </w:tc>
      </w:tr>
      <w:tr w:rsidR="007B11FB" w:rsidRPr="00F525D7" w14:paraId="1415E09C" w14:textId="77777777" w:rsidTr="00283450">
        <w:trPr>
          <w:trHeight w:val="255"/>
          <w:jc w:val="center"/>
        </w:trPr>
        <w:tc>
          <w:tcPr>
            <w:tcW w:w="1094" w:type="dxa"/>
            <w:noWrap/>
            <w:vAlign w:val="bottom"/>
            <w:hideMark/>
          </w:tcPr>
          <w:p w14:paraId="7B48EA65"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4</w:t>
            </w:r>
          </w:p>
        </w:tc>
        <w:tc>
          <w:tcPr>
            <w:tcW w:w="1510" w:type="dxa"/>
            <w:noWrap/>
            <w:vAlign w:val="bottom"/>
            <w:hideMark/>
          </w:tcPr>
          <w:p w14:paraId="375522C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c>
          <w:tcPr>
            <w:tcW w:w="1560" w:type="dxa"/>
            <w:noWrap/>
            <w:vAlign w:val="bottom"/>
            <w:hideMark/>
          </w:tcPr>
          <w:p w14:paraId="5824BA8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35%</w:t>
            </w:r>
          </w:p>
        </w:tc>
      </w:tr>
      <w:tr w:rsidR="007B11FB" w:rsidRPr="00F525D7" w14:paraId="3A37F131" w14:textId="77777777" w:rsidTr="00283450">
        <w:trPr>
          <w:trHeight w:val="255"/>
          <w:jc w:val="center"/>
        </w:trPr>
        <w:tc>
          <w:tcPr>
            <w:tcW w:w="1094" w:type="dxa"/>
            <w:noWrap/>
            <w:vAlign w:val="bottom"/>
            <w:hideMark/>
          </w:tcPr>
          <w:p w14:paraId="2656804A"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5</w:t>
            </w:r>
          </w:p>
        </w:tc>
        <w:tc>
          <w:tcPr>
            <w:tcW w:w="1510" w:type="dxa"/>
            <w:noWrap/>
            <w:vAlign w:val="bottom"/>
            <w:hideMark/>
          </w:tcPr>
          <w:p w14:paraId="5F8452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c>
          <w:tcPr>
            <w:tcW w:w="1560" w:type="dxa"/>
            <w:noWrap/>
            <w:vAlign w:val="bottom"/>
            <w:hideMark/>
          </w:tcPr>
          <w:p w14:paraId="725ECEF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50%</w:t>
            </w:r>
          </w:p>
        </w:tc>
      </w:tr>
      <w:tr w:rsidR="007B11FB" w:rsidRPr="00F525D7" w14:paraId="5C637C78" w14:textId="77777777" w:rsidTr="00283450">
        <w:trPr>
          <w:trHeight w:val="255"/>
          <w:jc w:val="center"/>
        </w:trPr>
        <w:tc>
          <w:tcPr>
            <w:tcW w:w="1094" w:type="dxa"/>
            <w:noWrap/>
            <w:vAlign w:val="bottom"/>
            <w:hideMark/>
          </w:tcPr>
          <w:p w14:paraId="0F2CB5A7"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6 o más</w:t>
            </w:r>
          </w:p>
        </w:tc>
        <w:tc>
          <w:tcPr>
            <w:tcW w:w="1510" w:type="dxa"/>
            <w:noWrap/>
            <w:vAlign w:val="bottom"/>
            <w:hideMark/>
          </w:tcPr>
          <w:p w14:paraId="41417AC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50%</w:t>
            </w:r>
          </w:p>
        </w:tc>
        <w:tc>
          <w:tcPr>
            <w:tcW w:w="1560" w:type="dxa"/>
            <w:noWrap/>
            <w:vAlign w:val="bottom"/>
            <w:hideMark/>
          </w:tcPr>
          <w:p w14:paraId="080FACC3"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80%</w:t>
            </w:r>
          </w:p>
        </w:tc>
      </w:tr>
    </w:tbl>
    <w:p w14:paraId="6FAAFA4E" w14:textId="77777777" w:rsidR="007B11FB" w:rsidRPr="00F525D7" w:rsidRDefault="007B11FB" w:rsidP="007B11FB">
      <w:pPr>
        <w:widowControl w:val="0"/>
        <w:tabs>
          <w:tab w:val="left" w:pos="867"/>
          <w:tab w:val="left" w:pos="1276"/>
        </w:tabs>
        <w:jc w:val="both"/>
        <w:rPr>
          <w:rFonts w:ascii="Arial" w:hAnsi="Arial" w:cs="Arial"/>
          <w:b/>
          <w:sz w:val="20"/>
          <w:szCs w:val="20"/>
        </w:rPr>
      </w:pPr>
    </w:p>
    <w:tbl>
      <w:tblPr>
        <w:tblW w:w="3772" w:type="dxa"/>
        <w:jc w:val="center"/>
        <w:tblCellMar>
          <w:left w:w="70" w:type="dxa"/>
          <w:right w:w="70" w:type="dxa"/>
        </w:tblCellMar>
        <w:tblLook w:val="04A0" w:firstRow="1" w:lastRow="0" w:firstColumn="1" w:lastColumn="0" w:noHBand="0" w:noVBand="1"/>
      </w:tblPr>
      <w:tblGrid>
        <w:gridCol w:w="1007"/>
        <w:gridCol w:w="1386"/>
        <w:gridCol w:w="1460"/>
      </w:tblGrid>
      <w:tr w:rsidR="007B11FB" w:rsidRPr="00F525D7" w14:paraId="0B90D3E1" w14:textId="77777777" w:rsidTr="00A84C72">
        <w:trPr>
          <w:trHeight w:val="255"/>
          <w:jc w:val="center"/>
        </w:trPr>
        <w:tc>
          <w:tcPr>
            <w:tcW w:w="3772" w:type="dxa"/>
            <w:gridSpan w:val="3"/>
            <w:vAlign w:val="center"/>
            <w:hideMark/>
          </w:tcPr>
          <w:p w14:paraId="0D518610"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Garantía</w:t>
            </w:r>
          </w:p>
        </w:tc>
      </w:tr>
      <w:tr w:rsidR="007B11FB" w:rsidRPr="00F525D7" w14:paraId="29831E1B" w14:textId="77777777" w:rsidTr="00A84C72">
        <w:trPr>
          <w:trHeight w:val="420"/>
          <w:jc w:val="center"/>
        </w:trPr>
        <w:tc>
          <w:tcPr>
            <w:tcW w:w="960" w:type="dxa"/>
            <w:vAlign w:val="center"/>
            <w:hideMark/>
          </w:tcPr>
          <w:p w14:paraId="4E1D1DD4"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lastRenderedPageBreak/>
              <w:t>Meses vencidos</w:t>
            </w:r>
          </w:p>
        </w:tc>
        <w:tc>
          <w:tcPr>
            <w:tcW w:w="1352" w:type="dxa"/>
            <w:vAlign w:val="center"/>
            <w:hideMark/>
          </w:tcPr>
          <w:p w14:paraId="4E0E259B"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sin reestructurar</w:t>
            </w:r>
          </w:p>
        </w:tc>
        <w:tc>
          <w:tcPr>
            <w:tcW w:w="1460" w:type="dxa"/>
            <w:vAlign w:val="center"/>
            <w:hideMark/>
          </w:tcPr>
          <w:p w14:paraId="0FC5921D" w14:textId="77777777" w:rsidR="007B11FB" w:rsidRPr="00F525D7" w:rsidRDefault="007B11FB" w:rsidP="00283450">
            <w:pPr>
              <w:jc w:val="both"/>
              <w:rPr>
                <w:rFonts w:ascii="Arial" w:hAnsi="Arial" w:cs="Arial"/>
                <w:b/>
                <w:bCs/>
                <w:iCs/>
                <w:color w:val="000000"/>
                <w:sz w:val="20"/>
                <w:szCs w:val="20"/>
                <w:lang w:eastAsia="es-MX"/>
              </w:rPr>
            </w:pPr>
            <w:r w:rsidRPr="00F525D7">
              <w:rPr>
                <w:rFonts w:ascii="Arial" w:hAnsi="Arial" w:cs="Arial"/>
                <w:b/>
                <w:bCs/>
                <w:iCs/>
                <w:color w:val="000000"/>
                <w:sz w:val="20"/>
                <w:szCs w:val="20"/>
                <w:lang w:eastAsia="es-MX"/>
              </w:rPr>
              <w:t>Créditos con reestructura</w:t>
            </w:r>
          </w:p>
        </w:tc>
      </w:tr>
      <w:tr w:rsidR="007B11FB" w:rsidRPr="00F525D7" w14:paraId="17EF5800" w14:textId="77777777" w:rsidTr="00A84C72">
        <w:trPr>
          <w:trHeight w:val="255"/>
          <w:jc w:val="center"/>
        </w:trPr>
        <w:tc>
          <w:tcPr>
            <w:tcW w:w="960" w:type="dxa"/>
            <w:noWrap/>
            <w:vAlign w:val="bottom"/>
            <w:hideMark/>
          </w:tcPr>
          <w:p w14:paraId="2626B4CC"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0</w:t>
            </w:r>
          </w:p>
        </w:tc>
        <w:tc>
          <w:tcPr>
            <w:tcW w:w="1352" w:type="dxa"/>
            <w:noWrap/>
            <w:vAlign w:val="bottom"/>
            <w:hideMark/>
          </w:tcPr>
          <w:p w14:paraId="35F2B86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c>
          <w:tcPr>
            <w:tcW w:w="1460" w:type="dxa"/>
            <w:noWrap/>
            <w:vAlign w:val="bottom"/>
            <w:hideMark/>
          </w:tcPr>
          <w:p w14:paraId="3B99D78F"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0%</w:t>
            </w:r>
          </w:p>
        </w:tc>
      </w:tr>
      <w:tr w:rsidR="007B11FB" w:rsidRPr="00F525D7" w14:paraId="6F4A1679" w14:textId="77777777" w:rsidTr="00A84C72">
        <w:trPr>
          <w:trHeight w:val="255"/>
          <w:jc w:val="center"/>
        </w:trPr>
        <w:tc>
          <w:tcPr>
            <w:tcW w:w="960" w:type="dxa"/>
            <w:noWrap/>
            <w:vAlign w:val="bottom"/>
            <w:hideMark/>
          </w:tcPr>
          <w:p w14:paraId="540FC3AD"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1</w:t>
            </w:r>
          </w:p>
        </w:tc>
        <w:tc>
          <w:tcPr>
            <w:tcW w:w="1352" w:type="dxa"/>
            <w:noWrap/>
            <w:vAlign w:val="bottom"/>
            <w:hideMark/>
          </w:tcPr>
          <w:p w14:paraId="7BD2AF37"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5%</w:t>
            </w:r>
          </w:p>
        </w:tc>
        <w:tc>
          <w:tcPr>
            <w:tcW w:w="1460" w:type="dxa"/>
            <w:noWrap/>
            <w:vAlign w:val="bottom"/>
            <w:hideMark/>
          </w:tcPr>
          <w:p w14:paraId="5C98DC58"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r>
      <w:tr w:rsidR="007B11FB" w:rsidRPr="00F525D7" w14:paraId="6D77E65B" w14:textId="77777777" w:rsidTr="00A84C72">
        <w:trPr>
          <w:trHeight w:val="255"/>
          <w:jc w:val="center"/>
        </w:trPr>
        <w:tc>
          <w:tcPr>
            <w:tcW w:w="960" w:type="dxa"/>
            <w:noWrap/>
            <w:vAlign w:val="bottom"/>
            <w:hideMark/>
          </w:tcPr>
          <w:p w14:paraId="084D1F7D"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2</w:t>
            </w:r>
          </w:p>
        </w:tc>
        <w:tc>
          <w:tcPr>
            <w:tcW w:w="1352" w:type="dxa"/>
            <w:noWrap/>
            <w:vAlign w:val="bottom"/>
            <w:hideMark/>
          </w:tcPr>
          <w:p w14:paraId="11BDB7E2"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10%</w:t>
            </w:r>
          </w:p>
        </w:tc>
        <w:tc>
          <w:tcPr>
            <w:tcW w:w="1460" w:type="dxa"/>
            <w:noWrap/>
            <w:vAlign w:val="bottom"/>
            <w:hideMark/>
          </w:tcPr>
          <w:p w14:paraId="364418CB"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r>
      <w:tr w:rsidR="007B11FB" w:rsidRPr="00F525D7" w14:paraId="4D4CE3EB" w14:textId="77777777" w:rsidTr="00A84C72">
        <w:trPr>
          <w:trHeight w:val="255"/>
          <w:jc w:val="center"/>
        </w:trPr>
        <w:tc>
          <w:tcPr>
            <w:tcW w:w="960" w:type="dxa"/>
            <w:noWrap/>
            <w:vAlign w:val="bottom"/>
            <w:hideMark/>
          </w:tcPr>
          <w:p w14:paraId="2BCD1D42"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3</w:t>
            </w:r>
          </w:p>
        </w:tc>
        <w:tc>
          <w:tcPr>
            <w:tcW w:w="1352" w:type="dxa"/>
            <w:noWrap/>
            <w:vAlign w:val="bottom"/>
            <w:hideMark/>
          </w:tcPr>
          <w:p w14:paraId="76E82B8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15%</w:t>
            </w:r>
          </w:p>
        </w:tc>
        <w:tc>
          <w:tcPr>
            <w:tcW w:w="1460" w:type="dxa"/>
            <w:noWrap/>
            <w:vAlign w:val="bottom"/>
            <w:hideMark/>
          </w:tcPr>
          <w:p w14:paraId="43DB40AC"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r>
      <w:tr w:rsidR="007B11FB" w:rsidRPr="00F525D7" w14:paraId="6461392B" w14:textId="77777777" w:rsidTr="00A84C72">
        <w:trPr>
          <w:trHeight w:val="255"/>
          <w:jc w:val="center"/>
        </w:trPr>
        <w:tc>
          <w:tcPr>
            <w:tcW w:w="960" w:type="dxa"/>
            <w:noWrap/>
            <w:vAlign w:val="bottom"/>
            <w:hideMark/>
          </w:tcPr>
          <w:p w14:paraId="19D09B9F"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4</w:t>
            </w:r>
          </w:p>
        </w:tc>
        <w:tc>
          <w:tcPr>
            <w:tcW w:w="1352" w:type="dxa"/>
            <w:noWrap/>
            <w:vAlign w:val="bottom"/>
            <w:hideMark/>
          </w:tcPr>
          <w:p w14:paraId="72EECFCA"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20%</w:t>
            </w:r>
          </w:p>
        </w:tc>
        <w:tc>
          <w:tcPr>
            <w:tcW w:w="1460" w:type="dxa"/>
            <w:noWrap/>
            <w:vAlign w:val="bottom"/>
            <w:hideMark/>
          </w:tcPr>
          <w:p w14:paraId="4EA67EF4"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r>
      <w:tr w:rsidR="007B11FB" w:rsidRPr="00F525D7" w14:paraId="03F00276" w14:textId="77777777" w:rsidTr="00A84C72">
        <w:trPr>
          <w:trHeight w:val="255"/>
          <w:jc w:val="center"/>
        </w:trPr>
        <w:tc>
          <w:tcPr>
            <w:tcW w:w="960" w:type="dxa"/>
            <w:noWrap/>
            <w:vAlign w:val="bottom"/>
            <w:hideMark/>
          </w:tcPr>
          <w:p w14:paraId="00DB215C"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5</w:t>
            </w:r>
          </w:p>
        </w:tc>
        <w:tc>
          <w:tcPr>
            <w:tcW w:w="1352" w:type="dxa"/>
            <w:noWrap/>
            <w:vAlign w:val="bottom"/>
            <w:hideMark/>
          </w:tcPr>
          <w:p w14:paraId="719B67C3"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30%</w:t>
            </w:r>
          </w:p>
        </w:tc>
        <w:tc>
          <w:tcPr>
            <w:tcW w:w="1460" w:type="dxa"/>
            <w:noWrap/>
            <w:vAlign w:val="bottom"/>
            <w:hideMark/>
          </w:tcPr>
          <w:p w14:paraId="71E89D86"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40%</w:t>
            </w:r>
          </w:p>
        </w:tc>
      </w:tr>
      <w:tr w:rsidR="007B11FB" w:rsidRPr="00F525D7" w14:paraId="59FB095B" w14:textId="77777777" w:rsidTr="00A84C72">
        <w:trPr>
          <w:trHeight w:val="255"/>
          <w:jc w:val="center"/>
        </w:trPr>
        <w:tc>
          <w:tcPr>
            <w:tcW w:w="960" w:type="dxa"/>
            <w:noWrap/>
            <w:vAlign w:val="bottom"/>
            <w:hideMark/>
          </w:tcPr>
          <w:p w14:paraId="299B282F" w14:textId="77777777" w:rsidR="007B11FB" w:rsidRPr="00F525D7" w:rsidRDefault="007B11FB" w:rsidP="00283450">
            <w:pPr>
              <w:jc w:val="both"/>
              <w:rPr>
                <w:rFonts w:ascii="Arial" w:hAnsi="Arial" w:cs="Arial"/>
                <w:b/>
                <w:bCs/>
                <w:sz w:val="20"/>
                <w:szCs w:val="20"/>
                <w:lang w:eastAsia="es-MX"/>
              </w:rPr>
            </w:pPr>
            <w:r w:rsidRPr="00F525D7">
              <w:rPr>
                <w:rFonts w:ascii="Arial" w:hAnsi="Arial" w:cs="Arial"/>
                <w:b/>
                <w:bCs/>
                <w:sz w:val="20"/>
                <w:szCs w:val="20"/>
                <w:lang w:eastAsia="es-MX"/>
              </w:rPr>
              <w:t>6 o más</w:t>
            </w:r>
          </w:p>
        </w:tc>
        <w:tc>
          <w:tcPr>
            <w:tcW w:w="1352" w:type="dxa"/>
            <w:noWrap/>
            <w:vAlign w:val="bottom"/>
            <w:hideMark/>
          </w:tcPr>
          <w:p w14:paraId="40615935"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40%</w:t>
            </w:r>
          </w:p>
        </w:tc>
        <w:tc>
          <w:tcPr>
            <w:tcW w:w="1460" w:type="dxa"/>
            <w:noWrap/>
            <w:vAlign w:val="bottom"/>
            <w:hideMark/>
          </w:tcPr>
          <w:p w14:paraId="71A820B1" w14:textId="77777777" w:rsidR="007B11FB" w:rsidRPr="00F525D7" w:rsidRDefault="007B11FB" w:rsidP="00283450">
            <w:pPr>
              <w:jc w:val="both"/>
              <w:rPr>
                <w:rFonts w:ascii="Arial" w:hAnsi="Arial" w:cs="Arial"/>
                <w:sz w:val="20"/>
                <w:szCs w:val="20"/>
                <w:lang w:eastAsia="es-MX"/>
              </w:rPr>
            </w:pPr>
            <w:r w:rsidRPr="00F525D7">
              <w:rPr>
                <w:rFonts w:ascii="Arial" w:hAnsi="Arial" w:cs="Arial"/>
                <w:sz w:val="20"/>
                <w:szCs w:val="20"/>
                <w:lang w:eastAsia="es-MX"/>
              </w:rPr>
              <w:t>60%</w:t>
            </w:r>
          </w:p>
        </w:tc>
      </w:tr>
    </w:tbl>
    <w:p w14:paraId="0EA2C6FF" w14:textId="77777777" w:rsidR="007B11FB" w:rsidRPr="00F525D7" w:rsidRDefault="007B11FB" w:rsidP="007B11FB">
      <w:pPr>
        <w:widowControl w:val="0"/>
        <w:numPr>
          <w:ilvl w:val="0"/>
          <w:numId w:val="4"/>
        </w:numPr>
        <w:tabs>
          <w:tab w:val="left" w:pos="1276"/>
          <w:tab w:val="left" w:pos="1418"/>
        </w:tabs>
        <w:spacing w:after="0" w:line="240" w:lineRule="auto"/>
        <w:ind w:left="0" w:firstLine="0"/>
        <w:jc w:val="both"/>
        <w:rPr>
          <w:rFonts w:ascii="Arial" w:hAnsi="Arial" w:cs="Arial"/>
          <w:b/>
          <w:bCs/>
          <w:i/>
          <w:sz w:val="20"/>
          <w:szCs w:val="20"/>
        </w:rPr>
      </w:pPr>
      <w:r w:rsidRPr="00F525D7">
        <w:rPr>
          <w:rFonts w:ascii="Arial" w:hAnsi="Arial" w:cs="Arial"/>
          <w:b/>
          <w:bCs/>
          <w:i/>
          <w:sz w:val="20"/>
          <w:szCs w:val="20"/>
        </w:rPr>
        <w:t>Garantía -</w:t>
      </w:r>
      <w:r w:rsidRPr="00F525D7">
        <w:rPr>
          <w:rFonts w:ascii="Arial" w:hAnsi="Arial" w:cs="Arial"/>
          <w:sz w:val="20"/>
          <w:szCs w:val="20"/>
        </w:rPr>
        <w:t xml:space="preserve"> Las garantías establecidas por el Fondo son:</w:t>
      </w:r>
    </w:p>
    <w:p w14:paraId="15B8DD6F" w14:textId="77777777" w:rsidR="007B11FB" w:rsidRPr="00F525D7" w:rsidRDefault="007B11FB" w:rsidP="007B11FB">
      <w:pPr>
        <w:widowControl w:val="0"/>
        <w:numPr>
          <w:ilvl w:val="0"/>
          <w:numId w:val="5"/>
        </w:numPr>
        <w:spacing w:after="0" w:line="240" w:lineRule="auto"/>
        <w:ind w:left="0" w:firstLine="0"/>
        <w:jc w:val="both"/>
        <w:rPr>
          <w:rFonts w:ascii="Arial" w:hAnsi="Arial" w:cs="Arial"/>
          <w:sz w:val="20"/>
          <w:szCs w:val="20"/>
        </w:rPr>
      </w:pPr>
      <w:r w:rsidRPr="00F525D7">
        <w:rPr>
          <w:rFonts w:ascii="Arial" w:hAnsi="Arial" w:cs="Arial"/>
          <w:sz w:val="20"/>
          <w:szCs w:val="20"/>
        </w:rPr>
        <w:t>Garantía hipotecaria</w:t>
      </w:r>
    </w:p>
    <w:p w14:paraId="7013B906" w14:textId="77777777" w:rsidR="007B11FB" w:rsidRPr="00F525D7" w:rsidRDefault="007B11FB" w:rsidP="007B11FB">
      <w:pPr>
        <w:widowControl w:val="0"/>
        <w:numPr>
          <w:ilvl w:val="0"/>
          <w:numId w:val="5"/>
        </w:numPr>
        <w:tabs>
          <w:tab w:val="left" w:pos="867"/>
          <w:tab w:val="left" w:pos="1276"/>
        </w:tabs>
        <w:spacing w:after="0" w:line="240" w:lineRule="auto"/>
        <w:ind w:left="0" w:firstLine="0"/>
        <w:jc w:val="both"/>
        <w:rPr>
          <w:rFonts w:ascii="Arial" w:hAnsi="Arial" w:cs="Arial"/>
          <w:sz w:val="20"/>
          <w:szCs w:val="20"/>
        </w:rPr>
      </w:pPr>
      <w:r w:rsidRPr="00F525D7">
        <w:rPr>
          <w:rFonts w:ascii="Arial" w:hAnsi="Arial" w:cs="Arial"/>
          <w:sz w:val="20"/>
          <w:szCs w:val="20"/>
        </w:rPr>
        <w:t>Aval</w:t>
      </w:r>
    </w:p>
    <w:p w14:paraId="3FAE02E1" w14:textId="77777777" w:rsidR="007B11FB" w:rsidRPr="00F525D7" w:rsidRDefault="007B11FB" w:rsidP="007B11FB">
      <w:pPr>
        <w:pStyle w:val="Prrafodelista"/>
        <w:ind w:left="0"/>
        <w:jc w:val="both"/>
        <w:rPr>
          <w:rFonts w:ascii="Arial" w:hAnsi="Arial" w:cs="Arial"/>
          <w:sz w:val="20"/>
          <w:szCs w:val="20"/>
          <w:lang w:val="es-ES"/>
        </w:rPr>
      </w:pPr>
    </w:p>
    <w:p w14:paraId="11B15A91" w14:textId="77777777" w:rsidR="007D1E76" w:rsidRPr="00F525D7" w:rsidRDefault="007B11FB" w:rsidP="007B11FB">
      <w:pPr>
        <w:tabs>
          <w:tab w:val="left" w:leader="underscore" w:pos="9639"/>
        </w:tabs>
        <w:spacing w:after="0" w:line="240" w:lineRule="auto"/>
        <w:jc w:val="both"/>
        <w:rPr>
          <w:rFonts w:ascii="Arial" w:hAnsi="Arial" w:cs="Arial"/>
          <w:sz w:val="20"/>
          <w:szCs w:val="20"/>
        </w:rPr>
      </w:pPr>
      <w:r w:rsidRPr="00F525D7">
        <w:rPr>
          <w:rFonts w:ascii="Arial" w:hAnsi="Arial" w:cs="Arial"/>
          <w:b/>
          <w:i/>
          <w:sz w:val="20"/>
          <w:szCs w:val="20"/>
        </w:rPr>
        <w:t xml:space="preserve">Períodos para su cálculo </w:t>
      </w:r>
      <w:r w:rsidRPr="00F525D7">
        <w:rPr>
          <w:rFonts w:ascii="Arial" w:hAnsi="Arial" w:cs="Arial"/>
          <w:i/>
          <w:sz w:val="20"/>
          <w:szCs w:val="20"/>
        </w:rPr>
        <w:t xml:space="preserve">- </w:t>
      </w:r>
      <w:r w:rsidRPr="00F525D7">
        <w:rPr>
          <w:rFonts w:ascii="Arial" w:hAnsi="Arial" w:cs="Arial"/>
          <w:sz w:val="20"/>
          <w:szCs w:val="20"/>
        </w:rPr>
        <w:t>El Fondo tiene la política de presentar el cálculo de la estimación de cuentas incobrables al 31 de diciembre del ejercicio actual con base en la información de los créditos al 31 de diciembre del ejercicio inmediato anterior.</w:t>
      </w:r>
    </w:p>
    <w:p w14:paraId="5BEC249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D43E23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h)</w:t>
      </w:r>
      <w:r w:rsidRPr="00F525D7">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0049FE0C"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1A3D05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47BE24F"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4FA5D6FA"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28350C6A" w14:textId="77777777" w:rsidR="00AE61EE" w:rsidRDefault="00AE61EE" w:rsidP="00CB41C4">
      <w:pPr>
        <w:tabs>
          <w:tab w:val="left" w:leader="underscore" w:pos="9639"/>
        </w:tabs>
        <w:spacing w:after="0" w:line="240" w:lineRule="auto"/>
        <w:jc w:val="both"/>
        <w:rPr>
          <w:rFonts w:ascii="Arial" w:hAnsi="Arial" w:cs="Arial"/>
          <w:b/>
          <w:sz w:val="20"/>
          <w:szCs w:val="20"/>
        </w:rPr>
      </w:pPr>
    </w:p>
    <w:p w14:paraId="1629FEF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i)</w:t>
      </w:r>
      <w:r w:rsidRPr="00F525D7">
        <w:rPr>
          <w:rFonts w:ascii="Arial" w:hAnsi="Arial" w:cs="Arial"/>
          <w:sz w:val="20"/>
          <w:szCs w:val="20"/>
        </w:rPr>
        <w:t xml:space="preserve"> Reclasificaciones: Se deben revelar todos aquellos movimientos entre cuentas por efectos de cambios en los tipos de operaciones:</w:t>
      </w:r>
    </w:p>
    <w:p w14:paraId="64266BD8"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10426D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752089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j)</w:t>
      </w:r>
      <w:r w:rsidRPr="00F525D7">
        <w:rPr>
          <w:rFonts w:ascii="Arial" w:hAnsi="Arial" w:cs="Arial"/>
          <w:sz w:val="20"/>
          <w:szCs w:val="20"/>
        </w:rPr>
        <w:t xml:space="preserve"> Depuración y cancelación de saldos:</w:t>
      </w:r>
    </w:p>
    <w:p w14:paraId="7120CC44"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249421E" w14:textId="77777777" w:rsidR="00E00323" w:rsidRPr="00F525D7" w:rsidRDefault="00E00323" w:rsidP="00CB41C4">
      <w:pPr>
        <w:tabs>
          <w:tab w:val="left" w:leader="underscore" w:pos="9639"/>
        </w:tabs>
        <w:spacing w:after="0" w:line="240" w:lineRule="auto"/>
        <w:jc w:val="both"/>
        <w:rPr>
          <w:rFonts w:ascii="Arial" w:hAnsi="Arial" w:cs="Arial"/>
          <w:sz w:val="20"/>
          <w:szCs w:val="20"/>
        </w:rPr>
      </w:pPr>
    </w:p>
    <w:p w14:paraId="1F7A44A7" w14:textId="77777777" w:rsidR="007D1E76" w:rsidRPr="00F525D7" w:rsidRDefault="00A06826" w:rsidP="000C3365">
      <w:pPr>
        <w:pStyle w:val="Ttulo2"/>
        <w:rPr>
          <w:rFonts w:ascii="Arial" w:hAnsi="Arial" w:cs="Arial"/>
          <w:b/>
          <w:color w:val="auto"/>
          <w:sz w:val="20"/>
          <w:szCs w:val="20"/>
        </w:rPr>
      </w:pPr>
      <w:bookmarkStart w:id="6" w:name="_Toc136601512"/>
      <w:r>
        <w:rPr>
          <w:rFonts w:ascii="Arial" w:hAnsi="Arial" w:cs="Arial"/>
          <w:b/>
          <w:color w:val="auto"/>
          <w:sz w:val="20"/>
          <w:szCs w:val="20"/>
        </w:rPr>
        <w:t>6</w:t>
      </w:r>
      <w:r w:rsidR="007D1E76" w:rsidRPr="00F525D7">
        <w:rPr>
          <w:rFonts w:ascii="Arial" w:hAnsi="Arial" w:cs="Arial"/>
          <w:b/>
          <w:color w:val="auto"/>
          <w:sz w:val="20"/>
          <w:szCs w:val="20"/>
        </w:rPr>
        <w:t>. Posición en Moneda Extranjera y Pro</w:t>
      </w:r>
      <w:r w:rsidR="00E00323" w:rsidRPr="00F525D7">
        <w:rPr>
          <w:rFonts w:ascii="Arial" w:hAnsi="Arial" w:cs="Arial"/>
          <w:b/>
          <w:color w:val="auto"/>
          <w:sz w:val="20"/>
          <w:szCs w:val="20"/>
        </w:rPr>
        <w:t>tección por Riesgo Cambiario:</w:t>
      </w:r>
      <w:bookmarkEnd w:id="6"/>
    </w:p>
    <w:p w14:paraId="30A886A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C4248D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sobre:</w:t>
      </w:r>
    </w:p>
    <w:p w14:paraId="25F09B2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Activos en moneda extranjera:</w:t>
      </w:r>
    </w:p>
    <w:p w14:paraId="1A7DBCA1"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4BA379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6F28FA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Pasivos en moneda extranjera:</w:t>
      </w:r>
    </w:p>
    <w:p w14:paraId="327E4C5E"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244834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96DC99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 xml:space="preserve">c) </w:t>
      </w:r>
      <w:r w:rsidRPr="00F525D7">
        <w:rPr>
          <w:rFonts w:ascii="Arial" w:hAnsi="Arial" w:cs="Arial"/>
          <w:sz w:val="20"/>
          <w:szCs w:val="20"/>
        </w:rPr>
        <w:t>Posición en moneda extranjera:</w:t>
      </w:r>
    </w:p>
    <w:p w14:paraId="53DB443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DD4480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3DBCC7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Tipo de cambio:</w:t>
      </w:r>
    </w:p>
    <w:p w14:paraId="523F0914"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574C322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12E20D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 xml:space="preserve">e) </w:t>
      </w:r>
      <w:r w:rsidRPr="00F525D7">
        <w:rPr>
          <w:rFonts w:ascii="Arial" w:hAnsi="Arial" w:cs="Arial"/>
          <w:sz w:val="20"/>
          <w:szCs w:val="20"/>
        </w:rPr>
        <w:t>Equivalente en moneda nacional:</w:t>
      </w:r>
    </w:p>
    <w:p w14:paraId="01ADF9C6"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A53E07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ED736A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Lo anterior por cada tipo de moneda extranjera que se encuentre en los rubros de activo y pasivo.</w:t>
      </w:r>
    </w:p>
    <w:p w14:paraId="3157C9E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Adicionalmente se informará sobre los métodos de protección de riesgo por vari</w:t>
      </w:r>
      <w:r w:rsidR="00E00323" w:rsidRPr="00F525D7">
        <w:rPr>
          <w:rFonts w:ascii="Arial" w:hAnsi="Arial" w:cs="Arial"/>
          <w:sz w:val="20"/>
          <w:szCs w:val="20"/>
        </w:rPr>
        <w:t>aciones en el tipo de cambio.</w:t>
      </w:r>
    </w:p>
    <w:p w14:paraId="0FEA2E91" w14:textId="77777777" w:rsidR="00A84C72" w:rsidRPr="00F525D7" w:rsidRDefault="00A84C72" w:rsidP="00CB41C4">
      <w:pPr>
        <w:tabs>
          <w:tab w:val="left" w:leader="underscore" w:pos="9639"/>
        </w:tabs>
        <w:spacing w:after="0" w:line="240" w:lineRule="auto"/>
        <w:jc w:val="both"/>
        <w:rPr>
          <w:rFonts w:ascii="Arial" w:hAnsi="Arial" w:cs="Arial"/>
          <w:sz w:val="20"/>
          <w:szCs w:val="20"/>
        </w:rPr>
      </w:pPr>
    </w:p>
    <w:p w14:paraId="26091D43" w14:textId="77777777" w:rsidR="007D1E76" w:rsidRPr="00F525D7" w:rsidRDefault="00A06826" w:rsidP="000C3365">
      <w:pPr>
        <w:pStyle w:val="Ttulo2"/>
        <w:rPr>
          <w:rFonts w:ascii="Arial" w:hAnsi="Arial" w:cs="Arial"/>
          <w:b/>
          <w:color w:val="auto"/>
          <w:sz w:val="20"/>
          <w:szCs w:val="20"/>
        </w:rPr>
      </w:pPr>
      <w:bookmarkStart w:id="7" w:name="_Toc136601513"/>
      <w:r>
        <w:rPr>
          <w:rFonts w:ascii="Arial" w:hAnsi="Arial" w:cs="Arial"/>
          <w:b/>
          <w:color w:val="auto"/>
          <w:sz w:val="20"/>
          <w:szCs w:val="20"/>
        </w:rPr>
        <w:t>7</w:t>
      </w:r>
      <w:r w:rsidR="007D1E76" w:rsidRPr="00F525D7">
        <w:rPr>
          <w:rFonts w:ascii="Arial" w:hAnsi="Arial" w:cs="Arial"/>
          <w:b/>
          <w:color w:val="auto"/>
          <w:sz w:val="20"/>
          <w:szCs w:val="20"/>
        </w:rPr>
        <w:t xml:space="preserve">. </w:t>
      </w:r>
      <w:r w:rsidR="00E00323" w:rsidRPr="00F525D7">
        <w:rPr>
          <w:rFonts w:ascii="Arial" w:hAnsi="Arial" w:cs="Arial"/>
          <w:b/>
          <w:color w:val="auto"/>
          <w:sz w:val="20"/>
          <w:szCs w:val="20"/>
        </w:rPr>
        <w:t>Reporte Analítico del Activo:</w:t>
      </w:r>
      <w:bookmarkEnd w:id="7"/>
    </w:p>
    <w:p w14:paraId="46B449B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Debe mostrar la siguien</w:t>
      </w:r>
      <w:r w:rsidR="00E00323" w:rsidRPr="00F525D7">
        <w:rPr>
          <w:rFonts w:ascii="Arial" w:hAnsi="Arial" w:cs="Arial"/>
          <w:sz w:val="20"/>
          <w:szCs w:val="20"/>
        </w:rPr>
        <w:t>te información:</w:t>
      </w:r>
    </w:p>
    <w:p w14:paraId="0D7DAC8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95195B6" w14:textId="77777777" w:rsidR="00775160" w:rsidRPr="00F525D7" w:rsidRDefault="007D1E76" w:rsidP="00775160">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Vida útil o porcentajes de depreciación, deterioro o amortización utilizados en los diferentes tipos de activos:</w:t>
      </w:r>
    </w:p>
    <w:p w14:paraId="39E91D97" w14:textId="77777777" w:rsidR="00775160" w:rsidRPr="00F525D7" w:rsidRDefault="00775160" w:rsidP="00775160">
      <w:pPr>
        <w:tabs>
          <w:tab w:val="left" w:leader="underscore" w:pos="9639"/>
        </w:tabs>
        <w:spacing w:after="0" w:line="240" w:lineRule="auto"/>
        <w:jc w:val="both"/>
        <w:rPr>
          <w:rFonts w:ascii="Arial" w:hAnsi="Arial" w:cs="Arial"/>
          <w:b/>
          <w:i/>
          <w:sz w:val="20"/>
          <w:szCs w:val="20"/>
          <w:lang w:eastAsia="es-MX"/>
        </w:rPr>
      </w:pPr>
    </w:p>
    <w:p w14:paraId="3F2105B8" w14:textId="77777777" w:rsidR="00775160" w:rsidRPr="00F525D7" w:rsidRDefault="00775160" w:rsidP="00775160">
      <w:pPr>
        <w:tabs>
          <w:tab w:val="left" w:leader="underscore" w:pos="9639"/>
        </w:tabs>
        <w:spacing w:after="0" w:line="240" w:lineRule="auto"/>
        <w:jc w:val="both"/>
        <w:rPr>
          <w:rFonts w:ascii="Arial" w:hAnsi="Arial" w:cs="Arial"/>
          <w:sz w:val="20"/>
          <w:szCs w:val="20"/>
        </w:rPr>
      </w:pPr>
      <w:r w:rsidRPr="00F525D7">
        <w:rPr>
          <w:rFonts w:ascii="Arial" w:hAnsi="Arial" w:cs="Arial"/>
          <w:b/>
          <w:i/>
          <w:sz w:val="20"/>
          <w:szCs w:val="20"/>
          <w:lang w:eastAsia="es-MX"/>
        </w:rPr>
        <w:t>Bienes muebles:</w:t>
      </w:r>
    </w:p>
    <w:p w14:paraId="70E531D7" w14:textId="77777777" w:rsidR="00775160" w:rsidRPr="00F525D7" w:rsidRDefault="00775160" w:rsidP="00775160">
      <w:pPr>
        <w:pStyle w:val="Prrafodelista"/>
        <w:tabs>
          <w:tab w:val="left" w:pos="1134"/>
        </w:tabs>
        <w:ind w:left="0" w:hanging="76"/>
        <w:jc w:val="both"/>
        <w:rPr>
          <w:rFonts w:ascii="Arial" w:eastAsia="Times New Roman" w:hAnsi="Arial" w:cs="Arial"/>
          <w:sz w:val="20"/>
          <w:szCs w:val="20"/>
          <w:lang w:val="es-ES" w:eastAsia="es-MX"/>
        </w:rPr>
      </w:pPr>
      <w:r w:rsidRPr="00F525D7">
        <w:rPr>
          <w:rFonts w:ascii="Arial" w:eastAsia="Times New Roman" w:hAnsi="Arial" w:cs="Arial"/>
          <w:sz w:val="20"/>
          <w:szCs w:val="20"/>
          <w:lang w:val="es-ES" w:eastAsia="es-MX"/>
        </w:rPr>
        <w:t xml:space="preserve">Los bienes muebles, se expresan a su costo de adquisición (histórico). La depreciación se calcula por el método de línea recta con base en las vidas útiles de los activos y porcentajes de depreciación, aplicadas a los valores de los bienes muebles </w:t>
      </w:r>
      <w:r w:rsidRPr="00F525D7">
        <w:rPr>
          <w:rFonts w:ascii="Arial" w:hAnsi="Arial" w:cs="Arial"/>
          <w:color w:val="000000"/>
          <w:sz w:val="20"/>
          <w:szCs w:val="20"/>
        </w:rPr>
        <w:t>como sigue:</w:t>
      </w:r>
    </w:p>
    <w:p w14:paraId="23B608AE" w14:textId="77777777" w:rsidR="00775160" w:rsidRPr="00F525D7" w:rsidRDefault="00775160" w:rsidP="00775160">
      <w:pPr>
        <w:autoSpaceDE w:val="0"/>
        <w:autoSpaceDN w:val="0"/>
        <w:adjustRightInd w:val="0"/>
        <w:ind w:hanging="76"/>
        <w:contextualSpacing/>
        <w:jc w:val="both"/>
        <w:rPr>
          <w:rFonts w:ascii="Arial" w:hAnsi="Arial" w:cs="Arial"/>
          <w:sz w:val="20"/>
          <w:szCs w:val="20"/>
          <w:lang w:eastAsia="es-MX"/>
        </w:rPr>
      </w:pPr>
    </w:p>
    <w:tbl>
      <w:tblPr>
        <w:tblW w:w="7336" w:type="dxa"/>
        <w:tblInd w:w="1455" w:type="dxa"/>
        <w:tblCellMar>
          <w:left w:w="72" w:type="dxa"/>
          <w:right w:w="72" w:type="dxa"/>
        </w:tblCellMar>
        <w:tblLook w:val="0000" w:firstRow="0" w:lastRow="0" w:firstColumn="0" w:lastColumn="0" w:noHBand="0" w:noVBand="0"/>
      </w:tblPr>
      <w:tblGrid>
        <w:gridCol w:w="5068"/>
        <w:gridCol w:w="1134"/>
        <w:gridCol w:w="1134"/>
      </w:tblGrid>
      <w:tr w:rsidR="00775160" w:rsidRPr="00F525D7" w14:paraId="67B748CC" w14:textId="77777777" w:rsidTr="00283450">
        <w:trPr>
          <w:trHeight w:val="329"/>
          <w:tblHeader/>
        </w:trPr>
        <w:tc>
          <w:tcPr>
            <w:tcW w:w="5068" w:type="dxa"/>
            <w:vAlign w:val="bottom"/>
          </w:tcPr>
          <w:p w14:paraId="1977D38E" w14:textId="77777777" w:rsidR="00775160" w:rsidRPr="00F525D7" w:rsidRDefault="00775160" w:rsidP="00283450">
            <w:pPr>
              <w:ind w:hanging="76"/>
              <w:jc w:val="both"/>
              <w:rPr>
                <w:rFonts w:ascii="Arial" w:hAnsi="Arial" w:cs="Arial"/>
                <w:color w:val="000000"/>
                <w:sz w:val="20"/>
                <w:szCs w:val="20"/>
              </w:rPr>
            </w:pPr>
            <w:r w:rsidRPr="00F525D7">
              <w:rPr>
                <w:rFonts w:ascii="Arial" w:hAnsi="Arial" w:cs="Arial"/>
                <w:b/>
                <w:bCs/>
                <w:color w:val="000000"/>
                <w:sz w:val="20"/>
                <w:szCs w:val="20"/>
                <w:lang w:eastAsia="es-MX"/>
              </w:rPr>
              <w:t>Tipo de bien</w:t>
            </w:r>
          </w:p>
        </w:tc>
        <w:tc>
          <w:tcPr>
            <w:tcW w:w="2268" w:type="dxa"/>
            <w:gridSpan w:val="2"/>
            <w:vAlign w:val="bottom"/>
          </w:tcPr>
          <w:p w14:paraId="24FBA7FC" w14:textId="77777777" w:rsidR="00775160" w:rsidRPr="00F525D7" w:rsidRDefault="00775160" w:rsidP="00283450">
            <w:pPr>
              <w:ind w:hanging="76"/>
              <w:jc w:val="both"/>
              <w:rPr>
                <w:rFonts w:ascii="Arial" w:hAnsi="Arial" w:cs="Arial"/>
                <w:b/>
                <w:bCs/>
                <w:color w:val="000000"/>
                <w:sz w:val="20"/>
                <w:szCs w:val="20"/>
                <w:lang w:eastAsia="es-MX"/>
              </w:rPr>
            </w:pPr>
            <w:r w:rsidRPr="00F525D7">
              <w:rPr>
                <w:rFonts w:ascii="Arial" w:hAnsi="Arial" w:cs="Arial"/>
                <w:b/>
                <w:bCs/>
                <w:color w:val="000000"/>
                <w:sz w:val="20"/>
                <w:szCs w:val="20"/>
                <w:lang w:eastAsia="es-MX"/>
              </w:rPr>
              <w:t xml:space="preserve">Años de vida </w:t>
            </w:r>
          </w:p>
          <w:p w14:paraId="65682744" w14:textId="77777777" w:rsidR="00775160" w:rsidRPr="00F525D7" w:rsidRDefault="00775160" w:rsidP="00283450">
            <w:pPr>
              <w:ind w:hanging="76"/>
              <w:jc w:val="both"/>
              <w:rPr>
                <w:rFonts w:ascii="Arial" w:hAnsi="Arial" w:cs="Arial"/>
                <w:b/>
                <w:bCs/>
                <w:color w:val="000000"/>
                <w:sz w:val="20"/>
                <w:szCs w:val="20"/>
                <w:lang w:eastAsia="es-MX"/>
              </w:rPr>
            </w:pPr>
            <w:r w:rsidRPr="00F525D7">
              <w:rPr>
                <w:rFonts w:ascii="Arial" w:hAnsi="Arial" w:cs="Arial"/>
                <w:b/>
                <w:bCs/>
                <w:color w:val="000000"/>
                <w:sz w:val="20"/>
                <w:szCs w:val="20"/>
                <w:lang w:eastAsia="es-MX"/>
              </w:rPr>
              <w:t>útil estimada</w:t>
            </w:r>
          </w:p>
        </w:tc>
      </w:tr>
      <w:tr w:rsidR="00775160" w:rsidRPr="00F525D7" w14:paraId="29CFE7C1" w14:textId="77777777" w:rsidTr="00283450">
        <w:trPr>
          <w:trHeight w:val="235"/>
        </w:trPr>
        <w:tc>
          <w:tcPr>
            <w:tcW w:w="5068" w:type="dxa"/>
            <w:vAlign w:val="bottom"/>
          </w:tcPr>
          <w:p w14:paraId="7D70A5EE"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659A83E9" w14:textId="6C91A83D" w:rsidR="00775160" w:rsidRPr="00F525D7" w:rsidRDefault="00775160" w:rsidP="00163C4B">
            <w:pPr>
              <w:ind w:hanging="76"/>
              <w:jc w:val="both"/>
              <w:rPr>
                <w:rFonts w:ascii="Arial" w:hAnsi="Arial" w:cs="Arial"/>
                <w:b/>
                <w:color w:val="000000"/>
                <w:sz w:val="20"/>
                <w:szCs w:val="20"/>
                <w:lang w:eastAsia="es-MX"/>
              </w:rPr>
            </w:pPr>
            <w:r w:rsidRPr="00F525D7">
              <w:rPr>
                <w:rFonts w:ascii="Arial" w:hAnsi="Arial" w:cs="Arial"/>
                <w:b/>
                <w:color w:val="000000"/>
                <w:sz w:val="20"/>
                <w:szCs w:val="20"/>
                <w:lang w:eastAsia="es-MX"/>
              </w:rPr>
              <w:t>20</w:t>
            </w:r>
            <w:r w:rsidR="00E54EDB" w:rsidRPr="00F525D7">
              <w:rPr>
                <w:rFonts w:ascii="Arial" w:hAnsi="Arial" w:cs="Arial"/>
                <w:b/>
                <w:color w:val="000000"/>
                <w:sz w:val="20"/>
                <w:szCs w:val="20"/>
                <w:lang w:eastAsia="es-MX"/>
              </w:rPr>
              <w:t>2</w:t>
            </w:r>
            <w:r w:rsidR="00D30282">
              <w:rPr>
                <w:rFonts w:ascii="Arial" w:hAnsi="Arial" w:cs="Arial"/>
                <w:b/>
                <w:color w:val="000000"/>
                <w:sz w:val="20"/>
                <w:szCs w:val="20"/>
                <w:lang w:eastAsia="es-MX"/>
              </w:rPr>
              <w:t>4</w:t>
            </w:r>
          </w:p>
        </w:tc>
        <w:tc>
          <w:tcPr>
            <w:tcW w:w="1134" w:type="dxa"/>
            <w:vAlign w:val="bottom"/>
          </w:tcPr>
          <w:p w14:paraId="73C36393" w14:textId="77777777" w:rsidR="00775160" w:rsidRPr="00F525D7" w:rsidRDefault="00775160" w:rsidP="00283450">
            <w:pPr>
              <w:ind w:hanging="76"/>
              <w:jc w:val="both"/>
              <w:rPr>
                <w:rFonts w:ascii="Arial" w:hAnsi="Arial" w:cs="Arial"/>
                <w:b/>
                <w:color w:val="000000"/>
                <w:sz w:val="20"/>
                <w:szCs w:val="20"/>
                <w:lang w:eastAsia="es-MX"/>
              </w:rPr>
            </w:pPr>
            <w:r w:rsidRPr="00F525D7">
              <w:rPr>
                <w:rFonts w:ascii="Arial" w:hAnsi="Arial" w:cs="Arial"/>
                <w:b/>
                <w:color w:val="000000"/>
                <w:sz w:val="20"/>
                <w:szCs w:val="20"/>
                <w:lang w:eastAsia="es-MX"/>
              </w:rPr>
              <w:t>% DEP</w:t>
            </w:r>
          </w:p>
        </w:tc>
      </w:tr>
      <w:tr w:rsidR="00775160" w:rsidRPr="00F525D7" w14:paraId="3C6B911A" w14:textId="77777777" w:rsidTr="00283450">
        <w:trPr>
          <w:trHeight w:val="20"/>
        </w:trPr>
        <w:tc>
          <w:tcPr>
            <w:tcW w:w="5068" w:type="dxa"/>
            <w:vAlign w:val="bottom"/>
          </w:tcPr>
          <w:p w14:paraId="27FA9994"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Bienes muebles</w:t>
            </w:r>
          </w:p>
        </w:tc>
        <w:tc>
          <w:tcPr>
            <w:tcW w:w="1134" w:type="dxa"/>
            <w:vAlign w:val="bottom"/>
          </w:tcPr>
          <w:p w14:paraId="53E27AA9"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32889291"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11013D7E" w14:textId="77777777" w:rsidTr="00283450">
        <w:trPr>
          <w:trHeight w:val="20"/>
        </w:trPr>
        <w:tc>
          <w:tcPr>
            <w:tcW w:w="5068" w:type="dxa"/>
            <w:vAlign w:val="bottom"/>
          </w:tcPr>
          <w:p w14:paraId="05AA76C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Mobiliario y equipo de administración</w:t>
            </w:r>
          </w:p>
        </w:tc>
        <w:tc>
          <w:tcPr>
            <w:tcW w:w="1134" w:type="dxa"/>
            <w:vAlign w:val="bottom"/>
          </w:tcPr>
          <w:p w14:paraId="779B6C15"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208E5FE3"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510BDEF1" w14:textId="77777777" w:rsidTr="00283450">
        <w:trPr>
          <w:trHeight w:val="20"/>
        </w:trPr>
        <w:tc>
          <w:tcPr>
            <w:tcW w:w="5068" w:type="dxa"/>
            <w:vAlign w:val="bottom"/>
          </w:tcPr>
          <w:p w14:paraId="77A0BCD3"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Muebles de oficina y estantería</w:t>
            </w:r>
          </w:p>
        </w:tc>
        <w:tc>
          <w:tcPr>
            <w:tcW w:w="1134" w:type="dxa"/>
            <w:vAlign w:val="bottom"/>
          </w:tcPr>
          <w:p w14:paraId="6C78D160"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72055146"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64FF1D98" w14:textId="77777777" w:rsidTr="00283450">
        <w:trPr>
          <w:trHeight w:val="20"/>
        </w:trPr>
        <w:tc>
          <w:tcPr>
            <w:tcW w:w="5068" w:type="dxa"/>
            <w:vAlign w:val="bottom"/>
          </w:tcPr>
          <w:p w14:paraId="4F74AEC6"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Muebles, excepto de oficina y estantería</w:t>
            </w:r>
          </w:p>
        </w:tc>
        <w:tc>
          <w:tcPr>
            <w:tcW w:w="1134" w:type="dxa"/>
            <w:vAlign w:val="bottom"/>
          </w:tcPr>
          <w:p w14:paraId="4A61B8FF"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2202EB0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1747A8C6" w14:textId="77777777" w:rsidTr="00283450">
        <w:trPr>
          <w:trHeight w:val="20"/>
        </w:trPr>
        <w:tc>
          <w:tcPr>
            <w:tcW w:w="5068" w:type="dxa"/>
            <w:vAlign w:val="bottom"/>
          </w:tcPr>
          <w:p w14:paraId="2A1F36F2"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Equipo de cómputo y de tecnologías de la información</w:t>
            </w:r>
          </w:p>
        </w:tc>
        <w:tc>
          <w:tcPr>
            <w:tcW w:w="1134" w:type="dxa"/>
            <w:vAlign w:val="bottom"/>
          </w:tcPr>
          <w:p w14:paraId="0A8BBCE1"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3.3</w:t>
            </w:r>
          </w:p>
        </w:tc>
        <w:tc>
          <w:tcPr>
            <w:tcW w:w="1134" w:type="dxa"/>
            <w:vAlign w:val="bottom"/>
          </w:tcPr>
          <w:p w14:paraId="2DD9CAD9"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30</w:t>
            </w:r>
          </w:p>
        </w:tc>
      </w:tr>
      <w:tr w:rsidR="00775160" w:rsidRPr="00F525D7" w14:paraId="49817069" w14:textId="77777777" w:rsidTr="00283450">
        <w:trPr>
          <w:trHeight w:val="20"/>
        </w:trPr>
        <w:tc>
          <w:tcPr>
            <w:tcW w:w="5068" w:type="dxa"/>
            <w:vAlign w:val="bottom"/>
          </w:tcPr>
          <w:p w14:paraId="3322616A"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Otros mobiliarios y equipos de administración</w:t>
            </w:r>
          </w:p>
        </w:tc>
        <w:tc>
          <w:tcPr>
            <w:tcW w:w="1134" w:type="dxa"/>
            <w:vAlign w:val="bottom"/>
          </w:tcPr>
          <w:p w14:paraId="48FFDCCD"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c>
          <w:tcPr>
            <w:tcW w:w="1134" w:type="dxa"/>
            <w:vAlign w:val="bottom"/>
          </w:tcPr>
          <w:p w14:paraId="1AC66E48"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10</w:t>
            </w:r>
          </w:p>
        </w:tc>
      </w:tr>
      <w:tr w:rsidR="00775160" w:rsidRPr="00F525D7" w14:paraId="10C5B718" w14:textId="77777777" w:rsidTr="00283450">
        <w:trPr>
          <w:trHeight w:val="20"/>
        </w:trPr>
        <w:tc>
          <w:tcPr>
            <w:tcW w:w="5068" w:type="dxa"/>
            <w:vAlign w:val="bottom"/>
          </w:tcPr>
          <w:p w14:paraId="05C24517"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Equipo de transporte</w:t>
            </w:r>
          </w:p>
        </w:tc>
        <w:tc>
          <w:tcPr>
            <w:tcW w:w="1134" w:type="dxa"/>
            <w:vAlign w:val="bottom"/>
          </w:tcPr>
          <w:p w14:paraId="08E127C6" w14:textId="77777777" w:rsidR="00775160" w:rsidRPr="00F525D7" w:rsidRDefault="00775160" w:rsidP="00283450">
            <w:pPr>
              <w:ind w:hanging="76"/>
              <w:jc w:val="both"/>
              <w:rPr>
                <w:rFonts w:ascii="Arial" w:hAnsi="Arial" w:cs="Arial"/>
                <w:color w:val="000000"/>
                <w:sz w:val="20"/>
                <w:szCs w:val="20"/>
                <w:lang w:eastAsia="es-MX"/>
              </w:rPr>
            </w:pPr>
          </w:p>
        </w:tc>
        <w:tc>
          <w:tcPr>
            <w:tcW w:w="1134" w:type="dxa"/>
            <w:vAlign w:val="bottom"/>
          </w:tcPr>
          <w:p w14:paraId="40BF950C" w14:textId="77777777" w:rsidR="00775160" w:rsidRPr="00F525D7" w:rsidRDefault="00775160" w:rsidP="00283450">
            <w:pPr>
              <w:ind w:hanging="76"/>
              <w:jc w:val="both"/>
              <w:rPr>
                <w:rFonts w:ascii="Arial" w:hAnsi="Arial" w:cs="Arial"/>
                <w:color w:val="000000"/>
                <w:sz w:val="20"/>
                <w:szCs w:val="20"/>
                <w:lang w:eastAsia="es-MX"/>
              </w:rPr>
            </w:pPr>
          </w:p>
        </w:tc>
      </w:tr>
      <w:tr w:rsidR="00775160" w:rsidRPr="00F525D7" w14:paraId="1BBC9401" w14:textId="77777777" w:rsidTr="00283450">
        <w:trPr>
          <w:trHeight w:val="20"/>
        </w:trPr>
        <w:tc>
          <w:tcPr>
            <w:tcW w:w="5068" w:type="dxa"/>
            <w:vAlign w:val="bottom"/>
          </w:tcPr>
          <w:p w14:paraId="0C0DBD02"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Automóviles y equipo terrestre</w:t>
            </w:r>
          </w:p>
        </w:tc>
        <w:tc>
          <w:tcPr>
            <w:tcW w:w="1134" w:type="dxa"/>
            <w:vAlign w:val="bottom"/>
          </w:tcPr>
          <w:p w14:paraId="0618AC6E"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4</w:t>
            </w:r>
          </w:p>
        </w:tc>
        <w:tc>
          <w:tcPr>
            <w:tcW w:w="1134" w:type="dxa"/>
            <w:vAlign w:val="bottom"/>
          </w:tcPr>
          <w:p w14:paraId="7B9B9C00" w14:textId="77777777" w:rsidR="00775160" w:rsidRPr="00F525D7" w:rsidRDefault="00775160" w:rsidP="00283450">
            <w:pPr>
              <w:ind w:hanging="76"/>
              <w:jc w:val="both"/>
              <w:rPr>
                <w:rFonts w:ascii="Arial" w:hAnsi="Arial" w:cs="Arial"/>
                <w:color w:val="000000"/>
                <w:sz w:val="20"/>
                <w:szCs w:val="20"/>
                <w:lang w:eastAsia="es-MX"/>
              </w:rPr>
            </w:pPr>
            <w:r w:rsidRPr="00F525D7">
              <w:rPr>
                <w:rFonts w:ascii="Arial" w:hAnsi="Arial" w:cs="Arial"/>
                <w:color w:val="000000"/>
                <w:sz w:val="20"/>
                <w:szCs w:val="20"/>
                <w:lang w:eastAsia="es-MX"/>
              </w:rPr>
              <w:t>25</w:t>
            </w:r>
          </w:p>
        </w:tc>
      </w:tr>
    </w:tbl>
    <w:p w14:paraId="2C86A256" w14:textId="77777777" w:rsidR="00163C4B" w:rsidRDefault="00163C4B" w:rsidP="00CB41C4">
      <w:pPr>
        <w:tabs>
          <w:tab w:val="left" w:leader="underscore" w:pos="9639"/>
        </w:tabs>
        <w:spacing w:after="0" w:line="240" w:lineRule="auto"/>
        <w:jc w:val="both"/>
        <w:rPr>
          <w:rFonts w:ascii="Arial" w:hAnsi="Arial" w:cs="Arial"/>
          <w:sz w:val="20"/>
          <w:szCs w:val="20"/>
        </w:rPr>
      </w:pPr>
    </w:p>
    <w:p w14:paraId="440E8B05" w14:textId="77777777" w:rsidR="00163C4B" w:rsidRPr="00F525D7" w:rsidRDefault="00163C4B" w:rsidP="00CB41C4">
      <w:pPr>
        <w:tabs>
          <w:tab w:val="left" w:leader="underscore" w:pos="9639"/>
        </w:tabs>
        <w:spacing w:after="0" w:line="240" w:lineRule="auto"/>
        <w:jc w:val="both"/>
        <w:rPr>
          <w:rFonts w:ascii="Arial" w:hAnsi="Arial" w:cs="Arial"/>
          <w:sz w:val="20"/>
          <w:szCs w:val="20"/>
        </w:rPr>
      </w:pPr>
    </w:p>
    <w:p w14:paraId="7CF8071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Cambios en el porcentaje de depreciación o valor residual de los activos:</w:t>
      </w:r>
    </w:p>
    <w:p w14:paraId="523614F7"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FCF265D"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8FFA76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Importe de los gastos capitalizados en el ejercicio, tanto financieros como de investigación y desarrollo:</w:t>
      </w:r>
    </w:p>
    <w:p w14:paraId="12C72BA9"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DE2C02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EF3204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Rie</w:t>
      </w:r>
      <w:r w:rsidR="001973A2" w:rsidRPr="00F525D7">
        <w:rPr>
          <w:rFonts w:ascii="Arial" w:hAnsi="Arial" w:cs="Arial"/>
          <w:sz w:val="20"/>
          <w:szCs w:val="20"/>
        </w:rPr>
        <w:t>s</w:t>
      </w:r>
      <w:r w:rsidRPr="00F525D7">
        <w:rPr>
          <w:rFonts w:ascii="Arial" w:hAnsi="Arial" w:cs="Arial"/>
          <w:sz w:val="20"/>
          <w:szCs w:val="20"/>
        </w:rPr>
        <w:t>gos por tipo de cambio o tipo de interés de las inversiones financieras:</w:t>
      </w:r>
    </w:p>
    <w:p w14:paraId="502A9BA9"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DA2881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F4B070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 xml:space="preserve">e) </w:t>
      </w:r>
      <w:r w:rsidRPr="00F525D7">
        <w:rPr>
          <w:rFonts w:ascii="Arial" w:hAnsi="Arial" w:cs="Arial"/>
          <w:sz w:val="20"/>
          <w:szCs w:val="20"/>
        </w:rPr>
        <w:t>Valor activado en el ejercicio de los bienes construidos por la entidad:</w:t>
      </w:r>
    </w:p>
    <w:p w14:paraId="6C59BEB5"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9F608CF" w14:textId="77777777" w:rsidR="007D1E76" w:rsidRPr="00F525D7" w:rsidRDefault="007D1E76" w:rsidP="00CB41C4">
      <w:pPr>
        <w:tabs>
          <w:tab w:val="left" w:leader="underscore" w:pos="9639"/>
        </w:tabs>
        <w:spacing w:after="0" w:line="240" w:lineRule="auto"/>
        <w:jc w:val="both"/>
        <w:rPr>
          <w:rFonts w:ascii="Arial" w:hAnsi="Arial" w:cs="Arial"/>
          <w:b/>
          <w:sz w:val="20"/>
          <w:szCs w:val="20"/>
        </w:rPr>
      </w:pPr>
    </w:p>
    <w:p w14:paraId="7EBCCC2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f)</w:t>
      </w:r>
      <w:r w:rsidRPr="00F525D7">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F0138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3429567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0E5FC5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g)</w:t>
      </w:r>
      <w:r w:rsidRPr="00F525D7">
        <w:rPr>
          <w:rFonts w:ascii="Arial" w:hAnsi="Arial" w:cs="Arial"/>
          <w:sz w:val="20"/>
          <w:szCs w:val="20"/>
        </w:rPr>
        <w:t xml:space="preserve"> Desmantelamiento de Activos, procedimientos, implicaciones, efectos contables:</w:t>
      </w:r>
    </w:p>
    <w:p w14:paraId="020DDCBD"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8D9F74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CF1517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h)</w:t>
      </w:r>
      <w:r w:rsidRPr="00F525D7">
        <w:rPr>
          <w:rFonts w:ascii="Arial" w:hAnsi="Arial" w:cs="Arial"/>
          <w:sz w:val="20"/>
          <w:szCs w:val="20"/>
        </w:rPr>
        <w:t xml:space="preserve"> Administración de activos; planeación con el objetivo de que el ente los utilice de manera más efectiva:</w:t>
      </w:r>
    </w:p>
    <w:p w14:paraId="20CF22D1"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5776492" w14:textId="77777777" w:rsidR="005E231E" w:rsidRPr="00F525D7" w:rsidRDefault="005E231E" w:rsidP="00CB41C4">
      <w:pPr>
        <w:tabs>
          <w:tab w:val="left" w:leader="underscore" w:pos="9639"/>
        </w:tabs>
        <w:spacing w:after="0" w:line="240" w:lineRule="auto"/>
        <w:jc w:val="both"/>
        <w:rPr>
          <w:rFonts w:ascii="Arial" w:hAnsi="Arial" w:cs="Arial"/>
          <w:sz w:val="20"/>
          <w:szCs w:val="20"/>
        </w:rPr>
      </w:pPr>
    </w:p>
    <w:p w14:paraId="105A1B2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Adicionalmente, se deben incluir las explicaciones de las principales variaciones en el activo, en cua</w:t>
      </w:r>
      <w:r w:rsidR="005E231E" w:rsidRPr="00F525D7">
        <w:rPr>
          <w:rFonts w:ascii="Arial" w:hAnsi="Arial" w:cs="Arial"/>
          <w:sz w:val="20"/>
          <w:szCs w:val="20"/>
        </w:rPr>
        <w:t>dros comparativos como sigue:</w:t>
      </w:r>
    </w:p>
    <w:p w14:paraId="6BD10A3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D812E9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Inversiones en valores:</w:t>
      </w:r>
    </w:p>
    <w:p w14:paraId="6FE5AF52"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5983D3C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1603DD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Patrimonio de Organismos descentralizados de Control Presupuestario Indirecto:</w:t>
      </w:r>
    </w:p>
    <w:p w14:paraId="5431B5C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121673A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025E71AF"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c)</w:t>
      </w:r>
      <w:r w:rsidRPr="00F525D7">
        <w:rPr>
          <w:rFonts w:ascii="Arial" w:hAnsi="Arial" w:cs="Arial"/>
          <w:sz w:val="20"/>
          <w:szCs w:val="20"/>
        </w:rPr>
        <w:t xml:space="preserve"> Inversiones en empresas de participación mayoritaria:</w:t>
      </w:r>
    </w:p>
    <w:p w14:paraId="7C3BEEA8"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23FAA0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F6BB1C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d)</w:t>
      </w:r>
      <w:r w:rsidRPr="00F525D7">
        <w:rPr>
          <w:rFonts w:ascii="Arial" w:hAnsi="Arial" w:cs="Arial"/>
          <w:sz w:val="20"/>
          <w:szCs w:val="20"/>
        </w:rPr>
        <w:t xml:space="preserve"> Inversiones en empresas de participación minoritaria:</w:t>
      </w:r>
    </w:p>
    <w:p w14:paraId="618FFF33"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6C3E348C" w14:textId="77777777" w:rsidR="007D1E76" w:rsidRDefault="007D1E76" w:rsidP="00CB41C4">
      <w:pPr>
        <w:tabs>
          <w:tab w:val="left" w:leader="underscore" w:pos="9639"/>
        </w:tabs>
        <w:spacing w:after="0" w:line="240" w:lineRule="auto"/>
        <w:jc w:val="both"/>
        <w:rPr>
          <w:rFonts w:ascii="Arial" w:hAnsi="Arial" w:cs="Arial"/>
          <w:sz w:val="20"/>
          <w:szCs w:val="20"/>
        </w:rPr>
      </w:pPr>
    </w:p>
    <w:p w14:paraId="2972C3B7" w14:textId="77777777" w:rsidR="00AE61EE" w:rsidRDefault="00AE61EE" w:rsidP="00CB41C4">
      <w:pPr>
        <w:tabs>
          <w:tab w:val="left" w:leader="underscore" w:pos="9639"/>
        </w:tabs>
        <w:spacing w:after="0" w:line="240" w:lineRule="auto"/>
        <w:jc w:val="both"/>
        <w:rPr>
          <w:rFonts w:ascii="Arial" w:hAnsi="Arial" w:cs="Arial"/>
          <w:sz w:val="20"/>
          <w:szCs w:val="20"/>
        </w:rPr>
      </w:pPr>
    </w:p>
    <w:p w14:paraId="32CB09D7" w14:textId="77777777" w:rsidR="00AE61EE" w:rsidRPr="00F525D7" w:rsidRDefault="00AE61EE" w:rsidP="00CB41C4">
      <w:pPr>
        <w:tabs>
          <w:tab w:val="left" w:leader="underscore" w:pos="9639"/>
        </w:tabs>
        <w:spacing w:after="0" w:line="240" w:lineRule="auto"/>
        <w:jc w:val="both"/>
        <w:rPr>
          <w:rFonts w:ascii="Arial" w:hAnsi="Arial" w:cs="Arial"/>
          <w:sz w:val="20"/>
          <w:szCs w:val="20"/>
        </w:rPr>
      </w:pPr>
    </w:p>
    <w:p w14:paraId="3245461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e)</w:t>
      </w:r>
      <w:r w:rsidRPr="00F525D7">
        <w:rPr>
          <w:rFonts w:ascii="Arial" w:hAnsi="Arial" w:cs="Arial"/>
          <w:sz w:val="20"/>
          <w:szCs w:val="20"/>
        </w:rPr>
        <w:t xml:space="preserve"> Patrimonio de organismos descentralizados de control presupuestario directo, según corresponda:</w:t>
      </w:r>
    </w:p>
    <w:p w14:paraId="269E90B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C21697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8D880B5" w14:textId="77777777" w:rsidR="007D1E76" w:rsidRPr="00F525D7" w:rsidRDefault="00A06826" w:rsidP="000C3365">
      <w:pPr>
        <w:pStyle w:val="Ttulo2"/>
        <w:rPr>
          <w:rFonts w:ascii="Arial" w:hAnsi="Arial" w:cs="Arial"/>
          <w:b/>
          <w:color w:val="auto"/>
          <w:sz w:val="20"/>
          <w:szCs w:val="20"/>
        </w:rPr>
      </w:pPr>
      <w:bookmarkStart w:id="8" w:name="_Toc136601514"/>
      <w:r>
        <w:rPr>
          <w:rFonts w:ascii="Arial" w:hAnsi="Arial" w:cs="Arial"/>
          <w:b/>
          <w:color w:val="auto"/>
          <w:sz w:val="20"/>
          <w:szCs w:val="20"/>
        </w:rPr>
        <w:t>8</w:t>
      </w:r>
      <w:r w:rsidR="007D1E76" w:rsidRPr="00F525D7">
        <w:rPr>
          <w:rFonts w:ascii="Arial" w:hAnsi="Arial" w:cs="Arial"/>
          <w:b/>
          <w:color w:val="auto"/>
          <w:sz w:val="20"/>
          <w:szCs w:val="20"/>
        </w:rPr>
        <w:t>. Fidei</w:t>
      </w:r>
      <w:r w:rsidR="005E231E" w:rsidRPr="00F525D7">
        <w:rPr>
          <w:rFonts w:ascii="Arial" w:hAnsi="Arial" w:cs="Arial"/>
          <w:b/>
          <w:color w:val="auto"/>
          <w:sz w:val="20"/>
          <w:szCs w:val="20"/>
        </w:rPr>
        <w:t>comisos, Mandatos y Análogos:</w:t>
      </w:r>
      <w:bookmarkEnd w:id="8"/>
    </w:p>
    <w:p w14:paraId="44CE5E3E"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deberá informar:</w:t>
      </w:r>
    </w:p>
    <w:p w14:paraId="3C025D1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Por ramo administrativo que los reporta:</w:t>
      </w:r>
    </w:p>
    <w:p w14:paraId="41BA432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21AE019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7EAA1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Enlistar los de mayor monto de disponibilidad, relacionando aquéllos que conforman el 80% de las disponibilidades:</w:t>
      </w:r>
    </w:p>
    <w:p w14:paraId="3550C1E0" w14:textId="77777777" w:rsidR="007D1E76" w:rsidRPr="00F525D7" w:rsidRDefault="00775160"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62A6FB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50C81F1" w14:textId="77777777" w:rsidR="007D1E76" w:rsidRPr="00F525D7" w:rsidRDefault="00A06826" w:rsidP="000C3365">
      <w:pPr>
        <w:pStyle w:val="Ttulo2"/>
        <w:rPr>
          <w:rFonts w:ascii="Arial" w:hAnsi="Arial" w:cs="Arial"/>
          <w:b/>
          <w:color w:val="auto"/>
          <w:sz w:val="20"/>
          <w:szCs w:val="20"/>
        </w:rPr>
      </w:pPr>
      <w:bookmarkStart w:id="9" w:name="_Toc136601515"/>
      <w:r>
        <w:rPr>
          <w:rFonts w:ascii="Arial" w:hAnsi="Arial" w:cs="Arial"/>
          <w:b/>
          <w:color w:val="auto"/>
          <w:sz w:val="20"/>
          <w:szCs w:val="20"/>
        </w:rPr>
        <w:t>9</w:t>
      </w:r>
      <w:r w:rsidR="007D1E76" w:rsidRPr="00F525D7">
        <w:rPr>
          <w:rFonts w:ascii="Arial" w:hAnsi="Arial" w:cs="Arial"/>
          <w:b/>
          <w:color w:val="auto"/>
          <w:sz w:val="20"/>
          <w:szCs w:val="20"/>
        </w:rPr>
        <w:t>. Reporte de la Recaudación:</w:t>
      </w:r>
      <w:bookmarkEnd w:id="9"/>
    </w:p>
    <w:p w14:paraId="5BE1D8E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024A4A3F"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770EF4D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3D34DBA"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Proyección de la recaudación e ingresos en el mediano plazo:</w:t>
      </w:r>
    </w:p>
    <w:p w14:paraId="2C59818F"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0CC0C2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EFA759B" w14:textId="77777777" w:rsidR="007D1E76" w:rsidRPr="00F525D7" w:rsidRDefault="007D1E76" w:rsidP="000C3365">
      <w:pPr>
        <w:pStyle w:val="Ttulo2"/>
        <w:rPr>
          <w:rFonts w:ascii="Arial" w:hAnsi="Arial" w:cs="Arial"/>
          <w:b/>
          <w:color w:val="auto"/>
          <w:sz w:val="20"/>
          <w:szCs w:val="20"/>
        </w:rPr>
      </w:pPr>
      <w:bookmarkStart w:id="10" w:name="_Toc136601516"/>
      <w:r w:rsidRPr="00F525D7">
        <w:rPr>
          <w:rFonts w:ascii="Arial" w:hAnsi="Arial" w:cs="Arial"/>
          <w:b/>
          <w:color w:val="auto"/>
          <w:sz w:val="20"/>
          <w:szCs w:val="20"/>
        </w:rPr>
        <w:t>1</w:t>
      </w:r>
      <w:r w:rsidR="00A06826">
        <w:rPr>
          <w:rFonts w:ascii="Arial" w:hAnsi="Arial" w:cs="Arial"/>
          <w:b/>
          <w:color w:val="auto"/>
          <w:sz w:val="20"/>
          <w:szCs w:val="20"/>
        </w:rPr>
        <w:t>0</w:t>
      </w:r>
      <w:r w:rsidRPr="00F525D7">
        <w:rPr>
          <w:rFonts w:ascii="Arial" w:hAnsi="Arial" w:cs="Arial"/>
          <w:b/>
          <w:color w:val="auto"/>
          <w:sz w:val="20"/>
          <w:szCs w:val="20"/>
        </w:rPr>
        <w:t>. Información sobre la Deuda y el R</w:t>
      </w:r>
      <w:r w:rsidR="005E231E" w:rsidRPr="00F525D7">
        <w:rPr>
          <w:rFonts w:ascii="Arial" w:hAnsi="Arial" w:cs="Arial"/>
          <w:b/>
          <w:color w:val="auto"/>
          <w:sz w:val="20"/>
          <w:szCs w:val="20"/>
        </w:rPr>
        <w:t>eporte Analítico de la Deuda:</w:t>
      </w:r>
      <w:bookmarkEnd w:id="10"/>
    </w:p>
    <w:p w14:paraId="597E7B7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Utilizar al menos los siguientes indicadores: deuda respecto al PIB y deuda respecto a la recaudación tomando, como mínimo, un período igual o menor a 5 años.</w:t>
      </w:r>
    </w:p>
    <w:p w14:paraId="6452BC5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55101166"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Información de manera agrupada por tipo de valor gubernamental o instrumento financiero en la que se considere</w:t>
      </w:r>
      <w:r w:rsidR="001973A2" w:rsidRPr="00F525D7">
        <w:rPr>
          <w:rFonts w:ascii="Arial" w:hAnsi="Arial" w:cs="Arial"/>
          <w:sz w:val="20"/>
          <w:szCs w:val="20"/>
        </w:rPr>
        <w:t>n</w:t>
      </w:r>
      <w:r w:rsidRPr="00F525D7">
        <w:rPr>
          <w:rFonts w:ascii="Arial" w:hAnsi="Arial" w:cs="Arial"/>
          <w:sz w:val="20"/>
          <w:szCs w:val="20"/>
        </w:rPr>
        <w:t xml:space="preserve"> intereses, comisiones, tasa, perfil de vencimiento y otros gastos de la deuda.</w:t>
      </w:r>
    </w:p>
    <w:p w14:paraId="64784DF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lastRenderedPageBreak/>
        <w:t xml:space="preserve">* Se </w:t>
      </w:r>
      <w:r w:rsidR="000C3365" w:rsidRPr="00F525D7">
        <w:rPr>
          <w:rFonts w:ascii="Arial" w:hAnsi="Arial" w:cs="Arial"/>
          <w:sz w:val="20"/>
          <w:szCs w:val="20"/>
        </w:rPr>
        <w:t>anexará</w:t>
      </w:r>
      <w:r w:rsidRPr="00F525D7">
        <w:rPr>
          <w:rFonts w:ascii="Arial" w:hAnsi="Arial" w:cs="Arial"/>
          <w:sz w:val="20"/>
          <w:szCs w:val="20"/>
        </w:rPr>
        <w:t xml:space="preserve"> la informació</w:t>
      </w:r>
      <w:r w:rsidR="005E231E" w:rsidRPr="00F525D7">
        <w:rPr>
          <w:rFonts w:ascii="Arial" w:hAnsi="Arial" w:cs="Arial"/>
          <w:sz w:val="20"/>
          <w:szCs w:val="20"/>
        </w:rPr>
        <w:t>n en las notas de desglose.</w:t>
      </w:r>
    </w:p>
    <w:p w14:paraId="7653193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6CFB9784" w14:textId="77777777" w:rsidR="007D1E76" w:rsidRPr="00F525D7" w:rsidRDefault="00A06826" w:rsidP="000C3365">
      <w:pPr>
        <w:pStyle w:val="Ttulo2"/>
        <w:rPr>
          <w:rFonts w:ascii="Arial" w:hAnsi="Arial" w:cs="Arial"/>
          <w:b/>
          <w:color w:val="auto"/>
          <w:sz w:val="20"/>
          <w:szCs w:val="20"/>
        </w:rPr>
      </w:pPr>
      <w:bookmarkStart w:id="11" w:name="_Toc136601517"/>
      <w:r>
        <w:rPr>
          <w:rFonts w:ascii="Arial" w:hAnsi="Arial" w:cs="Arial"/>
          <w:b/>
          <w:color w:val="auto"/>
          <w:sz w:val="20"/>
          <w:szCs w:val="20"/>
        </w:rPr>
        <w:t>11</w:t>
      </w:r>
      <w:r w:rsidR="007D1E76" w:rsidRPr="00F525D7">
        <w:rPr>
          <w:rFonts w:ascii="Arial" w:hAnsi="Arial" w:cs="Arial"/>
          <w:b/>
          <w:color w:val="auto"/>
          <w:sz w:val="20"/>
          <w:szCs w:val="20"/>
        </w:rPr>
        <w:t>.</w:t>
      </w:r>
      <w:r w:rsidR="005E231E" w:rsidRPr="00F525D7">
        <w:rPr>
          <w:rFonts w:ascii="Arial" w:hAnsi="Arial" w:cs="Arial"/>
          <w:b/>
          <w:color w:val="auto"/>
          <w:sz w:val="20"/>
          <w:szCs w:val="20"/>
        </w:rPr>
        <w:t xml:space="preserve"> Calificaciones otorgadas:</w:t>
      </w:r>
      <w:bookmarkEnd w:id="11"/>
    </w:p>
    <w:p w14:paraId="0AF08DE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Informar, tanto del ente público como cualquier transacción realizada, que haya sido sujeta a una calificación crediticia:</w:t>
      </w:r>
    </w:p>
    <w:p w14:paraId="497FAC02" w14:textId="77777777" w:rsidR="007D1E76" w:rsidRPr="00F525D7" w:rsidRDefault="00A25E9E"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41F69634"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2BED1BB0" w14:textId="77777777" w:rsidR="007D1E76" w:rsidRPr="00F525D7" w:rsidRDefault="00A06826" w:rsidP="000C3365">
      <w:pPr>
        <w:pStyle w:val="Ttulo2"/>
        <w:rPr>
          <w:rFonts w:ascii="Arial" w:hAnsi="Arial" w:cs="Arial"/>
          <w:b/>
          <w:color w:val="auto"/>
          <w:sz w:val="20"/>
          <w:szCs w:val="20"/>
        </w:rPr>
      </w:pPr>
      <w:bookmarkStart w:id="12" w:name="_Toc136601518"/>
      <w:r>
        <w:rPr>
          <w:rFonts w:ascii="Arial" w:hAnsi="Arial" w:cs="Arial"/>
          <w:b/>
          <w:color w:val="auto"/>
          <w:sz w:val="20"/>
          <w:szCs w:val="20"/>
        </w:rPr>
        <w:t>12</w:t>
      </w:r>
      <w:r w:rsidR="007D1E76" w:rsidRPr="00F525D7">
        <w:rPr>
          <w:rFonts w:ascii="Arial" w:hAnsi="Arial" w:cs="Arial"/>
          <w:b/>
          <w:color w:val="auto"/>
          <w:sz w:val="20"/>
          <w:szCs w:val="20"/>
        </w:rPr>
        <w:t>. Proceso de Mejora:</w:t>
      </w:r>
      <w:bookmarkEnd w:id="12"/>
    </w:p>
    <w:p w14:paraId="424BFDC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7852FEF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informará de:</w:t>
      </w:r>
    </w:p>
    <w:p w14:paraId="230C8E32"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a)</w:t>
      </w:r>
      <w:r w:rsidRPr="00F525D7">
        <w:rPr>
          <w:rFonts w:ascii="Arial" w:hAnsi="Arial" w:cs="Arial"/>
          <w:sz w:val="20"/>
          <w:szCs w:val="20"/>
        </w:rPr>
        <w:t xml:space="preserve"> Principales Políticas de control interno:</w:t>
      </w:r>
    </w:p>
    <w:p w14:paraId="33B7D1D5" w14:textId="77777777" w:rsidR="007D1E76" w:rsidRPr="00F525D7" w:rsidRDefault="00E907BD" w:rsidP="00E907BD">
      <w:pPr>
        <w:jc w:val="both"/>
        <w:rPr>
          <w:rFonts w:ascii="Arial" w:hAnsi="Arial" w:cs="Arial"/>
          <w:sz w:val="20"/>
          <w:szCs w:val="20"/>
        </w:rPr>
      </w:pPr>
      <w:r w:rsidRPr="00F525D7">
        <w:rPr>
          <w:rFonts w:ascii="Arial" w:hAnsi="Arial" w:cs="Arial"/>
          <w:sz w:val="20"/>
          <w:szCs w:val="20"/>
        </w:rPr>
        <w:t>Normativas al interior del Fideicomiso que regulan el apego a los procesos. Implementación de Administración de riegos. Se adjunta.</w:t>
      </w:r>
    </w:p>
    <w:p w14:paraId="2DF99EAA" w14:textId="77777777" w:rsidR="00C8277F" w:rsidRPr="00F525D7" w:rsidRDefault="00C8277F" w:rsidP="00CB41C4">
      <w:pPr>
        <w:tabs>
          <w:tab w:val="left" w:leader="underscore" w:pos="9639"/>
        </w:tabs>
        <w:spacing w:after="0" w:line="240" w:lineRule="auto"/>
        <w:jc w:val="both"/>
        <w:rPr>
          <w:rFonts w:ascii="Arial" w:hAnsi="Arial" w:cs="Arial"/>
          <w:b/>
          <w:sz w:val="20"/>
          <w:szCs w:val="20"/>
        </w:rPr>
      </w:pPr>
    </w:p>
    <w:p w14:paraId="5C48A1C5"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t>b)</w:t>
      </w:r>
      <w:r w:rsidRPr="00F525D7">
        <w:rPr>
          <w:rFonts w:ascii="Arial" w:hAnsi="Arial" w:cs="Arial"/>
          <w:sz w:val="20"/>
          <w:szCs w:val="20"/>
        </w:rPr>
        <w:t xml:space="preserve"> Medidas de desempeño financiero, metas y alcance:</w:t>
      </w:r>
    </w:p>
    <w:p w14:paraId="6972DD61" w14:textId="77777777" w:rsidR="00E907BD" w:rsidRPr="00F525D7" w:rsidRDefault="00E907BD" w:rsidP="00E907BD">
      <w:pPr>
        <w:spacing w:after="0" w:line="240" w:lineRule="auto"/>
        <w:jc w:val="both"/>
        <w:rPr>
          <w:rFonts w:ascii="Arial" w:hAnsi="Arial" w:cs="Arial"/>
          <w:sz w:val="20"/>
          <w:szCs w:val="20"/>
        </w:rPr>
      </w:pPr>
      <w:r w:rsidRPr="00F525D7">
        <w:rPr>
          <w:rFonts w:ascii="Arial" w:hAnsi="Arial" w:cs="Arial"/>
          <w:sz w:val="20"/>
          <w:szCs w:val="20"/>
        </w:rPr>
        <w:t xml:space="preserve">Se cuenta con un esquema de medición basado en resultados, donde los Ejecutivos de Promoción y Gerentes de Sucursal tienen asignación de metas. Las metas </w:t>
      </w:r>
      <w:r w:rsidR="005208D0" w:rsidRPr="00F525D7">
        <w:rPr>
          <w:rFonts w:ascii="Arial" w:hAnsi="Arial" w:cs="Arial"/>
          <w:sz w:val="20"/>
          <w:szCs w:val="20"/>
        </w:rPr>
        <w:t>son número</w:t>
      </w:r>
      <w:r w:rsidRPr="00F525D7">
        <w:rPr>
          <w:rFonts w:ascii="Arial" w:hAnsi="Arial" w:cs="Arial"/>
          <w:sz w:val="20"/>
          <w:szCs w:val="20"/>
        </w:rPr>
        <w:t xml:space="preserve"> de créditos a colocar y cartera vencida por recuperar. En junta directiva se revisa semanalmente el resultado de productividad de créditos a colocar por </w:t>
      </w:r>
      <w:r w:rsidR="005208D0" w:rsidRPr="00F525D7">
        <w:rPr>
          <w:rFonts w:ascii="Arial" w:hAnsi="Arial" w:cs="Arial"/>
          <w:sz w:val="20"/>
          <w:szCs w:val="20"/>
        </w:rPr>
        <w:t>Ejecutivo de</w:t>
      </w:r>
      <w:r w:rsidRPr="00F525D7">
        <w:rPr>
          <w:rFonts w:ascii="Arial" w:hAnsi="Arial" w:cs="Arial"/>
          <w:sz w:val="20"/>
          <w:szCs w:val="20"/>
        </w:rPr>
        <w:t xml:space="preserve"> Promoción y Gerentes de Sucursal.</w:t>
      </w:r>
    </w:p>
    <w:p w14:paraId="76A3B1C5" w14:textId="77777777" w:rsidR="00E907BD" w:rsidRPr="00F525D7" w:rsidRDefault="00E907BD" w:rsidP="00E907BD">
      <w:pPr>
        <w:spacing w:after="0" w:line="240" w:lineRule="auto"/>
        <w:jc w:val="both"/>
        <w:rPr>
          <w:rFonts w:ascii="Arial" w:hAnsi="Arial" w:cs="Arial"/>
          <w:sz w:val="20"/>
          <w:szCs w:val="20"/>
        </w:rPr>
      </w:pPr>
      <w:r w:rsidRPr="00F525D7">
        <w:rPr>
          <w:rFonts w:ascii="Arial" w:hAnsi="Arial" w:cs="Arial"/>
          <w:sz w:val="20"/>
          <w:szCs w:val="20"/>
        </w:rPr>
        <w:t xml:space="preserve">El resultado de cumplimiento a metas se presenta al Comité Técnico. </w:t>
      </w:r>
    </w:p>
    <w:p w14:paraId="00E7C31D" w14:textId="77777777" w:rsidR="007D1E76" w:rsidRPr="00F525D7" w:rsidRDefault="00E907BD" w:rsidP="00E907BD">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adjunta presentación de cumplimiento a metas, resultado o ranking de Ejecutivos de Promoción y Gerentes de Sucursal.</w:t>
      </w:r>
    </w:p>
    <w:p w14:paraId="5634DC6B"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4F8C725" w14:textId="77777777" w:rsidR="007D1E76" w:rsidRPr="00F525D7" w:rsidRDefault="007D1E76" w:rsidP="000C3365">
      <w:pPr>
        <w:pStyle w:val="Ttulo2"/>
        <w:rPr>
          <w:rFonts w:ascii="Arial" w:hAnsi="Arial" w:cs="Arial"/>
          <w:b/>
          <w:color w:val="auto"/>
          <w:sz w:val="20"/>
          <w:szCs w:val="20"/>
        </w:rPr>
      </w:pPr>
      <w:bookmarkStart w:id="13" w:name="_Toc136601519"/>
      <w:r w:rsidRPr="00F525D7">
        <w:rPr>
          <w:rFonts w:ascii="Arial" w:hAnsi="Arial" w:cs="Arial"/>
          <w:b/>
          <w:color w:val="auto"/>
          <w:sz w:val="20"/>
          <w:szCs w:val="20"/>
        </w:rPr>
        <w:t>1</w:t>
      </w:r>
      <w:r w:rsidR="00A06826">
        <w:rPr>
          <w:rFonts w:ascii="Arial" w:hAnsi="Arial" w:cs="Arial"/>
          <w:b/>
          <w:color w:val="auto"/>
          <w:sz w:val="20"/>
          <w:szCs w:val="20"/>
        </w:rPr>
        <w:t>3</w:t>
      </w:r>
      <w:r w:rsidR="005E231E" w:rsidRPr="00F525D7">
        <w:rPr>
          <w:rFonts w:ascii="Arial" w:hAnsi="Arial" w:cs="Arial"/>
          <w:b/>
          <w:color w:val="auto"/>
          <w:sz w:val="20"/>
          <w:szCs w:val="20"/>
        </w:rPr>
        <w:t>. Información por Segmentos:</w:t>
      </w:r>
      <w:bookmarkEnd w:id="13"/>
    </w:p>
    <w:p w14:paraId="16FCA651"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5853D0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138319F3"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Consecuentemente, esta información contribuye al análisis más preciso de la situación financiera, grados y fuentes de riesgo y crec</w:t>
      </w:r>
      <w:r w:rsidR="005E231E" w:rsidRPr="00F525D7">
        <w:rPr>
          <w:rFonts w:ascii="Arial" w:hAnsi="Arial" w:cs="Arial"/>
          <w:sz w:val="20"/>
          <w:szCs w:val="20"/>
        </w:rPr>
        <w:t>imiento potencial de negocio.</w:t>
      </w:r>
    </w:p>
    <w:p w14:paraId="2787420A" w14:textId="77777777" w:rsidR="00E907BD" w:rsidRPr="00F525D7" w:rsidRDefault="00E907B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Aplica.</w:t>
      </w:r>
    </w:p>
    <w:p w14:paraId="0AFD4D68"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328F451B" w14:textId="77777777" w:rsidR="007D1E76" w:rsidRPr="00F525D7" w:rsidRDefault="007D1E76" w:rsidP="000C3365">
      <w:pPr>
        <w:pStyle w:val="Ttulo2"/>
        <w:rPr>
          <w:rFonts w:ascii="Arial" w:hAnsi="Arial" w:cs="Arial"/>
          <w:b/>
          <w:color w:val="auto"/>
          <w:sz w:val="20"/>
          <w:szCs w:val="20"/>
        </w:rPr>
      </w:pPr>
      <w:bookmarkStart w:id="14" w:name="_Toc136601520"/>
      <w:r w:rsidRPr="00F525D7">
        <w:rPr>
          <w:rFonts w:ascii="Arial" w:hAnsi="Arial" w:cs="Arial"/>
          <w:b/>
          <w:color w:val="auto"/>
          <w:sz w:val="20"/>
          <w:szCs w:val="20"/>
        </w:rPr>
        <w:t>1</w:t>
      </w:r>
      <w:r w:rsidR="00A06826">
        <w:rPr>
          <w:rFonts w:ascii="Arial" w:hAnsi="Arial" w:cs="Arial"/>
          <w:b/>
          <w:color w:val="auto"/>
          <w:sz w:val="20"/>
          <w:szCs w:val="20"/>
        </w:rPr>
        <w:t>4</w:t>
      </w:r>
      <w:r w:rsidRPr="00F525D7">
        <w:rPr>
          <w:rFonts w:ascii="Arial" w:hAnsi="Arial" w:cs="Arial"/>
          <w:b/>
          <w:color w:val="auto"/>
          <w:sz w:val="20"/>
          <w:szCs w:val="20"/>
        </w:rPr>
        <w:t>. E</w:t>
      </w:r>
      <w:r w:rsidR="005E231E" w:rsidRPr="00F525D7">
        <w:rPr>
          <w:rFonts w:ascii="Arial" w:hAnsi="Arial" w:cs="Arial"/>
          <w:b/>
          <w:color w:val="auto"/>
          <w:sz w:val="20"/>
          <w:szCs w:val="20"/>
        </w:rPr>
        <w:t>ventos Posteriores al Cierre:</w:t>
      </w:r>
      <w:bookmarkEnd w:id="14"/>
    </w:p>
    <w:p w14:paraId="3D5AEABC"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5208D0" w:rsidRPr="00F525D7">
        <w:rPr>
          <w:rFonts w:ascii="Arial" w:hAnsi="Arial" w:cs="Arial"/>
          <w:sz w:val="20"/>
          <w:szCs w:val="20"/>
        </w:rPr>
        <w:t>afectan económicamente</w:t>
      </w:r>
      <w:r w:rsidRPr="00F525D7">
        <w:rPr>
          <w:rFonts w:ascii="Arial" w:hAnsi="Arial" w:cs="Arial"/>
          <w:sz w:val="20"/>
          <w:szCs w:val="20"/>
        </w:rPr>
        <w:t xml:space="preserve"> y que no se cono</w:t>
      </w:r>
      <w:r w:rsidR="005E231E" w:rsidRPr="00F525D7">
        <w:rPr>
          <w:rFonts w:ascii="Arial" w:hAnsi="Arial" w:cs="Arial"/>
          <w:sz w:val="20"/>
          <w:szCs w:val="20"/>
        </w:rPr>
        <w:t>cían a la fecha de cierre.</w:t>
      </w:r>
      <w:r w:rsidR="005E231E" w:rsidRPr="00F525D7">
        <w:rPr>
          <w:rFonts w:ascii="Arial" w:hAnsi="Arial" w:cs="Arial"/>
          <w:sz w:val="20"/>
          <w:szCs w:val="20"/>
        </w:rPr>
        <w:cr/>
      </w:r>
    </w:p>
    <w:p w14:paraId="63EC048A" w14:textId="77777777" w:rsidR="007D1E76" w:rsidRPr="00F525D7" w:rsidRDefault="00A06826" w:rsidP="000C3365">
      <w:pPr>
        <w:pStyle w:val="Ttulo2"/>
        <w:rPr>
          <w:rFonts w:ascii="Arial" w:hAnsi="Arial" w:cs="Arial"/>
          <w:b/>
          <w:color w:val="auto"/>
          <w:sz w:val="20"/>
          <w:szCs w:val="20"/>
        </w:rPr>
      </w:pPr>
      <w:bookmarkStart w:id="15" w:name="_Toc136601521"/>
      <w:r>
        <w:rPr>
          <w:rFonts w:ascii="Arial" w:hAnsi="Arial" w:cs="Arial"/>
          <w:b/>
          <w:color w:val="auto"/>
          <w:sz w:val="20"/>
          <w:szCs w:val="20"/>
        </w:rPr>
        <w:t>15</w:t>
      </w:r>
      <w:r w:rsidR="005E231E" w:rsidRPr="00F525D7">
        <w:rPr>
          <w:rFonts w:ascii="Arial" w:hAnsi="Arial" w:cs="Arial"/>
          <w:b/>
          <w:color w:val="auto"/>
          <w:sz w:val="20"/>
          <w:szCs w:val="20"/>
        </w:rPr>
        <w:t>. Partes Relacionadas:</w:t>
      </w:r>
      <w:bookmarkEnd w:id="15"/>
    </w:p>
    <w:p w14:paraId="7076FE97"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Se debe establecer por escrito que no existen partes relacionadas que pudieran ejercer influencia significativa sobre la toma de decisiones financieras y operativas:</w:t>
      </w:r>
    </w:p>
    <w:p w14:paraId="2011EC9B" w14:textId="77777777" w:rsidR="007D1E76" w:rsidRPr="00F525D7" w:rsidRDefault="00E907BD"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No Existen Partes Relacionadas.</w:t>
      </w:r>
    </w:p>
    <w:p w14:paraId="6AAEB2A0"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B07866E" w14:textId="77777777" w:rsidR="007D1E76" w:rsidRPr="00F525D7" w:rsidRDefault="00A06826" w:rsidP="00F46719">
      <w:pPr>
        <w:pStyle w:val="Ttulo2"/>
        <w:rPr>
          <w:rFonts w:ascii="Arial" w:hAnsi="Arial" w:cs="Arial"/>
          <w:b/>
          <w:color w:val="auto"/>
          <w:sz w:val="20"/>
          <w:szCs w:val="20"/>
        </w:rPr>
      </w:pPr>
      <w:bookmarkStart w:id="16" w:name="_Toc136601522"/>
      <w:r>
        <w:rPr>
          <w:rFonts w:ascii="Arial" w:hAnsi="Arial" w:cs="Arial"/>
          <w:b/>
          <w:color w:val="auto"/>
          <w:sz w:val="20"/>
          <w:szCs w:val="20"/>
        </w:rPr>
        <w:t>16</w:t>
      </w:r>
      <w:r w:rsidR="007D1E76" w:rsidRPr="00F525D7">
        <w:rPr>
          <w:rFonts w:ascii="Arial" w:hAnsi="Arial" w:cs="Arial"/>
          <w:b/>
          <w:color w:val="auto"/>
          <w:sz w:val="20"/>
          <w:szCs w:val="20"/>
        </w:rPr>
        <w:t xml:space="preserve">. </w:t>
      </w:r>
      <w:r w:rsidR="001973A2" w:rsidRPr="00F525D7">
        <w:rPr>
          <w:rFonts w:ascii="Arial" w:hAnsi="Arial" w:cs="Arial"/>
          <w:b/>
          <w:color w:val="auto"/>
          <w:sz w:val="20"/>
          <w:szCs w:val="20"/>
        </w:rPr>
        <w:t>Responsabilidad Sobre la Presentación Razonable de la Información Contable</w:t>
      </w:r>
      <w:r w:rsidR="005E231E" w:rsidRPr="00F525D7">
        <w:rPr>
          <w:rFonts w:ascii="Arial" w:hAnsi="Arial" w:cs="Arial"/>
          <w:b/>
          <w:color w:val="auto"/>
          <w:sz w:val="20"/>
          <w:szCs w:val="20"/>
        </w:rPr>
        <w:t>:</w:t>
      </w:r>
      <w:bookmarkEnd w:id="16"/>
    </w:p>
    <w:p w14:paraId="7ABD0FC9" w14:textId="77777777" w:rsidR="007D1E76" w:rsidRPr="00F525D7" w:rsidRDefault="007D1E76" w:rsidP="00CB41C4">
      <w:pPr>
        <w:tabs>
          <w:tab w:val="left" w:leader="underscore" w:pos="9639"/>
        </w:tabs>
        <w:spacing w:after="0" w:line="240" w:lineRule="auto"/>
        <w:jc w:val="both"/>
        <w:rPr>
          <w:rFonts w:ascii="Arial" w:hAnsi="Arial" w:cs="Arial"/>
          <w:sz w:val="20"/>
          <w:szCs w:val="20"/>
        </w:rPr>
      </w:pPr>
    </w:p>
    <w:p w14:paraId="42138C74" w14:textId="77777777" w:rsidR="007D1E76" w:rsidRPr="00F525D7" w:rsidRDefault="001973A2" w:rsidP="00CB41C4">
      <w:pPr>
        <w:tabs>
          <w:tab w:val="left" w:leader="underscore" w:pos="9639"/>
        </w:tabs>
        <w:spacing w:after="0" w:line="240" w:lineRule="auto"/>
        <w:jc w:val="both"/>
        <w:rPr>
          <w:rFonts w:ascii="Arial" w:hAnsi="Arial" w:cs="Arial"/>
          <w:sz w:val="20"/>
          <w:szCs w:val="20"/>
        </w:rPr>
      </w:pPr>
      <w:r w:rsidRPr="00F525D7">
        <w:rPr>
          <w:rFonts w:ascii="Arial" w:hAnsi="Arial" w:cs="Arial"/>
          <w:sz w:val="20"/>
          <w:szCs w:val="20"/>
        </w:rPr>
        <w:t xml:space="preserve">La Información Contable </w:t>
      </w:r>
      <w:r w:rsidR="00040D4F" w:rsidRPr="00F525D7">
        <w:rPr>
          <w:rFonts w:ascii="Arial" w:hAnsi="Arial" w:cs="Arial"/>
          <w:sz w:val="20"/>
          <w:szCs w:val="20"/>
        </w:rPr>
        <w:t xml:space="preserve">está </w:t>
      </w:r>
      <w:r w:rsidRPr="00F525D7">
        <w:rPr>
          <w:rFonts w:ascii="Arial" w:hAnsi="Arial" w:cs="Arial"/>
          <w:sz w:val="20"/>
          <w:szCs w:val="20"/>
        </w:rPr>
        <w:t xml:space="preserve">firmada en cada página de </w:t>
      </w:r>
      <w:proofErr w:type="gramStart"/>
      <w:r w:rsidRPr="00F525D7">
        <w:rPr>
          <w:rFonts w:ascii="Arial" w:hAnsi="Arial" w:cs="Arial"/>
          <w:sz w:val="20"/>
          <w:szCs w:val="20"/>
        </w:rPr>
        <w:t>la misma</w:t>
      </w:r>
      <w:proofErr w:type="gramEnd"/>
      <w:r w:rsidR="00040D4F" w:rsidRPr="00F525D7">
        <w:rPr>
          <w:rFonts w:ascii="Arial" w:hAnsi="Arial" w:cs="Arial"/>
          <w:sz w:val="20"/>
          <w:szCs w:val="20"/>
        </w:rPr>
        <w:t xml:space="preserve"> y se </w:t>
      </w:r>
      <w:r w:rsidRPr="00F525D7">
        <w:rPr>
          <w:rFonts w:ascii="Arial" w:hAnsi="Arial" w:cs="Arial"/>
          <w:sz w:val="20"/>
          <w:szCs w:val="20"/>
        </w:rPr>
        <w:t>inclu</w:t>
      </w:r>
      <w:r w:rsidR="00040D4F" w:rsidRPr="00F525D7">
        <w:rPr>
          <w:rFonts w:ascii="Arial" w:hAnsi="Arial" w:cs="Arial"/>
          <w:sz w:val="20"/>
          <w:szCs w:val="20"/>
        </w:rPr>
        <w:t>ye</w:t>
      </w:r>
      <w:r w:rsidRPr="00F525D7">
        <w:rPr>
          <w:rFonts w:ascii="Arial" w:hAnsi="Arial" w:cs="Arial"/>
          <w:sz w:val="20"/>
          <w:szCs w:val="20"/>
        </w:rPr>
        <w:t xml:space="preserve"> al final la siguiente leyenda: “Bajo protesta de decir verdad declaramos que los Estados Financieros y sus notas, son razonablemente correctos y son responsabilidad del emisor”. Lo anterior, no </w:t>
      </w:r>
      <w:r w:rsidR="00040D4F" w:rsidRPr="00F525D7">
        <w:rPr>
          <w:rFonts w:ascii="Arial" w:hAnsi="Arial" w:cs="Arial"/>
          <w:sz w:val="20"/>
          <w:szCs w:val="20"/>
        </w:rPr>
        <w:t>es</w:t>
      </w:r>
      <w:r w:rsidRPr="00F525D7">
        <w:rPr>
          <w:rFonts w:ascii="Arial" w:hAnsi="Arial" w:cs="Arial"/>
          <w:sz w:val="20"/>
          <w:szCs w:val="20"/>
        </w:rPr>
        <w:t xml:space="preserve"> aplicable para la información contable consolidada.</w:t>
      </w:r>
    </w:p>
    <w:p w14:paraId="0300107E" w14:textId="77777777" w:rsidR="007D1E76" w:rsidRPr="00F525D7" w:rsidRDefault="007D1E76" w:rsidP="00CB41C4">
      <w:pPr>
        <w:pBdr>
          <w:bottom w:val="single" w:sz="12" w:space="1" w:color="auto"/>
        </w:pBdr>
        <w:tabs>
          <w:tab w:val="left" w:leader="underscore" w:pos="9639"/>
        </w:tabs>
        <w:spacing w:after="0" w:line="240" w:lineRule="auto"/>
        <w:jc w:val="both"/>
        <w:rPr>
          <w:rFonts w:ascii="Arial" w:hAnsi="Arial" w:cs="Arial"/>
          <w:sz w:val="20"/>
          <w:szCs w:val="20"/>
        </w:rPr>
      </w:pPr>
    </w:p>
    <w:p w14:paraId="348556CA" w14:textId="77777777" w:rsidR="00AE1F6A" w:rsidRPr="00F525D7" w:rsidRDefault="00AE1F6A" w:rsidP="00CB41C4">
      <w:pPr>
        <w:tabs>
          <w:tab w:val="left" w:leader="underscore" w:pos="9639"/>
        </w:tabs>
        <w:spacing w:after="0" w:line="240" w:lineRule="auto"/>
        <w:jc w:val="both"/>
        <w:rPr>
          <w:rFonts w:ascii="Arial" w:hAnsi="Arial" w:cs="Arial"/>
          <w:sz w:val="20"/>
          <w:szCs w:val="20"/>
        </w:rPr>
      </w:pPr>
      <w:r w:rsidRPr="00F525D7">
        <w:rPr>
          <w:rFonts w:ascii="Arial" w:hAnsi="Arial" w:cs="Arial"/>
          <w:b/>
          <w:sz w:val="20"/>
          <w:szCs w:val="20"/>
        </w:rPr>
        <w:lastRenderedPageBreak/>
        <w:t xml:space="preserve">Nota </w:t>
      </w:r>
      <w:r w:rsidR="00CF1316" w:rsidRPr="00F525D7">
        <w:rPr>
          <w:rFonts w:ascii="Arial" w:hAnsi="Arial" w:cs="Arial"/>
          <w:b/>
          <w:sz w:val="20"/>
          <w:szCs w:val="20"/>
        </w:rPr>
        <w:t>1</w:t>
      </w:r>
      <w:r w:rsidRPr="00F525D7">
        <w:rPr>
          <w:rFonts w:ascii="Arial" w:hAnsi="Arial" w:cs="Arial"/>
          <w:sz w:val="20"/>
          <w:szCs w:val="20"/>
        </w:rPr>
        <w:t>: En cada una de las 16 notas de gestión administrativa el ente público deberá poner la nota correspondiente o en su caso la leyenda “Esta nota no le aplica al ente público” y una breve explicación del motivo</w:t>
      </w:r>
      <w:r w:rsidR="00D21C42" w:rsidRPr="00F525D7">
        <w:rPr>
          <w:rFonts w:ascii="Arial" w:hAnsi="Arial" w:cs="Arial"/>
          <w:sz w:val="20"/>
          <w:szCs w:val="20"/>
        </w:rPr>
        <w:t xml:space="preserve"> por el cual no le es aplicable.</w:t>
      </w:r>
    </w:p>
    <w:p w14:paraId="7A5F52E1" w14:textId="77777777" w:rsidR="00E54EDB" w:rsidRPr="00F525D7" w:rsidRDefault="00E54EDB" w:rsidP="00CB41C4">
      <w:pPr>
        <w:pBdr>
          <w:bottom w:val="single" w:sz="12" w:space="1" w:color="auto"/>
        </w:pBdr>
        <w:tabs>
          <w:tab w:val="left" w:leader="underscore" w:pos="9639"/>
        </w:tabs>
        <w:spacing w:after="0" w:line="240" w:lineRule="auto"/>
        <w:jc w:val="both"/>
        <w:rPr>
          <w:rFonts w:ascii="Arial" w:hAnsi="Arial" w:cs="Arial"/>
          <w:sz w:val="20"/>
          <w:szCs w:val="20"/>
        </w:rPr>
      </w:pPr>
    </w:p>
    <w:p w14:paraId="35FB8E3B" w14:textId="77777777" w:rsidR="00E54EDB" w:rsidRPr="00F525D7" w:rsidRDefault="00E926EE" w:rsidP="00E54EDB">
      <w:pPr>
        <w:rPr>
          <w:rFonts w:ascii="Arial" w:hAnsi="Arial" w:cs="Arial"/>
          <w:sz w:val="20"/>
          <w:szCs w:val="20"/>
        </w:rPr>
      </w:pPr>
      <w:r w:rsidRPr="00F525D7">
        <w:rPr>
          <w:rFonts w:ascii="Arial" w:hAnsi="Arial" w:cs="Arial"/>
          <w:sz w:val="20"/>
          <w:szCs w:val="20"/>
        </w:rPr>
        <w:t>“Bajo protesta de decir verdad declaramos que los Estados Financieros y sus notas, son razonablemente correctos y son responsabilidad del emisor”</w:t>
      </w:r>
    </w:p>
    <w:p w14:paraId="0E8C3717" w14:textId="77777777" w:rsidR="001E396D" w:rsidRPr="00F525D7" w:rsidRDefault="001E396D" w:rsidP="00E54EDB">
      <w:pPr>
        <w:rPr>
          <w:rFonts w:ascii="Arial" w:hAnsi="Arial" w:cs="Arial"/>
          <w:sz w:val="20"/>
          <w:szCs w:val="20"/>
        </w:rPr>
      </w:pPr>
    </w:p>
    <w:p w14:paraId="342A3609" w14:textId="6FC96B18" w:rsidR="00E54EDB" w:rsidRDefault="0023561F" w:rsidP="00E54EDB">
      <w:pPr>
        <w:rPr>
          <w:rFonts w:cs="Calibri"/>
        </w:rPr>
      </w:pPr>
      <w:r>
        <w:rPr>
          <w:noProof/>
          <w:lang w:eastAsia="es-MX"/>
        </w:rPr>
        <mc:AlternateContent>
          <mc:Choice Requires="wps">
            <w:drawing>
              <wp:anchor distT="4294967295" distB="4294967295" distL="114300" distR="114300" simplePos="0" relativeHeight="251660288" behindDoc="0" locked="0" layoutInCell="1" allowOverlap="1" wp14:anchorId="074D9CAB" wp14:editId="7B470CF7">
                <wp:simplePos x="0" y="0"/>
                <wp:positionH relativeFrom="column">
                  <wp:posOffset>3314700</wp:posOffset>
                </wp:positionH>
                <wp:positionV relativeFrom="paragraph">
                  <wp:posOffset>311149</wp:posOffset>
                </wp:positionV>
                <wp:extent cx="2464435" cy="0"/>
                <wp:effectExtent l="0" t="0" r="0" b="0"/>
                <wp:wrapNone/>
                <wp:docPr id="140311970"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EAC959" id="4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4.5pt" to="45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" strokecolor="black [3200]" strokeweight=".5pt">
                <v:stroke joinstyle="miter"/>
                <o:lock v:ext="edit" shapetype="f"/>
              </v:line>
            </w:pict>
          </mc:Fallback>
        </mc:AlternateContent>
      </w:r>
      <w:r>
        <w:rPr>
          <w:noProof/>
          <w:lang w:eastAsia="es-MX"/>
        </w:rPr>
        <mc:AlternateContent>
          <mc:Choice Requires="wps">
            <w:drawing>
              <wp:anchor distT="4294967295" distB="4294967295" distL="114300" distR="114300" simplePos="0" relativeHeight="251658240" behindDoc="0" locked="0" layoutInCell="1" allowOverlap="1" wp14:anchorId="47800298" wp14:editId="49FE918B">
                <wp:simplePos x="0" y="0"/>
                <wp:positionH relativeFrom="column">
                  <wp:posOffset>609600</wp:posOffset>
                </wp:positionH>
                <wp:positionV relativeFrom="paragraph">
                  <wp:posOffset>311149</wp:posOffset>
                </wp:positionV>
                <wp:extent cx="2464435" cy="0"/>
                <wp:effectExtent l="0" t="0" r="0"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DAD943" id="4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4.5pt" to="24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" strokecolor="black [3200]" strokeweight=".5pt">
                <v:stroke joinstyle="miter"/>
                <o:lock v:ext="edit" shapetype="f"/>
              </v:line>
            </w:pict>
          </mc:Fallback>
        </mc:AlternateContent>
      </w:r>
    </w:p>
    <w:p w14:paraId="5267D873" w14:textId="0F4A8538" w:rsidR="000D1402" w:rsidRDefault="009C14B5" w:rsidP="000D1402">
      <w:pPr>
        <w:tabs>
          <w:tab w:val="left" w:pos="5310"/>
        </w:tabs>
        <w:jc w:val="center"/>
        <w:rPr>
          <w:rFonts w:cs="Calibri"/>
        </w:rPr>
      </w:pPr>
      <w:r>
        <w:rPr>
          <w:rFonts w:cs="Calibri"/>
        </w:rPr>
        <w:t xml:space="preserve">  Ricardo Martínez </w:t>
      </w:r>
      <w:proofErr w:type="spellStart"/>
      <w:r>
        <w:rPr>
          <w:rFonts w:cs="Calibri"/>
        </w:rPr>
        <w:t>Huaracha</w:t>
      </w:r>
      <w:proofErr w:type="spellEnd"/>
      <w:r w:rsidR="000D1402">
        <w:rPr>
          <w:rFonts w:cs="Calibri"/>
        </w:rPr>
        <w:t xml:space="preserve">                      </w:t>
      </w:r>
      <w:r>
        <w:rPr>
          <w:rFonts w:cs="Calibri"/>
        </w:rPr>
        <w:t xml:space="preserve">     </w:t>
      </w:r>
      <w:r w:rsidR="000D1402">
        <w:rPr>
          <w:rFonts w:cs="Calibri"/>
        </w:rPr>
        <w:t xml:space="preserve"> </w:t>
      </w:r>
      <w:r w:rsidR="00551F03">
        <w:rPr>
          <w:rFonts w:cs="Calibri"/>
        </w:rPr>
        <w:t xml:space="preserve"> </w:t>
      </w:r>
      <w:r>
        <w:rPr>
          <w:rFonts w:cs="Calibri"/>
        </w:rPr>
        <w:t xml:space="preserve">  </w:t>
      </w:r>
      <w:r w:rsidR="00551F03">
        <w:rPr>
          <w:rFonts w:cs="Calibri"/>
        </w:rPr>
        <w:t xml:space="preserve">        Fátima Karina Lópe</w:t>
      </w:r>
      <w:r w:rsidR="000D1402">
        <w:rPr>
          <w:rFonts w:cs="Calibri"/>
        </w:rPr>
        <w:t xml:space="preserve">z </w:t>
      </w:r>
      <w:r w:rsidR="00551F03">
        <w:rPr>
          <w:rFonts w:cs="Calibri"/>
        </w:rPr>
        <w:t>Jiménez</w:t>
      </w:r>
    </w:p>
    <w:p w14:paraId="74E7A42B" w14:textId="053F12A5" w:rsidR="001E396D" w:rsidRPr="00E54EDB" w:rsidRDefault="00FD13ED" w:rsidP="001E396D">
      <w:pPr>
        <w:tabs>
          <w:tab w:val="left" w:pos="5310"/>
        </w:tabs>
        <w:rPr>
          <w:rFonts w:cs="Calibri"/>
        </w:rPr>
      </w:pPr>
      <w:r>
        <w:rPr>
          <w:rFonts w:cs="Calibri"/>
        </w:rPr>
        <w:t xml:space="preserve">                           </w:t>
      </w:r>
      <w:r w:rsidR="000D1402">
        <w:rPr>
          <w:rFonts w:cs="Calibri"/>
        </w:rPr>
        <w:t>Direc</w:t>
      </w:r>
      <w:r>
        <w:rPr>
          <w:rFonts w:cs="Calibri"/>
        </w:rPr>
        <w:t>tor</w:t>
      </w:r>
      <w:r w:rsidR="000D1402">
        <w:rPr>
          <w:rFonts w:cs="Calibri"/>
        </w:rPr>
        <w:t xml:space="preserve"> General </w:t>
      </w:r>
      <w:r w:rsidR="003F281D">
        <w:rPr>
          <w:rFonts w:cs="Calibri"/>
        </w:rPr>
        <w:t>y Liquidador</w:t>
      </w:r>
      <w:r w:rsidR="000D1402">
        <w:rPr>
          <w:rFonts w:cs="Calibri"/>
        </w:rPr>
        <w:t xml:space="preserve">                   </w:t>
      </w:r>
      <w:r w:rsidR="00F76366">
        <w:rPr>
          <w:rFonts w:cs="Calibri"/>
        </w:rPr>
        <w:t xml:space="preserve">                  Coordinador</w:t>
      </w:r>
      <w:r w:rsidR="000D1402">
        <w:rPr>
          <w:rFonts w:cs="Calibri"/>
        </w:rPr>
        <w:t xml:space="preserve"> de Contabilidad</w:t>
      </w:r>
    </w:p>
    <w:sectPr w:rsidR="001E396D" w:rsidRPr="00E54EDB" w:rsidSect="008C22D1">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E1B7" w14:textId="77777777" w:rsidR="00C24873" w:rsidRDefault="00C24873" w:rsidP="00E00323">
      <w:pPr>
        <w:spacing w:after="0" w:line="240" w:lineRule="auto"/>
      </w:pPr>
      <w:r>
        <w:separator/>
      </w:r>
    </w:p>
  </w:endnote>
  <w:endnote w:type="continuationSeparator" w:id="0">
    <w:p w14:paraId="5E2E8125" w14:textId="77777777" w:rsidR="00C24873" w:rsidRDefault="00C2487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67842497" w14:textId="4E04E492" w:rsidR="006E13A0" w:rsidRDefault="006E13A0">
        <w:pPr>
          <w:pStyle w:val="Piedepgina"/>
          <w:jc w:val="right"/>
        </w:pPr>
        <w:r>
          <w:fldChar w:fldCharType="begin"/>
        </w:r>
        <w:r>
          <w:instrText>PAGE   \* MERGEFORMAT</w:instrText>
        </w:r>
        <w:r>
          <w:fldChar w:fldCharType="separate"/>
        </w:r>
        <w:r w:rsidR="00AE6850" w:rsidRPr="00AE6850">
          <w:rPr>
            <w:noProof/>
            <w:lang w:val="es-ES"/>
          </w:rPr>
          <w:t>16</w:t>
        </w:r>
        <w:r>
          <w:fldChar w:fldCharType="end"/>
        </w:r>
      </w:p>
    </w:sdtContent>
  </w:sdt>
  <w:p w14:paraId="537C9B95" w14:textId="77777777" w:rsidR="006E13A0" w:rsidRDefault="006E13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43DB" w14:textId="77777777" w:rsidR="00C24873" w:rsidRDefault="00C24873" w:rsidP="00E00323">
      <w:pPr>
        <w:spacing w:after="0" w:line="240" w:lineRule="auto"/>
      </w:pPr>
      <w:r>
        <w:separator/>
      </w:r>
    </w:p>
  </w:footnote>
  <w:footnote w:type="continuationSeparator" w:id="0">
    <w:p w14:paraId="6434787A" w14:textId="77777777" w:rsidR="00C24873" w:rsidRDefault="00C2487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9409" w14:textId="77777777" w:rsidR="006E13A0" w:rsidRDefault="006E13A0" w:rsidP="00A4610E">
    <w:pPr>
      <w:pStyle w:val="Encabezado"/>
      <w:spacing w:after="0" w:line="240" w:lineRule="auto"/>
      <w:jc w:val="center"/>
    </w:pPr>
    <w:r>
      <w:t>FONDO GUANAJUATO DE INVERSIÓN EN ZONAS MARGINADAS</w:t>
    </w:r>
  </w:p>
  <w:p w14:paraId="0C9B1B87" w14:textId="29AF96B6" w:rsidR="006E13A0" w:rsidRDefault="006E13A0" w:rsidP="00A4610E">
    <w:pPr>
      <w:pStyle w:val="Encabezado"/>
      <w:spacing w:after="0" w:line="240" w:lineRule="auto"/>
      <w:jc w:val="center"/>
    </w:pPr>
    <w:r>
      <w:t>CORRESPONDIENTES AL</w:t>
    </w:r>
    <w:r w:rsidRPr="00A4610E">
      <w:t xml:space="preserve"> </w:t>
    </w:r>
    <w:r>
      <w:t xml:space="preserve">30 DE </w:t>
    </w:r>
    <w:r w:rsidR="003F281D">
      <w:t>SEPTIEMBRE</w:t>
    </w:r>
    <w:r>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8F"/>
    <w:multiLevelType w:val="hybridMultilevel"/>
    <w:tmpl w:val="BA422510"/>
    <w:lvl w:ilvl="0" w:tplc="79F2C728">
      <w:start w:val="1"/>
      <w:numFmt w:val="bullet"/>
      <w:lvlText w:val="-"/>
      <w:lvlJc w:val="left"/>
      <w:pPr>
        <w:tabs>
          <w:tab w:val="num" w:pos="2165"/>
        </w:tabs>
        <w:ind w:left="2165"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27A81270"/>
    <w:multiLevelType w:val="hybridMultilevel"/>
    <w:tmpl w:val="ED9AE0E8"/>
    <w:lvl w:ilvl="0" w:tplc="04090019">
      <w:start w:val="1"/>
      <w:numFmt w:val="lowerLetter"/>
      <w:lvlText w:val="%1."/>
      <w:lvlJc w:val="left"/>
      <w:pPr>
        <w:ind w:left="2705" w:hanging="360"/>
      </w:pPr>
      <w:rPr>
        <w:rFonts w:hint="default"/>
      </w:r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2" w15:restartNumberingAfterBreak="0">
    <w:nsid w:val="2E4B371D"/>
    <w:multiLevelType w:val="hybridMultilevel"/>
    <w:tmpl w:val="28522916"/>
    <w:lvl w:ilvl="0" w:tplc="7D1653BA">
      <w:start w:val="2"/>
      <w:numFmt w:val="lowerLetter"/>
      <w:lvlText w:val="%1)"/>
      <w:lvlJc w:val="left"/>
      <w:pPr>
        <w:ind w:left="1713"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332331"/>
    <w:multiLevelType w:val="hybridMultilevel"/>
    <w:tmpl w:val="121889B6"/>
    <w:lvl w:ilvl="0" w:tplc="04090019">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47B82947"/>
    <w:multiLevelType w:val="hybridMultilevel"/>
    <w:tmpl w:val="C9E010E6"/>
    <w:lvl w:ilvl="0" w:tplc="79F2C728">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5" w15:restartNumberingAfterBreak="0">
    <w:nsid w:val="55E1595F"/>
    <w:multiLevelType w:val="hybridMultilevel"/>
    <w:tmpl w:val="0EC625CE"/>
    <w:lvl w:ilvl="0" w:tplc="C0E22EBE">
      <w:start w:val="1"/>
      <w:numFmt w:val="lowerLetter"/>
      <w:lvlText w:val="%1)"/>
      <w:lvlJc w:val="left"/>
      <w:pPr>
        <w:ind w:left="1080" w:hanging="360"/>
      </w:pPr>
      <w:rPr>
        <w:rFonts w:ascii="Times New Roman" w:hAnsi="Times New Roman" w:cs="Times New Roman" w:hint="default"/>
        <w:b w:val="0"/>
        <w:i w:val="0"/>
        <w:sz w:val="20"/>
        <w:szCs w:val="20"/>
      </w:rPr>
    </w:lvl>
    <w:lvl w:ilvl="1" w:tplc="080A0019" w:tentative="1">
      <w:start w:val="1"/>
      <w:numFmt w:val="lowerLetter"/>
      <w:lvlText w:val="%2."/>
      <w:lvlJc w:val="left"/>
      <w:pPr>
        <w:ind w:left="807" w:hanging="360"/>
      </w:pPr>
    </w:lvl>
    <w:lvl w:ilvl="2" w:tplc="080A001B" w:tentative="1">
      <w:start w:val="1"/>
      <w:numFmt w:val="lowerRoman"/>
      <w:lvlText w:val="%3."/>
      <w:lvlJc w:val="right"/>
      <w:pPr>
        <w:ind w:left="1527" w:hanging="180"/>
      </w:pPr>
    </w:lvl>
    <w:lvl w:ilvl="3" w:tplc="080A000F" w:tentative="1">
      <w:start w:val="1"/>
      <w:numFmt w:val="decimal"/>
      <w:lvlText w:val="%4."/>
      <w:lvlJc w:val="left"/>
      <w:pPr>
        <w:ind w:left="2247" w:hanging="360"/>
      </w:pPr>
    </w:lvl>
    <w:lvl w:ilvl="4" w:tplc="080A0019" w:tentative="1">
      <w:start w:val="1"/>
      <w:numFmt w:val="lowerLetter"/>
      <w:lvlText w:val="%5."/>
      <w:lvlJc w:val="left"/>
      <w:pPr>
        <w:ind w:left="2967" w:hanging="360"/>
      </w:pPr>
    </w:lvl>
    <w:lvl w:ilvl="5" w:tplc="080A001B" w:tentative="1">
      <w:start w:val="1"/>
      <w:numFmt w:val="lowerRoman"/>
      <w:lvlText w:val="%6."/>
      <w:lvlJc w:val="right"/>
      <w:pPr>
        <w:ind w:left="3687" w:hanging="180"/>
      </w:pPr>
    </w:lvl>
    <w:lvl w:ilvl="6" w:tplc="080A000F" w:tentative="1">
      <w:start w:val="1"/>
      <w:numFmt w:val="decimal"/>
      <w:lvlText w:val="%7."/>
      <w:lvlJc w:val="left"/>
      <w:pPr>
        <w:ind w:left="4407" w:hanging="360"/>
      </w:pPr>
    </w:lvl>
    <w:lvl w:ilvl="7" w:tplc="080A0019" w:tentative="1">
      <w:start w:val="1"/>
      <w:numFmt w:val="lowerLetter"/>
      <w:lvlText w:val="%8."/>
      <w:lvlJc w:val="left"/>
      <w:pPr>
        <w:ind w:left="5127" w:hanging="360"/>
      </w:pPr>
    </w:lvl>
    <w:lvl w:ilvl="8" w:tplc="080A001B" w:tentative="1">
      <w:start w:val="1"/>
      <w:numFmt w:val="lowerRoman"/>
      <w:lvlText w:val="%9."/>
      <w:lvlJc w:val="right"/>
      <w:pPr>
        <w:ind w:left="5847" w:hanging="180"/>
      </w:p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F42925"/>
    <w:multiLevelType w:val="hybridMultilevel"/>
    <w:tmpl w:val="43441064"/>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16cid:durableId="1744255766">
    <w:abstractNumId w:val="6"/>
  </w:num>
  <w:num w:numId="2" w16cid:durableId="1869636400">
    <w:abstractNumId w:val="0"/>
  </w:num>
  <w:num w:numId="3" w16cid:durableId="1942106640">
    <w:abstractNumId w:val="5"/>
  </w:num>
  <w:num w:numId="4" w16cid:durableId="1255095081">
    <w:abstractNumId w:val="4"/>
  </w:num>
  <w:num w:numId="5" w16cid:durableId="232785282">
    <w:abstractNumId w:val="3"/>
  </w:num>
  <w:num w:numId="6" w16cid:durableId="396124112">
    <w:abstractNumId w:val="1"/>
  </w:num>
  <w:num w:numId="7" w16cid:durableId="1265259573">
    <w:abstractNumId w:val="2"/>
  </w:num>
  <w:num w:numId="8" w16cid:durableId="7359779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FCA"/>
    <w:rsid w:val="0001116F"/>
    <w:rsid w:val="00024EA7"/>
    <w:rsid w:val="00030AC8"/>
    <w:rsid w:val="00040D4F"/>
    <w:rsid w:val="000428F3"/>
    <w:rsid w:val="00047907"/>
    <w:rsid w:val="00080E0B"/>
    <w:rsid w:val="00084EAE"/>
    <w:rsid w:val="00091CE6"/>
    <w:rsid w:val="00093331"/>
    <w:rsid w:val="0009628B"/>
    <w:rsid w:val="000972E4"/>
    <w:rsid w:val="00097BDF"/>
    <w:rsid w:val="000A034F"/>
    <w:rsid w:val="000A150D"/>
    <w:rsid w:val="000A4A0A"/>
    <w:rsid w:val="000B4B73"/>
    <w:rsid w:val="000B50F3"/>
    <w:rsid w:val="000B7810"/>
    <w:rsid w:val="000C07A6"/>
    <w:rsid w:val="000C3365"/>
    <w:rsid w:val="000D075E"/>
    <w:rsid w:val="000D1402"/>
    <w:rsid w:val="000D6C8F"/>
    <w:rsid w:val="001039E1"/>
    <w:rsid w:val="0010526B"/>
    <w:rsid w:val="0012405A"/>
    <w:rsid w:val="00130AB3"/>
    <w:rsid w:val="00136C10"/>
    <w:rsid w:val="001376CA"/>
    <w:rsid w:val="00154BA3"/>
    <w:rsid w:val="001624F2"/>
    <w:rsid w:val="00163C4B"/>
    <w:rsid w:val="0017473C"/>
    <w:rsid w:val="001750DD"/>
    <w:rsid w:val="001807EF"/>
    <w:rsid w:val="00192816"/>
    <w:rsid w:val="001973A2"/>
    <w:rsid w:val="001A2E96"/>
    <w:rsid w:val="001A5141"/>
    <w:rsid w:val="001B0513"/>
    <w:rsid w:val="001C75F2"/>
    <w:rsid w:val="001C7AFD"/>
    <w:rsid w:val="001D2063"/>
    <w:rsid w:val="001D43E9"/>
    <w:rsid w:val="001E396D"/>
    <w:rsid w:val="002222AA"/>
    <w:rsid w:val="002322CA"/>
    <w:rsid w:val="00233F28"/>
    <w:rsid w:val="0023561F"/>
    <w:rsid w:val="00242ED9"/>
    <w:rsid w:val="00256AD8"/>
    <w:rsid w:val="00265692"/>
    <w:rsid w:val="00282148"/>
    <w:rsid w:val="00283450"/>
    <w:rsid w:val="002B0504"/>
    <w:rsid w:val="002C3233"/>
    <w:rsid w:val="002C7FE6"/>
    <w:rsid w:val="002D52E4"/>
    <w:rsid w:val="002F7CE1"/>
    <w:rsid w:val="00300DA0"/>
    <w:rsid w:val="00326B64"/>
    <w:rsid w:val="00337069"/>
    <w:rsid w:val="003453CA"/>
    <w:rsid w:val="00370D9F"/>
    <w:rsid w:val="00375F11"/>
    <w:rsid w:val="0039433C"/>
    <w:rsid w:val="003F281D"/>
    <w:rsid w:val="003F3524"/>
    <w:rsid w:val="003F7514"/>
    <w:rsid w:val="00400196"/>
    <w:rsid w:val="0040066A"/>
    <w:rsid w:val="00435A87"/>
    <w:rsid w:val="00436531"/>
    <w:rsid w:val="004416FE"/>
    <w:rsid w:val="00445445"/>
    <w:rsid w:val="00450CCF"/>
    <w:rsid w:val="00455094"/>
    <w:rsid w:val="00455478"/>
    <w:rsid w:val="0047267B"/>
    <w:rsid w:val="00476320"/>
    <w:rsid w:val="004800D7"/>
    <w:rsid w:val="0049217A"/>
    <w:rsid w:val="004A3FE5"/>
    <w:rsid w:val="004A58C8"/>
    <w:rsid w:val="004B09D9"/>
    <w:rsid w:val="004B101D"/>
    <w:rsid w:val="004D1BED"/>
    <w:rsid w:val="004E21C4"/>
    <w:rsid w:val="004E476F"/>
    <w:rsid w:val="005208D0"/>
    <w:rsid w:val="005308DA"/>
    <w:rsid w:val="00533EF3"/>
    <w:rsid w:val="0054701E"/>
    <w:rsid w:val="005515A8"/>
    <w:rsid w:val="005516CF"/>
    <w:rsid w:val="00551F03"/>
    <w:rsid w:val="0057327E"/>
    <w:rsid w:val="005769B3"/>
    <w:rsid w:val="005B0366"/>
    <w:rsid w:val="005B0C54"/>
    <w:rsid w:val="005C5AA6"/>
    <w:rsid w:val="005C5E65"/>
    <w:rsid w:val="005C73F4"/>
    <w:rsid w:val="005D3E43"/>
    <w:rsid w:val="005E231E"/>
    <w:rsid w:val="005E6471"/>
    <w:rsid w:val="005E7897"/>
    <w:rsid w:val="0062279F"/>
    <w:rsid w:val="00631817"/>
    <w:rsid w:val="0063540F"/>
    <w:rsid w:val="00657009"/>
    <w:rsid w:val="00657327"/>
    <w:rsid w:val="0066706C"/>
    <w:rsid w:val="006745FE"/>
    <w:rsid w:val="00676B86"/>
    <w:rsid w:val="00681C79"/>
    <w:rsid w:val="00685F41"/>
    <w:rsid w:val="00695CC6"/>
    <w:rsid w:val="006C3F9A"/>
    <w:rsid w:val="006D5556"/>
    <w:rsid w:val="006D760D"/>
    <w:rsid w:val="006E13A0"/>
    <w:rsid w:val="006E42E8"/>
    <w:rsid w:val="006F5306"/>
    <w:rsid w:val="007017ED"/>
    <w:rsid w:val="00726778"/>
    <w:rsid w:val="00740597"/>
    <w:rsid w:val="00746B9F"/>
    <w:rsid w:val="0075655D"/>
    <w:rsid w:val="0076086A"/>
    <w:rsid w:val="007610BC"/>
    <w:rsid w:val="00764849"/>
    <w:rsid w:val="007675C0"/>
    <w:rsid w:val="007709AB"/>
    <w:rsid w:val="007714AB"/>
    <w:rsid w:val="00775160"/>
    <w:rsid w:val="0078595F"/>
    <w:rsid w:val="00787510"/>
    <w:rsid w:val="007930AB"/>
    <w:rsid w:val="007961D5"/>
    <w:rsid w:val="007A3994"/>
    <w:rsid w:val="007B11FB"/>
    <w:rsid w:val="007B4820"/>
    <w:rsid w:val="007C646E"/>
    <w:rsid w:val="007D1E76"/>
    <w:rsid w:val="007D4484"/>
    <w:rsid w:val="007E0A4F"/>
    <w:rsid w:val="007E2B12"/>
    <w:rsid w:val="007F6F2A"/>
    <w:rsid w:val="0083250C"/>
    <w:rsid w:val="00843D3F"/>
    <w:rsid w:val="0086459F"/>
    <w:rsid w:val="00866DB0"/>
    <w:rsid w:val="00892573"/>
    <w:rsid w:val="008C22D1"/>
    <w:rsid w:val="008C3372"/>
    <w:rsid w:val="008C3BB8"/>
    <w:rsid w:val="008D4A52"/>
    <w:rsid w:val="008E076C"/>
    <w:rsid w:val="0090627D"/>
    <w:rsid w:val="009176F1"/>
    <w:rsid w:val="0092765C"/>
    <w:rsid w:val="0094321A"/>
    <w:rsid w:val="009461C8"/>
    <w:rsid w:val="009574B6"/>
    <w:rsid w:val="00980620"/>
    <w:rsid w:val="009C14B5"/>
    <w:rsid w:val="009F583A"/>
    <w:rsid w:val="00A06826"/>
    <w:rsid w:val="00A22419"/>
    <w:rsid w:val="00A225FB"/>
    <w:rsid w:val="00A24CDC"/>
    <w:rsid w:val="00A25E9E"/>
    <w:rsid w:val="00A34B59"/>
    <w:rsid w:val="00A42630"/>
    <w:rsid w:val="00A4610E"/>
    <w:rsid w:val="00A47C7C"/>
    <w:rsid w:val="00A5597C"/>
    <w:rsid w:val="00A71A41"/>
    <w:rsid w:val="00A730E0"/>
    <w:rsid w:val="00A81E49"/>
    <w:rsid w:val="00A84C72"/>
    <w:rsid w:val="00A87D5B"/>
    <w:rsid w:val="00AA10FE"/>
    <w:rsid w:val="00AA41E5"/>
    <w:rsid w:val="00AA5304"/>
    <w:rsid w:val="00AA58D3"/>
    <w:rsid w:val="00AB1265"/>
    <w:rsid w:val="00AB1907"/>
    <w:rsid w:val="00AB722B"/>
    <w:rsid w:val="00AC358F"/>
    <w:rsid w:val="00AD08A5"/>
    <w:rsid w:val="00AE1F6A"/>
    <w:rsid w:val="00AE4502"/>
    <w:rsid w:val="00AE61EE"/>
    <w:rsid w:val="00AE6850"/>
    <w:rsid w:val="00AF6EB9"/>
    <w:rsid w:val="00B16419"/>
    <w:rsid w:val="00B3086A"/>
    <w:rsid w:val="00B326D3"/>
    <w:rsid w:val="00B5548F"/>
    <w:rsid w:val="00B748D2"/>
    <w:rsid w:val="00B80395"/>
    <w:rsid w:val="00BA44F6"/>
    <w:rsid w:val="00BA777E"/>
    <w:rsid w:val="00BA786D"/>
    <w:rsid w:val="00BB4DE8"/>
    <w:rsid w:val="00BB6B6F"/>
    <w:rsid w:val="00BC5EC5"/>
    <w:rsid w:val="00BE0FB1"/>
    <w:rsid w:val="00BE70B1"/>
    <w:rsid w:val="00C012DE"/>
    <w:rsid w:val="00C06DC3"/>
    <w:rsid w:val="00C137AB"/>
    <w:rsid w:val="00C175B6"/>
    <w:rsid w:val="00C24873"/>
    <w:rsid w:val="00C818A1"/>
    <w:rsid w:val="00C8277F"/>
    <w:rsid w:val="00C97E1E"/>
    <w:rsid w:val="00CA22E6"/>
    <w:rsid w:val="00CB0183"/>
    <w:rsid w:val="00CB41C4"/>
    <w:rsid w:val="00CC30A1"/>
    <w:rsid w:val="00CC6986"/>
    <w:rsid w:val="00CF1316"/>
    <w:rsid w:val="00D00A52"/>
    <w:rsid w:val="00D13C44"/>
    <w:rsid w:val="00D21C42"/>
    <w:rsid w:val="00D30282"/>
    <w:rsid w:val="00D313FA"/>
    <w:rsid w:val="00D331AF"/>
    <w:rsid w:val="00D47432"/>
    <w:rsid w:val="00D60701"/>
    <w:rsid w:val="00D87CE3"/>
    <w:rsid w:val="00D911C4"/>
    <w:rsid w:val="00D975B1"/>
    <w:rsid w:val="00DB5A30"/>
    <w:rsid w:val="00DE588E"/>
    <w:rsid w:val="00DF38D0"/>
    <w:rsid w:val="00E00323"/>
    <w:rsid w:val="00E10074"/>
    <w:rsid w:val="00E10E6F"/>
    <w:rsid w:val="00E172BE"/>
    <w:rsid w:val="00E223A5"/>
    <w:rsid w:val="00E35B72"/>
    <w:rsid w:val="00E467D3"/>
    <w:rsid w:val="00E5239E"/>
    <w:rsid w:val="00E54EDB"/>
    <w:rsid w:val="00E62ACB"/>
    <w:rsid w:val="00E73D09"/>
    <w:rsid w:val="00E74967"/>
    <w:rsid w:val="00E76E66"/>
    <w:rsid w:val="00E907BD"/>
    <w:rsid w:val="00E926EE"/>
    <w:rsid w:val="00EA37F5"/>
    <w:rsid w:val="00EA6212"/>
    <w:rsid w:val="00EA7915"/>
    <w:rsid w:val="00EC1533"/>
    <w:rsid w:val="00EC161C"/>
    <w:rsid w:val="00EC2080"/>
    <w:rsid w:val="00EE5D12"/>
    <w:rsid w:val="00F0216C"/>
    <w:rsid w:val="00F03858"/>
    <w:rsid w:val="00F12DEB"/>
    <w:rsid w:val="00F1344B"/>
    <w:rsid w:val="00F15453"/>
    <w:rsid w:val="00F16348"/>
    <w:rsid w:val="00F30447"/>
    <w:rsid w:val="00F44637"/>
    <w:rsid w:val="00F46719"/>
    <w:rsid w:val="00F525D7"/>
    <w:rsid w:val="00F52B3D"/>
    <w:rsid w:val="00F534A1"/>
    <w:rsid w:val="00F54F6F"/>
    <w:rsid w:val="00F612EC"/>
    <w:rsid w:val="00F76366"/>
    <w:rsid w:val="00FA113D"/>
    <w:rsid w:val="00FC3247"/>
    <w:rsid w:val="00FD13ED"/>
    <w:rsid w:val="00FE23B9"/>
    <w:rsid w:val="00FE5283"/>
    <w:rsid w:val="00FF54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FF5B"/>
  <w15:docId w15:val="{A86CF3D7-D9F9-437F-BB1A-8BF22EDD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B422C1-0D6D-44EF-9342-2823EAAE0E6C}">
  <ds:schemaRefs>
    <ds:schemaRef ds:uri="http://schemas.openxmlformats.org/officeDocument/2006/bibliography"/>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6372</Words>
  <Characters>35047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41337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Victor Manuel Juarez Acosta</cp:lastModifiedBy>
  <cp:revision>5</cp:revision>
  <cp:lastPrinted>2025-07-25T17:57:00Z</cp:lastPrinted>
  <dcterms:created xsi:type="dcterms:W3CDTF">2025-07-25T18:58:00Z</dcterms:created>
  <dcterms:modified xsi:type="dcterms:W3CDTF">2025-10-16T20:56:00Z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