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677E" w14:textId="77777777" w:rsidR="000B7810" w:rsidRPr="00F525D7" w:rsidRDefault="000B7810" w:rsidP="00CB41C4">
      <w:pPr>
        <w:tabs>
          <w:tab w:val="left" w:leader="underscore" w:pos="9639"/>
        </w:tabs>
        <w:spacing w:after="0" w:line="240" w:lineRule="auto"/>
        <w:jc w:val="center"/>
        <w:rPr>
          <w:rFonts w:ascii="Arial" w:hAnsi="Arial" w:cs="Arial"/>
          <w:sz w:val="20"/>
          <w:szCs w:val="20"/>
        </w:rPr>
      </w:pPr>
    </w:p>
    <w:p w14:paraId="006849E8" w14:textId="77777777" w:rsidR="000B7810" w:rsidRPr="00F525D7" w:rsidRDefault="000B7810" w:rsidP="00CB41C4">
      <w:pPr>
        <w:tabs>
          <w:tab w:val="left" w:leader="underscore" w:pos="9639"/>
        </w:tabs>
        <w:spacing w:after="0" w:line="240" w:lineRule="auto"/>
        <w:jc w:val="center"/>
        <w:rPr>
          <w:rFonts w:ascii="Arial" w:hAnsi="Arial" w:cs="Arial"/>
          <w:sz w:val="20"/>
          <w:szCs w:val="20"/>
        </w:rPr>
      </w:pPr>
    </w:p>
    <w:p w14:paraId="3BE809F2" w14:textId="77777777" w:rsidR="007D1E76" w:rsidRPr="00F525D7" w:rsidRDefault="007D1E76" w:rsidP="00CB41C4">
      <w:pPr>
        <w:tabs>
          <w:tab w:val="left" w:leader="underscore" w:pos="9639"/>
        </w:tabs>
        <w:spacing w:after="0" w:line="240" w:lineRule="auto"/>
        <w:jc w:val="center"/>
        <w:rPr>
          <w:rFonts w:ascii="Arial" w:hAnsi="Arial" w:cs="Arial"/>
          <w:b/>
        </w:rPr>
      </w:pPr>
      <w:hyperlink r:id="rId11" w:history="1">
        <w:r w:rsidRPr="00F525D7">
          <w:rPr>
            <w:rStyle w:val="Hipervnculo"/>
            <w:rFonts w:ascii="Arial" w:hAnsi="Arial" w:cs="Arial"/>
            <w:b/>
          </w:rPr>
          <w:t>NOTAS DE GESTIÓN ADMINISTRATIVA</w:t>
        </w:r>
      </w:hyperlink>
    </w:p>
    <w:p w14:paraId="4FD2596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3BC165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1B1C63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Los Estados Financieros de los entes públicos, proveen de información financiera a los principales usuarios de </w:t>
      </w:r>
      <w:proofErr w:type="gramStart"/>
      <w:r w:rsidRPr="00F525D7">
        <w:rPr>
          <w:rFonts w:ascii="Arial" w:hAnsi="Arial" w:cs="Arial"/>
          <w:sz w:val="20"/>
          <w:szCs w:val="20"/>
        </w:rPr>
        <w:t>la misma</w:t>
      </w:r>
      <w:proofErr w:type="gramEnd"/>
      <w:r w:rsidRPr="00F525D7">
        <w:rPr>
          <w:rFonts w:ascii="Arial" w:hAnsi="Arial" w:cs="Arial"/>
          <w:sz w:val="20"/>
          <w:szCs w:val="20"/>
        </w:rPr>
        <w:t>, al</w:t>
      </w:r>
      <w:r w:rsidR="00E00323" w:rsidRPr="00F525D7">
        <w:rPr>
          <w:rFonts w:ascii="Arial" w:hAnsi="Arial" w:cs="Arial"/>
          <w:sz w:val="20"/>
          <w:szCs w:val="20"/>
        </w:rPr>
        <w:t xml:space="preserve"> Congreso y a los ciudadanos.</w:t>
      </w:r>
    </w:p>
    <w:p w14:paraId="4C0F330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E25932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F525D7">
        <w:rPr>
          <w:rFonts w:ascii="Arial" w:hAnsi="Arial" w:cs="Arial"/>
          <w:sz w:val="20"/>
          <w:szCs w:val="20"/>
        </w:rPr>
        <w:t>los m</w:t>
      </w:r>
      <w:r w:rsidR="00E00323" w:rsidRPr="00F525D7">
        <w:rPr>
          <w:rFonts w:ascii="Arial" w:hAnsi="Arial" w:cs="Arial"/>
          <w:sz w:val="20"/>
          <w:szCs w:val="20"/>
        </w:rPr>
        <w:t>ismos</w:t>
      </w:r>
      <w:proofErr w:type="gramEnd"/>
      <w:r w:rsidR="00E00323" w:rsidRPr="00F525D7">
        <w:rPr>
          <w:rFonts w:ascii="Arial" w:hAnsi="Arial" w:cs="Arial"/>
          <w:sz w:val="20"/>
          <w:szCs w:val="20"/>
        </w:rPr>
        <w:t xml:space="preserve"> y sus particularidades.</w:t>
      </w:r>
    </w:p>
    <w:p w14:paraId="028AD91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3B741D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F525D7">
        <w:rPr>
          <w:rFonts w:ascii="Arial" w:hAnsi="Arial" w:cs="Arial"/>
          <w:sz w:val="20"/>
          <w:szCs w:val="20"/>
        </w:rPr>
        <w:t>ones en períodos posteriores.</w:t>
      </w:r>
    </w:p>
    <w:p w14:paraId="48669474" w14:textId="77777777" w:rsidR="007D1E76" w:rsidRDefault="007D1E76" w:rsidP="00CB41C4">
      <w:pPr>
        <w:pStyle w:val="Prrafodelista"/>
        <w:tabs>
          <w:tab w:val="left" w:leader="underscore" w:pos="9639"/>
        </w:tabs>
        <w:spacing w:after="0" w:line="240" w:lineRule="auto"/>
        <w:jc w:val="both"/>
        <w:rPr>
          <w:rFonts w:ascii="Arial" w:hAnsi="Arial" w:cs="Arial"/>
          <w:sz w:val="20"/>
          <w:szCs w:val="20"/>
        </w:rPr>
      </w:pPr>
    </w:p>
    <w:p w14:paraId="2259F677" w14:textId="77777777" w:rsidR="00F525D7" w:rsidRPr="00F525D7" w:rsidRDefault="00F525D7" w:rsidP="00CB41C4">
      <w:pPr>
        <w:pStyle w:val="Prrafodelista"/>
        <w:tabs>
          <w:tab w:val="left" w:leader="underscore" w:pos="9639"/>
        </w:tabs>
        <w:spacing w:after="0" w:line="240" w:lineRule="auto"/>
        <w:jc w:val="both"/>
        <w:rPr>
          <w:rFonts w:ascii="Arial" w:hAnsi="Arial" w:cs="Arial"/>
          <w:sz w:val="20"/>
          <w:szCs w:val="20"/>
        </w:rPr>
      </w:pPr>
    </w:p>
    <w:p w14:paraId="70510247" w14:textId="77777777" w:rsidR="007D1E76" w:rsidRPr="00F525D7"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Las notas de gestión administrativa deben contener los siguientes puntos:</w:t>
      </w:r>
    </w:p>
    <w:p w14:paraId="6ED14FD5" w14:textId="77777777" w:rsidR="007D1E76" w:rsidRDefault="007D1E76" w:rsidP="00CB41C4">
      <w:pPr>
        <w:tabs>
          <w:tab w:val="left" w:leader="underscore" w:pos="9639"/>
        </w:tabs>
        <w:spacing w:after="0" w:line="240" w:lineRule="auto"/>
        <w:jc w:val="both"/>
        <w:rPr>
          <w:rFonts w:ascii="Arial" w:hAnsi="Arial" w:cs="Arial"/>
          <w:sz w:val="20"/>
          <w:szCs w:val="20"/>
        </w:rPr>
      </w:pPr>
    </w:p>
    <w:p w14:paraId="6EF089E6" w14:textId="77777777" w:rsidR="00F525D7" w:rsidRPr="00F525D7" w:rsidRDefault="00F525D7"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1CE72F92" w14:textId="77777777" w:rsidR="00F46719" w:rsidRPr="00F525D7" w:rsidRDefault="00F46719">
          <w:pPr>
            <w:pStyle w:val="TtuloTDC"/>
            <w:rPr>
              <w:rFonts w:ascii="Arial" w:hAnsi="Arial" w:cs="Arial"/>
              <w:sz w:val="20"/>
              <w:szCs w:val="20"/>
            </w:rPr>
          </w:pPr>
          <w:r w:rsidRPr="00F525D7">
            <w:rPr>
              <w:rFonts w:ascii="Arial" w:hAnsi="Arial" w:cs="Arial"/>
              <w:sz w:val="20"/>
              <w:szCs w:val="20"/>
              <w:lang w:val="es-ES"/>
            </w:rPr>
            <w:t>Contenido</w:t>
          </w:r>
        </w:p>
        <w:p w14:paraId="6C18C6FB" w14:textId="6C27738A" w:rsidR="00BB6B6F" w:rsidRDefault="00657327">
          <w:pPr>
            <w:pStyle w:val="TDC2"/>
            <w:tabs>
              <w:tab w:val="right" w:leader="dot" w:pos="9678"/>
            </w:tabs>
            <w:rPr>
              <w:rFonts w:asciiTheme="minorHAnsi" w:eastAsiaTheme="minorEastAsia" w:hAnsiTheme="minorHAnsi" w:cstheme="minorBidi"/>
              <w:noProof/>
              <w:lang w:eastAsia="es-MX"/>
            </w:rPr>
          </w:pPr>
          <w:r w:rsidRPr="00F525D7">
            <w:rPr>
              <w:rFonts w:ascii="Arial" w:hAnsi="Arial" w:cs="Arial"/>
              <w:sz w:val="20"/>
              <w:szCs w:val="20"/>
            </w:rPr>
            <w:fldChar w:fldCharType="begin"/>
          </w:r>
          <w:r w:rsidR="00F46719" w:rsidRPr="00F525D7">
            <w:rPr>
              <w:rFonts w:ascii="Arial" w:hAnsi="Arial" w:cs="Arial"/>
              <w:sz w:val="20"/>
              <w:szCs w:val="20"/>
            </w:rPr>
            <w:instrText xml:space="preserve"> TOC \o "1-3" \h \z \u </w:instrText>
          </w:r>
          <w:r w:rsidRPr="00F525D7">
            <w:rPr>
              <w:rFonts w:ascii="Arial" w:hAnsi="Arial" w:cs="Arial"/>
              <w:sz w:val="20"/>
              <w:szCs w:val="20"/>
            </w:rPr>
            <w:fldChar w:fldCharType="separate"/>
          </w:r>
          <w:hyperlink w:anchor="_Toc136601506" w:history="1">
            <w:r w:rsidR="00BB6B6F" w:rsidRPr="00954595">
              <w:rPr>
                <w:rStyle w:val="Hipervnculo"/>
                <w:rFonts w:ascii="Arial" w:hAnsi="Arial" w:cs="Arial"/>
                <w:b/>
                <w:noProof/>
              </w:rPr>
              <w:t>Introducción:</w:t>
            </w:r>
            <w:r w:rsidR="00BB6B6F">
              <w:rPr>
                <w:noProof/>
                <w:webHidden/>
              </w:rPr>
              <w:tab/>
            </w:r>
            <w:r w:rsidR="00BB6B6F">
              <w:rPr>
                <w:noProof/>
                <w:webHidden/>
              </w:rPr>
              <w:fldChar w:fldCharType="begin"/>
            </w:r>
            <w:r w:rsidR="00BB6B6F">
              <w:rPr>
                <w:noProof/>
                <w:webHidden/>
              </w:rPr>
              <w:instrText xml:space="preserve"> PAGEREF _Toc136601506 \h </w:instrText>
            </w:r>
            <w:r w:rsidR="00BB6B6F">
              <w:rPr>
                <w:noProof/>
                <w:webHidden/>
              </w:rPr>
            </w:r>
            <w:r w:rsidR="00BB6B6F">
              <w:rPr>
                <w:noProof/>
                <w:webHidden/>
              </w:rPr>
              <w:fldChar w:fldCharType="separate"/>
            </w:r>
            <w:r w:rsidR="009C14B5">
              <w:rPr>
                <w:noProof/>
                <w:webHidden/>
              </w:rPr>
              <w:t>2</w:t>
            </w:r>
            <w:r w:rsidR="00BB6B6F">
              <w:rPr>
                <w:noProof/>
                <w:webHidden/>
              </w:rPr>
              <w:fldChar w:fldCharType="end"/>
            </w:r>
          </w:hyperlink>
        </w:p>
        <w:p w14:paraId="0D968E50" w14:textId="44F0F136" w:rsidR="00BB6B6F" w:rsidRDefault="00BB6B6F">
          <w:pPr>
            <w:pStyle w:val="TDC2"/>
            <w:tabs>
              <w:tab w:val="right" w:leader="dot" w:pos="9678"/>
            </w:tabs>
            <w:rPr>
              <w:rFonts w:asciiTheme="minorHAnsi" w:eastAsiaTheme="minorEastAsia" w:hAnsiTheme="minorHAnsi" w:cstheme="minorBidi"/>
              <w:noProof/>
              <w:lang w:eastAsia="es-MX"/>
            </w:rPr>
          </w:pPr>
          <w:hyperlink w:anchor="_Toc136601507" w:history="1">
            <w:r w:rsidRPr="00954595">
              <w:rPr>
                <w:rStyle w:val="Hipervnculo"/>
                <w:rFonts w:ascii="Arial" w:hAnsi="Arial" w:cs="Arial"/>
                <w:b/>
                <w:noProof/>
              </w:rPr>
              <w:t>1. Autorización e Historia:</w:t>
            </w:r>
            <w:r>
              <w:rPr>
                <w:noProof/>
                <w:webHidden/>
              </w:rPr>
              <w:tab/>
            </w:r>
            <w:r>
              <w:rPr>
                <w:noProof/>
                <w:webHidden/>
              </w:rPr>
              <w:fldChar w:fldCharType="begin"/>
            </w:r>
            <w:r>
              <w:rPr>
                <w:noProof/>
                <w:webHidden/>
              </w:rPr>
              <w:instrText xml:space="preserve"> PAGEREF _Toc136601507 \h </w:instrText>
            </w:r>
            <w:r>
              <w:rPr>
                <w:noProof/>
                <w:webHidden/>
              </w:rPr>
            </w:r>
            <w:r>
              <w:rPr>
                <w:noProof/>
                <w:webHidden/>
              </w:rPr>
              <w:fldChar w:fldCharType="separate"/>
            </w:r>
            <w:r w:rsidR="009C14B5">
              <w:rPr>
                <w:noProof/>
                <w:webHidden/>
              </w:rPr>
              <w:t>2</w:t>
            </w:r>
            <w:r>
              <w:rPr>
                <w:noProof/>
                <w:webHidden/>
              </w:rPr>
              <w:fldChar w:fldCharType="end"/>
            </w:r>
          </w:hyperlink>
        </w:p>
        <w:p w14:paraId="63DE41BE" w14:textId="5E1331C3" w:rsidR="00BB6B6F" w:rsidRDefault="00BB6B6F">
          <w:pPr>
            <w:pStyle w:val="TDC2"/>
            <w:tabs>
              <w:tab w:val="right" w:leader="dot" w:pos="9678"/>
            </w:tabs>
            <w:rPr>
              <w:rFonts w:asciiTheme="minorHAnsi" w:eastAsiaTheme="minorEastAsia" w:hAnsiTheme="minorHAnsi" w:cstheme="minorBidi"/>
              <w:noProof/>
              <w:lang w:eastAsia="es-MX"/>
            </w:rPr>
          </w:pPr>
          <w:hyperlink w:anchor="_Toc136601508" w:history="1">
            <w:r w:rsidRPr="00954595">
              <w:rPr>
                <w:rStyle w:val="Hipervnculo"/>
                <w:rFonts w:ascii="Arial" w:hAnsi="Arial" w:cs="Arial"/>
                <w:b/>
                <w:noProof/>
              </w:rPr>
              <w:t>2. Panorama Económico y Financiero:</w:t>
            </w:r>
            <w:r>
              <w:rPr>
                <w:noProof/>
                <w:webHidden/>
              </w:rPr>
              <w:tab/>
            </w:r>
            <w:r>
              <w:rPr>
                <w:noProof/>
                <w:webHidden/>
              </w:rPr>
              <w:fldChar w:fldCharType="begin"/>
            </w:r>
            <w:r>
              <w:rPr>
                <w:noProof/>
                <w:webHidden/>
              </w:rPr>
              <w:instrText xml:space="preserve"> PAGEREF _Toc136601508 \h </w:instrText>
            </w:r>
            <w:r>
              <w:rPr>
                <w:noProof/>
                <w:webHidden/>
              </w:rPr>
            </w:r>
            <w:r>
              <w:rPr>
                <w:noProof/>
                <w:webHidden/>
              </w:rPr>
              <w:fldChar w:fldCharType="separate"/>
            </w:r>
            <w:r w:rsidR="009C14B5">
              <w:rPr>
                <w:noProof/>
                <w:webHidden/>
              </w:rPr>
              <w:t>2</w:t>
            </w:r>
            <w:r>
              <w:rPr>
                <w:noProof/>
                <w:webHidden/>
              </w:rPr>
              <w:fldChar w:fldCharType="end"/>
            </w:r>
          </w:hyperlink>
        </w:p>
        <w:p w14:paraId="608CF614" w14:textId="52C9804F" w:rsidR="00BB6B6F" w:rsidRDefault="00BB6B6F">
          <w:pPr>
            <w:pStyle w:val="TDC2"/>
            <w:tabs>
              <w:tab w:val="right" w:leader="dot" w:pos="9678"/>
            </w:tabs>
            <w:rPr>
              <w:rFonts w:asciiTheme="minorHAnsi" w:eastAsiaTheme="minorEastAsia" w:hAnsiTheme="minorHAnsi" w:cstheme="minorBidi"/>
              <w:noProof/>
              <w:lang w:eastAsia="es-MX"/>
            </w:rPr>
          </w:pPr>
          <w:hyperlink w:anchor="_Toc136601509" w:history="1">
            <w:r w:rsidRPr="00954595">
              <w:rPr>
                <w:rStyle w:val="Hipervnculo"/>
                <w:rFonts w:ascii="Arial" w:hAnsi="Arial" w:cs="Arial"/>
                <w:b/>
                <w:noProof/>
              </w:rPr>
              <w:t>3. Organización y Objeto Social:</w:t>
            </w:r>
            <w:r>
              <w:rPr>
                <w:noProof/>
                <w:webHidden/>
              </w:rPr>
              <w:tab/>
            </w:r>
            <w:r>
              <w:rPr>
                <w:noProof/>
                <w:webHidden/>
              </w:rPr>
              <w:fldChar w:fldCharType="begin"/>
            </w:r>
            <w:r>
              <w:rPr>
                <w:noProof/>
                <w:webHidden/>
              </w:rPr>
              <w:instrText xml:space="preserve"> PAGEREF _Toc136601509 \h </w:instrText>
            </w:r>
            <w:r>
              <w:rPr>
                <w:noProof/>
                <w:webHidden/>
              </w:rPr>
            </w:r>
            <w:r>
              <w:rPr>
                <w:noProof/>
                <w:webHidden/>
              </w:rPr>
              <w:fldChar w:fldCharType="separate"/>
            </w:r>
            <w:r w:rsidR="009C14B5">
              <w:rPr>
                <w:noProof/>
                <w:webHidden/>
              </w:rPr>
              <w:t>4</w:t>
            </w:r>
            <w:r>
              <w:rPr>
                <w:noProof/>
                <w:webHidden/>
              </w:rPr>
              <w:fldChar w:fldCharType="end"/>
            </w:r>
          </w:hyperlink>
        </w:p>
        <w:p w14:paraId="1AC9583A" w14:textId="619B680B" w:rsidR="00BB6B6F" w:rsidRDefault="00BB6B6F">
          <w:pPr>
            <w:pStyle w:val="TDC2"/>
            <w:tabs>
              <w:tab w:val="right" w:leader="dot" w:pos="9678"/>
            </w:tabs>
            <w:rPr>
              <w:rFonts w:asciiTheme="minorHAnsi" w:eastAsiaTheme="minorEastAsia" w:hAnsiTheme="minorHAnsi" w:cstheme="minorBidi"/>
              <w:noProof/>
              <w:lang w:eastAsia="es-MX"/>
            </w:rPr>
          </w:pPr>
          <w:hyperlink w:anchor="_Toc136601510" w:history="1">
            <w:r w:rsidRPr="00954595">
              <w:rPr>
                <w:rStyle w:val="Hipervnculo"/>
                <w:rFonts w:ascii="Arial" w:hAnsi="Arial" w:cs="Arial"/>
                <w:b/>
                <w:noProof/>
              </w:rPr>
              <w:t>4. Bases de Preparación de los Estados Financieros:</w:t>
            </w:r>
            <w:r>
              <w:rPr>
                <w:noProof/>
                <w:webHidden/>
              </w:rPr>
              <w:tab/>
            </w:r>
            <w:r>
              <w:rPr>
                <w:noProof/>
                <w:webHidden/>
              </w:rPr>
              <w:fldChar w:fldCharType="begin"/>
            </w:r>
            <w:r>
              <w:rPr>
                <w:noProof/>
                <w:webHidden/>
              </w:rPr>
              <w:instrText xml:space="preserve"> PAGEREF _Toc136601510 \h </w:instrText>
            </w:r>
            <w:r>
              <w:rPr>
                <w:noProof/>
                <w:webHidden/>
              </w:rPr>
            </w:r>
            <w:r>
              <w:rPr>
                <w:noProof/>
                <w:webHidden/>
              </w:rPr>
              <w:fldChar w:fldCharType="separate"/>
            </w:r>
            <w:r w:rsidR="009C14B5">
              <w:rPr>
                <w:noProof/>
                <w:webHidden/>
              </w:rPr>
              <w:t>7</w:t>
            </w:r>
            <w:r>
              <w:rPr>
                <w:noProof/>
                <w:webHidden/>
              </w:rPr>
              <w:fldChar w:fldCharType="end"/>
            </w:r>
          </w:hyperlink>
        </w:p>
        <w:p w14:paraId="394A5F52" w14:textId="1036CA77" w:rsidR="00BB6B6F" w:rsidRDefault="00BB6B6F">
          <w:pPr>
            <w:pStyle w:val="TDC2"/>
            <w:tabs>
              <w:tab w:val="right" w:leader="dot" w:pos="9678"/>
            </w:tabs>
            <w:rPr>
              <w:rFonts w:asciiTheme="minorHAnsi" w:eastAsiaTheme="minorEastAsia" w:hAnsiTheme="minorHAnsi" w:cstheme="minorBidi"/>
              <w:noProof/>
              <w:lang w:eastAsia="es-MX"/>
            </w:rPr>
          </w:pPr>
          <w:hyperlink w:anchor="_Toc136601511" w:history="1">
            <w:r w:rsidRPr="00954595">
              <w:rPr>
                <w:rStyle w:val="Hipervnculo"/>
                <w:rFonts w:ascii="Arial" w:hAnsi="Arial" w:cs="Arial"/>
                <w:b/>
                <w:noProof/>
              </w:rPr>
              <w:t>5. Políticas de Contabilidad Significativas:</w:t>
            </w:r>
            <w:r>
              <w:rPr>
                <w:noProof/>
                <w:webHidden/>
              </w:rPr>
              <w:tab/>
            </w:r>
            <w:r>
              <w:rPr>
                <w:noProof/>
                <w:webHidden/>
              </w:rPr>
              <w:fldChar w:fldCharType="begin"/>
            </w:r>
            <w:r>
              <w:rPr>
                <w:noProof/>
                <w:webHidden/>
              </w:rPr>
              <w:instrText xml:space="preserve"> PAGEREF _Toc136601511 \h </w:instrText>
            </w:r>
            <w:r>
              <w:rPr>
                <w:noProof/>
                <w:webHidden/>
              </w:rPr>
            </w:r>
            <w:r>
              <w:rPr>
                <w:noProof/>
                <w:webHidden/>
              </w:rPr>
              <w:fldChar w:fldCharType="separate"/>
            </w:r>
            <w:r w:rsidR="009C14B5">
              <w:rPr>
                <w:noProof/>
                <w:webHidden/>
              </w:rPr>
              <w:t>8</w:t>
            </w:r>
            <w:r>
              <w:rPr>
                <w:noProof/>
                <w:webHidden/>
              </w:rPr>
              <w:fldChar w:fldCharType="end"/>
            </w:r>
          </w:hyperlink>
        </w:p>
        <w:p w14:paraId="753793BE" w14:textId="624DEB26" w:rsidR="00BB6B6F" w:rsidRDefault="00BB6B6F">
          <w:pPr>
            <w:pStyle w:val="TDC2"/>
            <w:tabs>
              <w:tab w:val="right" w:leader="dot" w:pos="9678"/>
            </w:tabs>
            <w:rPr>
              <w:rFonts w:asciiTheme="minorHAnsi" w:eastAsiaTheme="minorEastAsia" w:hAnsiTheme="minorHAnsi" w:cstheme="minorBidi"/>
              <w:noProof/>
              <w:lang w:eastAsia="es-MX"/>
            </w:rPr>
          </w:pPr>
          <w:hyperlink w:anchor="_Toc136601512" w:history="1">
            <w:r w:rsidRPr="00954595">
              <w:rPr>
                <w:rStyle w:val="Hipervnculo"/>
                <w:rFonts w:ascii="Arial" w:hAnsi="Arial" w:cs="Arial"/>
                <w:b/>
                <w:noProof/>
              </w:rPr>
              <w:t>6. Posición en Moneda Extranjera y Protección por Riesgo Cambiario:</w:t>
            </w:r>
            <w:r>
              <w:rPr>
                <w:noProof/>
                <w:webHidden/>
              </w:rPr>
              <w:tab/>
            </w:r>
            <w:r>
              <w:rPr>
                <w:noProof/>
                <w:webHidden/>
              </w:rPr>
              <w:fldChar w:fldCharType="begin"/>
            </w:r>
            <w:r>
              <w:rPr>
                <w:noProof/>
                <w:webHidden/>
              </w:rPr>
              <w:instrText xml:space="preserve"> PAGEREF _Toc136601512 \h </w:instrText>
            </w:r>
            <w:r>
              <w:rPr>
                <w:noProof/>
                <w:webHidden/>
              </w:rPr>
            </w:r>
            <w:r>
              <w:rPr>
                <w:noProof/>
                <w:webHidden/>
              </w:rPr>
              <w:fldChar w:fldCharType="separate"/>
            </w:r>
            <w:r w:rsidR="009C14B5">
              <w:rPr>
                <w:noProof/>
                <w:webHidden/>
              </w:rPr>
              <w:t>13</w:t>
            </w:r>
            <w:r>
              <w:rPr>
                <w:noProof/>
                <w:webHidden/>
              </w:rPr>
              <w:fldChar w:fldCharType="end"/>
            </w:r>
          </w:hyperlink>
        </w:p>
        <w:p w14:paraId="702BE0BF" w14:textId="3CD7461D" w:rsidR="00BB6B6F" w:rsidRDefault="00BB6B6F">
          <w:pPr>
            <w:pStyle w:val="TDC2"/>
            <w:tabs>
              <w:tab w:val="right" w:leader="dot" w:pos="9678"/>
            </w:tabs>
            <w:rPr>
              <w:rFonts w:asciiTheme="minorHAnsi" w:eastAsiaTheme="minorEastAsia" w:hAnsiTheme="minorHAnsi" w:cstheme="minorBidi"/>
              <w:noProof/>
              <w:lang w:eastAsia="es-MX"/>
            </w:rPr>
          </w:pPr>
          <w:hyperlink w:anchor="_Toc136601513" w:history="1">
            <w:r w:rsidRPr="00954595">
              <w:rPr>
                <w:rStyle w:val="Hipervnculo"/>
                <w:rFonts w:ascii="Arial" w:hAnsi="Arial" w:cs="Arial"/>
                <w:b/>
                <w:noProof/>
              </w:rPr>
              <w:t>7. Reporte Analítico del Activo:</w:t>
            </w:r>
            <w:r>
              <w:rPr>
                <w:noProof/>
                <w:webHidden/>
              </w:rPr>
              <w:tab/>
            </w:r>
            <w:r>
              <w:rPr>
                <w:noProof/>
                <w:webHidden/>
              </w:rPr>
              <w:fldChar w:fldCharType="begin"/>
            </w:r>
            <w:r>
              <w:rPr>
                <w:noProof/>
                <w:webHidden/>
              </w:rPr>
              <w:instrText xml:space="preserve"> PAGEREF _Toc136601513 \h </w:instrText>
            </w:r>
            <w:r>
              <w:rPr>
                <w:noProof/>
                <w:webHidden/>
              </w:rPr>
            </w:r>
            <w:r>
              <w:rPr>
                <w:noProof/>
                <w:webHidden/>
              </w:rPr>
              <w:fldChar w:fldCharType="separate"/>
            </w:r>
            <w:r w:rsidR="009C14B5">
              <w:rPr>
                <w:noProof/>
                <w:webHidden/>
              </w:rPr>
              <w:t>13</w:t>
            </w:r>
            <w:r>
              <w:rPr>
                <w:noProof/>
                <w:webHidden/>
              </w:rPr>
              <w:fldChar w:fldCharType="end"/>
            </w:r>
          </w:hyperlink>
        </w:p>
        <w:p w14:paraId="5E5A01FC" w14:textId="6A15E495" w:rsidR="00BB6B6F" w:rsidRDefault="00BB6B6F">
          <w:pPr>
            <w:pStyle w:val="TDC2"/>
            <w:tabs>
              <w:tab w:val="right" w:leader="dot" w:pos="9678"/>
            </w:tabs>
            <w:rPr>
              <w:rFonts w:asciiTheme="minorHAnsi" w:eastAsiaTheme="minorEastAsia" w:hAnsiTheme="minorHAnsi" w:cstheme="minorBidi"/>
              <w:noProof/>
              <w:lang w:eastAsia="es-MX"/>
            </w:rPr>
          </w:pPr>
          <w:hyperlink w:anchor="_Toc136601514" w:history="1">
            <w:r w:rsidRPr="00954595">
              <w:rPr>
                <w:rStyle w:val="Hipervnculo"/>
                <w:rFonts w:ascii="Arial" w:hAnsi="Arial" w:cs="Arial"/>
                <w:b/>
                <w:noProof/>
              </w:rPr>
              <w:t>8. Fideicomisos, Mandatos y Análogos:</w:t>
            </w:r>
            <w:r>
              <w:rPr>
                <w:noProof/>
                <w:webHidden/>
              </w:rPr>
              <w:tab/>
            </w:r>
            <w:r>
              <w:rPr>
                <w:noProof/>
                <w:webHidden/>
              </w:rPr>
              <w:fldChar w:fldCharType="begin"/>
            </w:r>
            <w:r>
              <w:rPr>
                <w:noProof/>
                <w:webHidden/>
              </w:rPr>
              <w:instrText xml:space="preserve"> PAGEREF _Toc136601514 \h </w:instrText>
            </w:r>
            <w:r>
              <w:rPr>
                <w:noProof/>
                <w:webHidden/>
              </w:rPr>
            </w:r>
            <w:r>
              <w:rPr>
                <w:noProof/>
                <w:webHidden/>
              </w:rPr>
              <w:fldChar w:fldCharType="separate"/>
            </w:r>
            <w:r w:rsidR="009C14B5">
              <w:rPr>
                <w:noProof/>
                <w:webHidden/>
              </w:rPr>
              <w:t>15</w:t>
            </w:r>
            <w:r>
              <w:rPr>
                <w:noProof/>
                <w:webHidden/>
              </w:rPr>
              <w:fldChar w:fldCharType="end"/>
            </w:r>
          </w:hyperlink>
        </w:p>
        <w:p w14:paraId="3E0B1177" w14:textId="41F18455" w:rsidR="00BB6B6F" w:rsidRDefault="00BB6B6F">
          <w:pPr>
            <w:pStyle w:val="TDC2"/>
            <w:tabs>
              <w:tab w:val="right" w:leader="dot" w:pos="9678"/>
            </w:tabs>
            <w:rPr>
              <w:rFonts w:asciiTheme="minorHAnsi" w:eastAsiaTheme="minorEastAsia" w:hAnsiTheme="minorHAnsi" w:cstheme="minorBidi"/>
              <w:noProof/>
              <w:lang w:eastAsia="es-MX"/>
            </w:rPr>
          </w:pPr>
          <w:hyperlink w:anchor="_Toc136601515" w:history="1">
            <w:r w:rsidRPr="00954595">
              <w:rPr>
                <w:rStyle w:val="Hipervnculo"/>
                <w:rFonts w:ascii="Arial" w:hAnsi="Arial" w:cs="Arial"/>
                <w:b/>
                <w:noProof/>
              </w:rPr>
              <w:t>9. Reporte de la Recaudación:</w:t>
            </w:r>
            <w:r>
              <w:rPr>
                <w:noProof/>
                <w:webHidden/>
              </w:rPr>
              <w:tab/>
            </w:r>
            <w:r>
              <w:rPr>
                <w:noProof/>
                <w:webHidden/>
              </w:rPr>
              <w:fldChar w:fldCharType="begin"/>
            </w:r>
            <w:r>
              <w:rPr>
                <w:noProof/>
                <w:webHidden/>
              </w:rPr>
              <w:instrText xml:space="preserve"> PAGEREF _Toc136601515 \h </w:instrText>
            </w:r>
            <w:r>
              <w:rPr>
                <w:noProof/>
                <w:webHidden/>
              </w:rPr>
            </w:r>
            <w:r>
              <w:rPr>
                <w:noProof/>
                <w:webHidden/>
              </w:rPr>
              <w:fldChar w:fldCharType="separate"/>
            </w:r>
            <w:r w:rsidR="009C14B5">
              <w:rPr>
                <w:noProof/>
                <w:webHidden/>
              </w:rPr>
              <w:t>15</w:t>
            </w:r>
            <w:r>
              <w:rPr>
                <w:noProof/>
                <w:webHidden/>
              </w:rPr>
              <w:fldChar w:fldCharType="end"/>
            </w:r>
          </w:hyperlink>
        </w:p>
        <w:p w14:paraId="49A9D1CE" w14:textId="50E3857B" w:rsidR="00BB6B6F" w:rsidRDefault="00BB6B6F">
          <w:pPr>
            <w:pStyle w:val="TDC2"/>
            <w:tabs>
              <w:tab w:val="right" w:leader="dot" w:pos="9678"/>
            </w:tabs>
            <w:rPr>
              <w:rFonts w:asciiTheme="minorHAnsi" w:eastAsiaTheme="minorEastAsia" w:hAnsiTheme="minorHAnsi" w:cstheme="minorBidi"/>
              <w:noProof/>
              <w:lang w:eastAsia="es-MX"/>
            </w:rPr>
          </w:pPr>
          <w:hyperlink w:anchor="_Toc136601516" w:history="1">
            <w:r w:rsidRPr="00954595">
              <w:rPr>
                <w:rStyle w:val="Hipervnculo"/>
                <w:rFonts w:ascii="Arial" w:hAnsi="Arial" w:cs="Arial"/>
                <w:b/>
                <w:noProof/>
              </w:rPr>
              <w:t>10. Información sobre la Deuda y el Reporte Analítico de la Deuda:</w:t>
            </w:r>
            <w:r>
              <w:rPr>
                <w:noProof/>
                <w:webHidden/>
              </w:rPr>
              <w:tab/>
            </w:r>
            <w:r>
              <w:rPr>
                <w:noProof/>
                <w:webHidden/>
              </w:rPr>
              <w:fldChar w:fldCharType="begin"/>
            </w:r>
            <w:r>
              <w:rPr>
                <w:noProof/>
                <w:webHidden/>
              </w:rPr>
              <w:instrText xml:space="preserve"> PAGEREF _Toc136601516 \h </w:instrText>
            </w:r>
            <w:r>
              <w:rPr>
                <w:noProof/>
                <w:webHidden/>
              </w:rPr>
            </w:r>
            <w:r>
              <w:rPr>
                <w:noProof/>
                <w:webHidden/>
              </w:rPr>
              <w:fldChar w:fldCharType="separate"/>
            </w:r>
            <w:r w:rsidR="009C14B5">
              <w:rPr>
                <w:noProof/>
                <w:webHidden/>
              </w:rPr>
              <w:t>15</w:t>
            </w:r>
            <w:r>
              <w:rPr>
                <w:noProof/>
                <w:webHidden/>
              </w:rPr>
              <w:fldChar w:fldCharType="end"/>
            </w:r>
          </w:hyperlink>
        </w:p>
        <w:p w14:paraId="12E2A1EE" w14:textId="51C032D1" w:rsidR="00BB6B6F" w:rsidRDefault="00BB6B6F">
          <w:pPr>
            <w:pStyle w:val="TDC2"/>
            <w:tabs>
              <w:tab w:val="right" w:leader="dot" w:pos="9678"/>
            </w:tabs>
            <w:rPr>
              <w:rFonts w:asciiTheme="minorHAnsi" w:eastAsiaTheme="minorEastAsia" w:hAnsiTheme="minorHAnsi" w:cstheme="minorBidi"/>
              <w:noProof/>
              <w:lang w:eastAsia="es-MX"/>
            </w:rPr>
          </w:pPr>
          <w:hyperlink w:anchor="_Toc136601517" w:history="1">
            <w:r w:rsidRPr="00954595">
              <w:rPr>
                <w:rStyle w:val="Hipervnculo"/>
                <w:rFonts w:ascii="Arial" w:hAnsi="Arial" w:cs="Arial"/>
                <w:b/>
                <w:noProof/>
              </w:rPr>
              <w:t>11. Calificaciones otorgadas:</w:t>
            </w:r>
            <w:r>
              <w:rPr>
                <w:noProof/>
                <w:webHidden/>
              </w:rPr>
              <w:tab/>
            </w:r>
            <w:r>
              <w:rPr>
                <w:noProof/>
                <w:webHidden/>
              </w:rPr>
              <w:fldChar w:fldCharType="begin"/>
            </w:r>
            <w:r>
              <w:rPr>
                <w:noProof/>
                <w:webHidden/>
              </w:rPr>
              <w:instrText xml:space="preserve"> PAGEREF _Toc136601517 \h </w:instrText>
            </w:r>
            <w:r>
              <w:rPr>
                <w:noProof/>
                <w:webHidden/>
              </w:rPr>
            </w:r>
            <w:r>
              <w:rPr>
                <w:noProof/>
                <w:webHidden/>
              </w:rPr>
              <w:fldChar w:fldCharType="separate"/>
            </w:r>
            <w:r w:rsidR="009C14B5">
              <w:rPr>
                <w:noProof/>
                <w:webHidden/>
              </w:rPr>
              <w:t>15</w:t>
            </w:r>
            <w:r>
              <w:rPr>
                <w:noProof/>
                <w:webHidden/>
              </w:rPr>
              <w:fldChar w:fldCharType="end"/>
            </w:r>
          </w:hyperlink>
        </w:p>
        <w:p w14:paraId="1B6AF5FD" w14:textId="6AD39899" w:rsidR="00BB6B6F" w:rsidRDefault="00BB6B6F">
          <w:pPr>
            <w:pStyle w:val="TDC2"/>
            <w:tabs>
              <w:tab w:val="right" w:leader="dot" w:pos="9678"/>
            </w:tabs>
            <w:rPr>
              <w:rFonts w:asciiTheme="minorHAnsi" w:eastAsiaTheme="minorEastAsia" w:hAnsiTheme="minorHAnsi" w:cstheme="minorBidi"/>
              <w:noProof/>
              <w:lang w:eastAsia="es-MX"/>
            </w:rPr>
          </w:pPr>
          <w:hyperlink w:anchor="_Toc136601518" w:history="1">
            <w:r w:rsidRPr="00954595">
              <w:rPr>
                <w:rStyle w:val="Hipervnculo"/>
                <w:rFonts w:ascii="Arial" w:hAnsi="Arial" w:cs="Arial"/>
                <w:b/>
                <w:noProof/>
              </w:rPr>
              <w:t>12. Proceso de Mejora:</w:t>
            </w:r>
            <w:r>
              <w:rPr>
                <w:noProof/>
                <w:webHidden/>
              </w:rPr>
              <w:tab/>
            </w:r>
            <w:r>
              <w:rPr>
                <w:noProof/>
                <w:webHidden/>
              </w:rPr>
              <w:fldChar w:fldCharType="begin"/>
            </w:r>
            <w:r>
              <w:rPr>
                <w:noProof/>
                <w:webHidden/>
              </w:rPr>
              <w:instrText xml:space="preserve"> PAGEREF _Toc136601518 \h </w:instrText>
            </w:r>
            <w:r>
              <w:rPr>
                <w:noProof/>
                <w:webHidden/>
              </w:rPr>
            </w:r>
            <w:r>
              <w:rPr>
                <w:noProof/>
                <w:webHidden/>
              </w:rPr>
              <w:fldChar w:fldCharType="separate"/>
            </w:r>
            <w:r w:rsidR="009C14B5">
              <w:rPr>
                <w:noProof/>
                <w:webHidden/>
              </w:rPr>
              <w:t>15</w:t>
            </w:r>
            <w:r>
              <w:rPr>
                <w:noProof/>
                <w:webHidden/>
              </w:rPr>
              <w:fldChar w:fldCharType="end"/>
            </w:r>
          </w:hyperlink>
        </w:p>
        <w:p w14:paraId="716BAC2C" w14:textId="494DBDF6" w:rsidR="00BB6B6F" w:rsidRDefault="00BB6B6F">
          <w:pPr>
            <w:pStyle w:val="TDC2"/>
            <w:tabs>
              <w:tab w:val="right" w:leader="dot" w:pos="9678"/>
            </w:tabs>
            <w:rPr>
              <w:rFonts w:asciiTheme="minorHAnsi" w:eastAsiaTheme="minorEastAsia" w:hAnsiTheme="minorHAnsi" w:cstheme="minorBidi"/>
              <w:noProof/>
              <w:lang w:eastAsia="es-MX"/>
            </w:rPr>
          </w:pPr>
          <w:hyperlink w:anchor="_Toc136601519" w:history="1">
            <w:r w:rsidRPr="00954595">
              <w:rPr>
                <w:rStyle w:val="Hipervnculo"/>
                <w:rFonts w:ascii="Arial" w:hAnsi="Arial" w:cs="Arial"/>
                <w:b/>
                <w:noProof/>
              </w:rPr>
              <w:t>13. Información por Segmentos:</w:t>
            </w:r>
            <w:r>
              <w:rPr>
                <w:noProof/>
                <w:webHidden/>
              </w:rPr>
              <w:tab/>
            </w:r>
            <w:r>
              <w:rPr>
                <w:noProof/>
                <w:webHidden/>
              </w:rPr>
              <w:fldChar w:fldCharType="begin"/>
            </w:r>
            <w:r>
              <w:rPr>
                <w:noProof/>
                <w:webHidden/>
              </w:rPr>
              <w:instrText xml:space="preserve"> PAGEREF _Toc136601519 \h </w:instrText>
            </w:r>
            <w:r>
              <w:rPr>
                <w:noProof/>
                <w:webHidden/>
              </w:rPr>
            </w:r>
            <w:r>
              <w:rPr>
                <w:noProof/>
                <w:webHidden/>
              </w:rPr>
              <w:fldChar w:fldCharType="separate"/>
            </w:r>
            <w:r w:rsidR="009C14B5">
              <w:rPr>
                <w:noProof/>
                <w:webHidden/>
              </w:rPr>
              <w:t>15</w:t>
            </w:r>
            <w:r>
              <w:rPr>
                <w:noProof/>
                <w:webHidden/>
              </w:rPr>
              <w:fldChar w:fldCharType="end"/>
            </w:r>
          </w:hyperlink>
        </w:p>
        <w:p w14:paraId="4AB8F5D7" w14:textId="50821E36" w:rsidR="00BB6B6F" w:rsidRDefault="00BB6B6F">
          <w:pPr>
            <w:pStyle w:val="TDC2"/>
            <w:tabs>
              <w:tab w:val="right" w:leader="dot" w:pos="9678"/>
            </w:tabs>
            <w:rPr>
              <w:rFonts w:asciiTheme="minorHAnsi" w:eastAsiaTheme="minorEastAsia" w:hAnsiTheme="minorHAnsi" w:cstheme="minorBidi"/>
              <w:noProof/>
              <w:lang w:eastAsia="es-MX"/>
            </w:rPr>
          </w:pPr>
          <w:hyperlink w:anchor="_Toc136601520" w:history="1">
            <w:r w:rsidRPr="00954595">
              <w:rPr>
                <w:rStyle w:val="Hipervnculo"/>
                <w:rFonts w:ascii="Arial" w:hAnsi="Arial" w:cs="Arial"/>
                <w:b/>
                <w:noProof/>
              </w:rPr>
              <w:t>14. Eventos Posteriores al Cierre:</w:t>
            </w:r>
            <w:r>
              <w:rPr>
                <w:noProof/>
                <w:webHidden/>
              </w:rPr>
              <w:tab/>
            </w:r>
            <w:r>
              <w:rPr>
                <w:noProof/>
                <w:webHidden/>
              </w:rPr>
              <w:fldChar w:fldCharType="begin"/>
            </w:r>
            <w:r>
              <w:rPr>
                <w:noProof/>
                <w:webHidden/>
              </w:rPr>
              <w:instrText xml:space="preserve"> PAGEREF _Toc136601520 \h </w:instrText>
            </w:r>
            <w:r>
              <w:rPr>
                <w:noProof/>
                <w:webHidden/>
              </w:rPr>
            </w:r>
            <w:r>
              <w:rPr>
                <w:noProof/>
                <w:webHidden/>
              </w:rPr>
              <w:fldChar w:fldCharType="separate"/>
            </w:r>
            <w:r w:rsidR="009C14B5">
              <w:rPr>
                <w:noProof/>
                <w:webHidden/>
              </w:rPr>
              <w:t>16</w:t>
            </w:r>
            <w:r>
              <w:rPr>
                <w:noProof/>
                <w:webHidden/>
              </w:rPr>
              <w:fldChar w:fldCharType="end"/>
            </w:r>
          </w:hyperlink>
        </w:p>
        <w:p w14:paraId="34BC1BA3" w14:textId="399269DA" w:rsidR="00BB6B6F" w:rsidRDefault="00BB6B6F">
          <w:pPr>
            <w:pStyle w:val="TDC2"/>
            <w:tabs>
              <w:tab w:val="right" w:leader="dot" w:pos="9678"/>
            </w:tabs>
            <w:rPr>
              <w:rFonts w:asciiTheme="minorHAnsi" w:eastAsiaTheme="minorEastAsia" w:hAnsiTheme="minorHAnsi" w:cstheme="minorBidi"/>
              <w:noProof/>
              <w:lang w:eastAsia="es-MX"/>
            </w:rPr>
          </w:pPr>
          <w:hyperlink w:anchor="_Toc136601521" w:history="1">
            <w:r w:rsidRPr="00954595">
              <w:rPr>
                <w:rStyle w:val="Hipervnculo"/>
                <w:rFonts w:ascii="Arial" w:hAnsi="Arial" w:cs="Arial"/>
                <w:b/>
                <w:noProof/>
              </w:rPr>
              <w:t>15. Partes Relacionadas:</w:t>
            </w:r>
            <w:r>
              <w:rPr>
                <w:noProof/>
                <w:webHidden/>
              </w:rPr>
              <w:tab/>
            </w:r>
            <w:r>
              <w:rPr>
                <w:noProof/>
                <w:webHidden/>
              </w:rPr>
              <w:fldChar w:fldCharType="begin"/>
            </w:r>
            <w:r>
              <w:rPr>
                <w:noProof/>
                <w:webHidden/>
              </w:rPr>
              <w:instrText xml:space="preserve"> PAGEREF _Toc136601521 \h </w:instrText>
            </w:r>
            <w:r>
              <w:rPr>
                <w:noProof/>
                <w:webHidden/>
              </w:rPr>
            </w:r>
            <w:r>
              <w:rPr>
                <w:noProof/>
                <w:webHidden/>
              </w:rPr>
              <w:fldChar w:fldCharType="separate"/>
            </w:r>
            <w:r w:rsidR="009C14B5">
              <w:rPr>
                <w:noProof/>
                <w:webHidden/>
              </w:rPr>
              <w:t>16</w:t>
            </w:r>
            <w:r>
              <w:rPr>
                <w:noProof/>
                <w:webHidden/>
              </w:rPr>
              <w:fldChar w:fldCharType="end"/>
            </w:r>
          </w:hyperlink>
        </w:p>
        <w:p w14:paraId="2F7D1096" w14:textId="5ED1CCCF" w:rsidR="00BB6B6F" w:rsidRDefault="00BB6B6F">
          <w:pPr>
            <w:pStyle w:val="TDC2"/>
            <w:tabs>
              <w:tab w:val="right" w:leader="dot" w:pos="9678"/>
            </w:tabs>
            <w:rPr>
              <w:rFonts w:asciiTheme="minorHAnsi" w:eastAsiaTheme="minorEastAsia" w:hAnsiTheme="minorHAnsi" w:cstheme="minorBidi"/>
              <w:noProof/>
              <w:lang w:eastAsia="es-MX"/>
            </w:rPr>
          </w:pPr>
          <w:hyperlink w:anchor="_Toc136601522" w:history="1">
            <w:r w:rsidRPr="00954595">
              <w:rPr>
                <w:rStyle w:val="Hipervnculo"/>
                <w:rFonts w:ascii="Arial" w:hAnsi="Arial" w:cs="Arial"/>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_Toc136601522 \h </w:instrText>
            </w:r>
            <w:r>
              <w:rPr>
                <w:noProof/>
                <w:webHidden/>
              </w:rPr>
            </w:r>
            <w:r>
              <w:rPr>
                <w:noProof/>
                <w:webHidden/>
              </w:rPr>
              <w:fldChar w:fldCharType="separate"/>
            </w:r>
            <w:r w:rsidR="009C14B5">
              <w:rPr>
                <w:noProof/>
                <w:webHidden/>
              </w:rPr>
              <w:t>16</w:t>
            </w:r>
            <w:r>
              <w:rPr>
                <w:noProof/>
                <w:webHidden/>
              </w:rPr>
              <w:fldChar w:fldCharType="end"/>
            </w:r>
          </w:hyperlink>
        </w:p>
        <w:p w14:paraId="6BF21232" w14:textId="77777777" w:rsidR="00F46719" w:rsidRPr="00F525D7" w:rsidRDefault="00657327">
          <w:pPr>
            <w:rPr>
              <w:rFonts w:ascii="Arial" w:hAnsi="Arial" w:cs="Arial"/>
              <w:sz w:val="20"/>
              <w:szCs w:val="20"/>
            </w:rPr>
          </w:pPr>
          <w:r w:rsidRPr="00F525D7">
            <w:rPr>
              <w:rFonts w:ascii="Arial" w:hAnsi="Arial" w:cs="Arial"/>
              <w:b/>
              <w:bCs/>
              <w:sz w:val="20"/>
              <w:szCs w:val="20"/>
              <w:lang w:val="es-ES"/>
            </w:rPr>
            <w:fldChar w:fldCharType="end"/>
          </w:r>
        </w:p>
      </w:sdtContent>
    </w:sdt>
    <w:p w14:paraId="40B101D9" w14:textId="77777777" w:rsidR="00F46719" w:rsidRPr="00F525D7" w:rsidRDefault="00F46719" w:rsidP="00CB41C4">
      <w:pPr>
        <w:tabs>
          <w:tab w:val="left" w:leader="underscore" w:pos="9639"/>
        </w:tabs>
        <w:spacing w:after="0" w:line="240" w:lineRule="auto"/>
        <w:jc w:val="both"/>
        <w:rPr>
          <w:rFonts w:ascii="Arial" w:hAnsi="Arial" w:cs="Arial"/>
          <w:sz w:val="20"/>
          <w:szCs w:val="20"/>
        </w:rPr>
      </w:pPr>
    </w:p>
    <w:p w14:paraId="61A0BB12" w14:textId="77777777" w:rsidR="00F525D7" w:rsidRPr="00F525D7" w:rsidRDefault="00F525D7" w:rsidP="00CB41C4">
      <w:pPr>
        <w:tabs>
          <w:tab w:val="left" w:leader="underscore" w:pos="9639"/>
        </w:tabs>
        <w:spacing w:after="0" w:line="240" w:lineRule="auto"/>
        <w:jc w:val="both"/>
        <w:rPr>
          <w:rFonts w:ascii="Arial" w:hAnsi="Arial" w:cs="Arial"/>
          <w:sz w:val="20"/>
          <w:szCs w:val="20"/>
        </w:rPr>
      </w:pPr>
    </w:p>
    <w:p w14:paraId="6E358830" w14:textId="77777777" w:rsidR="007675C0" w:rsidRDefault="007675C0" w:rsidP="000C3365">
      <w:pPr>
        <w:pStyle w:val="Ttulo2"/>
        <w:rPr>
          <w:rFonts w:ascii="Arial" w:hAnsi="Arial" w:cs="Arial"/>
          <w:b/>
          <w:color w:val="auto"/>
          <w:sz w:val="20"/>
          <w:szCs w:val="20"/>
        </w:rPr>
      </w:pPr>
    </w:p>
    <w:p w14:paraId="16B693CC" w14:textId="77777777" w:rsidR="007D1E76" w:rsidRPr="00F525D7" w:rsidRDefault="007D1E76" w:rsidP="000C3365">
      <w:pPr>
        <w:pStyle w:val="Ttulo2"/>
        <w:rPr>
          <w:rFonts w:ascii="Arial" w:hAnsi="Arial" w:cs="Arial"/>
          <w:b/>
          <w:color w:val="auto"/>
          <w:sz w:val="20"/>
          <w:szCs w:val="20"/>
        </w:rPr>
      </w:pPr>
      <w:bookmarkStart w:id="0" w:name="_Toc136601506"/>
      <w:r w:rsidRPr="00F525D7">
        <w:rPr>
          <w:rFonts w:ascii="Arial" w:hAnsi="Arial" w:cs="Arial"/>
          <w:b/>
          <w:color w:val="auto"/>
          <w:sz w:val="20"/>
          <w:szCs w:val="20"/>
        </w:rPr>
        <w:t>Introducción:</w:t>
      </w:r>
      <w:bookmarkEnd w:id="0"/>
    </w:p>
    <w:p w14:paraId="7550C46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Breve descripción de las actividades principales de la entidad.</w:t>
      </w:r>
    </w:p>
    <w:p w14:paraId="368BDF0A" w14:textId="77777777" w:rsidR="007D1E76" w:rsidRPr="00F525D7" w:rsidRDefault="00CC30A1"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Denominado comercialmente como: “F</w:t>
      </w:r>
      <w:r w:rsidR="00C175B6">
        <w:rPr>
          <w:rFonts w:ascii="Arial" w:hAnsi="Arial" w:cs="Arial"/>
          <w:sz w:val="20"/>
          <w:szCs w:val="20"/>
        </w:rPr>
        <w:t>OGIM</w:t>
      </w:r>
      <w:r>
        <w:rPr>
          <w:rFonts w:ascii="Arial" w:hAnsi="Arial" w:cs="Arial"/>
          <w:sz w:val="20"/>
          <w:szCs w:val="20"/>
        </w:rPr>
        <w:t>”, desempeña actividades en p</w:t>
      </w:r>
      <w:r w:rsidR="00C06DC3" w:rsidRPr="00F525D7">
        <w:rPr>
          <w:rFonts w:ascii="Arial" w:hAnsi="Arial" w:cs="Arial"/>
          <w:sz w:val="20"/>
          <w:szCs w:val="20"/>
        </w:rPr>
        <w:t>romo</w:t>
      </w:r>
      <w:r>
        <w:rPr>
          <w:rFonts w:ascii="Arial" w:hAnsi="Arial" w:cs="Arial"/>
          <w:sz w:val="20"/>
          <w:szCs w:val="20"/>
        </w:rPr>
        <w:t>ver</w:t>
      </w:r>
      <w:r w:rsidR="00C06DC3" w:rsidRPr="00F525D7">
        <w:rPr>
          <w:rFonts w:ascii="Arial" w:hAnsi="Arial" w:cs="Arial"/>
          <w:sz w:val="20"/>
          <w:szCs w:val="20"/>
        </w:rPr>
        <w:t xml:space="preserve"> </w:t>
      </w:r>
      <w:r>
        <w:rPr>
          <w:rFonts w:ascii="Arial" w:hAnsi="Arial" w:cs="Arial"/>
          <w:sz w:val="20"/>
          <w:szCs w:val="20"/>
        </w:rPr>
        <w:t xml:space="preserve">y </w:t>
      </w:r>
      <w:r w:rsidR="00C06DC3" w:rsidRPr="00F525D7">
        <w:rPr>
          <w:rFonts w:ascii="Arial" w:hAnsi="Arial" w:cs="Arial"/>
          <w:sz w:val="20"/>
          <w:szCs w:val="20"/>
        </w:rPr>
        <w:t>coloca</w:t>
      </w:r>
      <w:r>
        <w:rPr>
          <w:rFonts w:ascii="Arial" w:hAnsi="Arial" w:cs="Arial"/>
          <w:sz w:val="20"/>
          <w:szCs w:val="20"/>
        </w:rPr>
        <w:t>r</w:t>
      </w:r>
      <w:r w:rsidR="00C06DC3" w:rsidRPr="00F525D7">
        <w:rPr>
          <w:rFonts w:ascii="Arial" w:hAnsi="Arial" w:cs="Arial"/>
          <w:sz w:val="20"/>
          <w:szCs w:val="20"/>
        </w:rPr>
        <w:t xml:space="preserve"> créditos a </w:t>
      </w:r>
      <w:r>
        <w:rPr>
          <w:rFonts w:ascii="Arial" w:hAnsi="Arial" w:cs="Arial"/>
          <w:sz w:val="20"/>
          <w:szCs w:val="20"/>
        </w:rPr>
        <w:t>M</w:t>
      </w:r>
      <w:r w:rsidR="00C06DC3" w:rsidRPr="00F525D7">
        <w:rPr>
          <w:rFonts w:ascii="Arial" w:hAnsi="Arial" w:cs="Arial"/>
          <w:sz w:val="20"/>
          <w:szCs w:val="20"/>
        </w:rPr>
        <w:t xml:space="preserve">icros, </w:t>
      </w:r>
      <w:r>
        <w:rPr>
          <w:rFonts w:ascii="Arial" w:hAnsi="Arial" w:cs="Arial"/>
          <w:sz w:val="20"/>
          <w:szCs w:val="20"/>
        </w:rPr>
        <w:t>P</w:t>
      </w:r>
      <w:r w:rsidR="00C06DC3" w:rsidRPr="00F525D7">
        <w:rPr>
          <w:rFonts w:ascii="Arial" w:hAnsi="Arial" w:cs="Arial"/>
          <w:sz w:val="20"/>
          <w:szCs w:val="20"/>
        </w:rPr>
        <w:t xml:space="preserve">equeñas y </w:t>
      </w:r>
      <w:r>
        <w:rPr>
          <w:rFonts w:ascii="Arial" w:hAnsi="Arial" w:cs="Arial"/>
          <w:sz w:val="20"/>
          <w:szCs w:val="20"/>
        </w:rPr>
        <w:t>M</w:t>
      </w:r>
      <w:r w:rsidR="00C06DC3" w:rsidRPr="00F525D7">
        <w:rPr>
          <w:rFonts w:ascii="Arial" w:hAnsi="Arial" w:cs="Arial"/>
          <w:sz w:val="20"/>
          <w:szCs w:val="20"/>
        </w:rPr>
        <w:t xml:space="preserve">edianas </w:t>
      </w:r>
      <w:r>
        <w:rPr>
          <w:rFonts w:ascii="Arial" w:hAnsi="Arial" w:cs="Arial"/>
          <w:sz w:val="20"/>
          <w:szCs w:val="20"/>
        </w:rPr>
        <w:t>E</w:t>
      </w:r>
      <w:r w:rsidR="00C06DC3" w:rsidRPr="00F525D7">
        <w:rPr>
          <w:rFonts w:ascii="Arial" w:hAnsi="Arial" w:cs="Arial"/>
          <w:sz w:val="20"/>
          <w:szCs w:val="20"/>
        </w:rPr>
        <w:t>mpresas</w:t>
      </w:r>
      <w:r>
        <w:rPr>
          <w:rFonts w:ascii="Arial" w:hAnsi="Arial" w:cs="Arial"/>
          <w:sz w:val="20"/>
          <w:szCs w:val="20"/>
        </w:rPr>
        <w:t xml:space="preserve"> (MIPYMES)</w:t>
      </w:r>
      <w:r w:rsidR="00C06DC3" w:rsidRPr="00F525D7">
        <w:rPr>
          <w:rFonts w:ascii="Arial" w:hAnsi="Arial" w:cs="Arial"/>
          <w:sz w:val="20"/>
          <w:szCs w:val="20"/>
        </w:rPr>
        <w:t>, destacando que una parte considerable de ellas, tratándose de personas físicas no son sujetos de líneas de crédito por las instituciones de crédito que conforman la banca comercial.</w:t>
      </w:r>
    </w:p>
    <w:p w14:paraId="2EF855E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8036B03" w14:textId="77777777" w:rsidR="0054701E" w:rsidRPr="00F525D7" w:rsidRDefault="0054701E" w:rsidP="00CB41C4">
      <w:pPr>
        <w:tabs>
          <w:tab w:val="left" w:leader="underscore" w:pos="9639"/>
        </w:tabs>
        <w:spacing w:after="0" w:line="240" w:lineRule="auto"/>
        <w:jc w:val="both"/>
        <w:rPr>
          <w:rFonts w:ascii="Arial" w:hAnsi="Arial" w:cs="Arial"/>
          <w:sz w:val="20"/>
          <w:szCs w:val="20"/>
        </w:rPr>
      </w:pPr>
    </w:p>
    <w:p w14:paraId="062D1681" w14:textId="77777777" w:rsidR="007675C0" w:rsidRPr="00F525D7" w:rsidRDefault="007675C0" w:rsidP="007675C0">
      <w:pPr>
        <w:pStyle w:val="Ttulo2"/>
        <w:rPr>
          <w:rFonts w:ascii="Arial" w:hAnsi="Arial" w:cs="Arial"/>
          <w:b/>
          <w:color w:val="auto"/>
          <w:sz w:val="20"/>
          <w:szCs w:val="20"/>
        </w:rPr>
      </w:pPr>
      <w:bookmarkStart w:id="1" w:name="_Toc136601507"/>
      <w:r>
        <w:rPr>
          <w:rFonts w:ascii="Arial" w:hAnsi="Arial" w:cs="Arial"/>
          <w:b/>
          <w:color w:val="auto"/>
          <w:sz w:val="20"/>
          <w:szCs w:val="20"/>
        </w:rPr>
        <w:t>1</w:t>
      </w:r>
      <w:r w:rsidRPr="00F525D7">
        <w:rPr>
          <w:rFonts w:ascii="Arial" w:hAnsi="Arial" w:cs="Arial"/>
          <w:b/>
          <w:color w:val="auto"/>
          <w:sz w:val="20"/>
          <w:szCs w:val="20"/>
        </w:rPr>
        <w:t>. Autorización e Historia:</w:t>
      </w:r>
      <w:bookmarkEnd w:id="1"/>
    </w:p>
    <w:p w14:paraId="0AC50020"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42A27403"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6D496D41"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34F15279"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Fecha de creación del ente.</w:t>
      </w:r>
    </w:p>
    <w:p w14:paraId="28F5A92D"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La Entidad se creó mediante contrato constitutivo de fecha 7 de mayo de 1997, el Gobierno del Estado de</w:t>
      </w:r>
      <w:r>
        <w:rPr>
          <w:rFonts w:ascii="Arial" w:hAnsi="Arial" w:cs="Arial"/>
          <w:sz w:val="20"/>
          <w:szCs w:val="20"/>
        </w:rPr>
        <w:t xml:space="preserve"> </w:t>
      </w:r>
      <w:r w:rsidRPr="00F525D7">
        <w:rPr>
          <w:rFonts w:ascii="Arial" w:hAnsi="Arial" w:cs="Arial"/>
          <w:sz w:val="20"/>
          <w:szCs w:val="20"/>
        </w:rPr>
        <w:t>Guanajuato y Bancomer, S.A., formalizaron la creación de la Entidad, que en su origen fue identificado con el número F/27804-4, denominado “Fondo Guanajuato de Inversión en Zonas Marginadas”, por sus siglas FOGIM. Que con fecha 31 de agosto del 2001 se celebró el Convenio de Sustitución de Fiduciaria, en el cual Banco Internacional, S.A., Institución de Banca Múltiple, Grupo Financiero BITAL, División Fiduciaria adquirió el carácter de Fiduciario Sustituto. Fondo Guanajuato de Inversión en Zonas Marginadas es una Entidad de la administración pública paraestatal.</w:t>
      </w:r>
    </w:p>
    <w:p w14:paraId="7367E62E"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73F673CF"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Principales cambios en su estructura (interna históricamente).</w:t>
      </w:r>
    </w:p>
    <w:p w14:paraId="50C5CB34"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El 13 de septiembre del año 2001 y 17 de septiembre del 2002, se celebraron el Primero y Segundo Convenio Modificatorios al Fideicomiso consecutivamente, adecuando diversas estipulaciones al contrato Constitutivo de fecha 7 de mayo de 1997, constituyendo ambos documentos el texto vigente de contrato de</w:t>
      </w:r>
    </w:p>
    <w:p w14:paraId="4F115F3C"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Fideicomiso.</w:t>
      </w:r>
    </w:p>
    <w:p w14:paraId="687F565D" w14:textId="0FF78C80"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 xml:space="preserve">Con fecha 7 de abril del 2011, se celebró el Tercer Convenio Modificatorio al Fideicomiso, a efecto de contemplar en carácter de Fideicomitente en sustitución del extinto Sistema Estatal de Financiamiento al Desarrollo del Estado de Guanajuato, al Gobierno del Estado de Guanajuato, por conducto de la Secretaría de Finanzas y Administración (en la actualidad </w:t>
      </w:r>
      <w:r w:rsidR="00980620">
        <w:rPr>
          <w:rFonts w:ascii="Arial" w:hAnsi="Arial" w:cs="Arial"/>
          <w:sz w:val="20"/>
          <w:szCs w:val="20"/>
        </w:rPr>
        <w:t>S</w:t>
      </w:r>
      <w:r w:rsidR="00980620" w:rsidRPr="00F525D7">
        <w:rPr>
          <w:rFonts w:ascii="Arial" w:hAnsi="Arial" w:cs="Arial"/>
          <w:sz w:val="20"/>
          <w:szCs w:val="20"/>
        </w:rPr>
        <w:t>ecretar</w:t>
      </w:r>
      <w:r w:rsidR="00E35B72">
        <w:rPr>
          <w:rFonts w:ascii="Arial" w:hAnsi="Arial" w:cs="Arial"/>
          <w:sz w:val="20"/>
          <w:szCs w:val="20"/>
        </w:rPr>
        <w:t>í</w:t>
      </w:r>
      <w:r w:rsidR="00980620" w:rsidRPr="00F525D7">
        <w:rPr>
          <w:rFonts w:ascii="Arial" w:hAnsi="Arial" w:cs="Arial"/>
          <w:sz w:val="20"/>
          <w:szCs w:val="20"/>
        </w:rPr>
        <w:t>a</w:t>
      </w:r>
      <w:r w:rsidRPr="00F525D7">
        <w:rPr>
          <w:rFonts w:ascii="Arial" w:hAnsi="Arial" w:cs="Arial"/>
          <w:sz w:val="20"/>
          <w:szCs w:val="20"/>
        </w:rPr>
        <w:t xml:space="preserve"> de Finanzas, Inversión y Administración- SFIA).</w:t>
      </w:r>
    </w:p>
    <w:p w14:paraId="78211841"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Así mismo en fecha 29 de diciembre del 2014, se suscribió el Cuarto Convenio Modificatorio al Fideicomiso, toda vez que se ha determinado una actualización en cuanto a la operación, para hacer más eficiente la administración de los programas de apoyo y el uso de sus recursos.</w:t>
      </w:r>
    </w:p>
    <w:p w14:paraId="28AC7A17" w14:textId="77777777" w:rsidR="007675C0" w:rsidRDefault="007675C0" w:rsidP="007675C0">
      <w:pPr>
        <w:tabs>
          <w:tab w:val="left" w:leader="underscore" w:pos="9639"/>
        </w:tabs>
        <w:spacing w:after="0" w:line="240" w:lineRule="auto"/>
        <w:jc w:val="both"/>
        <w:rPr>
          <w:rFonts w:ascii="Arial" w:hAnsi="Arial" w:cs="Arial"/>
          <w:sz w:val="20"/>
          <w:szCs w:val="20"/>
        </w:rPr>
      </w:pPr>
    </w:p>
    <w:p w14:paraId="7BD47D39"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21D4EEBE" w14:textId="77777777" w:rsidR="007D1E76" w:rsidRPr="00F525D7" w:rsidRDefault="007D1E76" w:rsidP="000C3365">
      <w:pPr>
        <w:pStyle w:val="Ttulo2"/>
        <w:rPr>
          <w:rFonts w:ascii="Arial" w:hAnsi="Arial" w:cs="Arial"/>
          <w:b/>
          <w:color w:val="auto"/>
          <w:sz w:val="20"/>
          <w:szCs w:val="20"/>
        </w:rPr>
      </w:pPr>
      <w:bookmarkStart w:id="2" w:name="_Toc136601508"/>
      <w:r w:rsidRPr="00F525D7">
        <w:rPr>
          <w:rFonts w:ascii="Arial" w:hAnsi="Arial" w:cs="Arial"/>
          <w:b/>
          <w:color w:val="auto"/>
          <w:sz w:val="20"/>
          <w:szCs w:val="20"/>
        </w:rPr>
        <w:t xml:space="preserve">2. </w:t>
      </w:r>
      <w:r w:rsidR="007675C0">
        <w:rPr>
          <w:rFonts w:ascii="Arial" w:hAnsi="Arial" w:cs="Arial"/>
          <w:b/>
          <w:color w:val="auto"/>
          <w:sz w:val="20"/>
          <w:szCs w:val="20"/>
        </w:rPr>
        <w:t>P</w:t>
      </w:r>
      <w:r w:rsidRPr="00F525D7">
        <w:rPr>
          <w:rFonts w:ascii="Arial" w:hAnsi="Arial" w:cs="Arial"/>
          <w:b/>
          <w:color w:val="auto"/>
          <w:sz w:val="20"/>
          <w:szCs w:val="20"/>
        </w:rPr>
        <w:t>an</w:t>
      </w:r>
      <w:r w:rsidR="00E00323" w:rsidRPr="00F525D7">
        <w:rPr>
          <w:rFonts w:ascii="Arial" w:hAnsi="Arial" w:cs="Arial"/>
          <w:b/>
          <w:color w:val="auto"/>
          <w:sz w:val="20"/>
          <w:szCs w:val="20"/>
        </w:rPr>
        <w:t>orama Económico y Financiero:</w:t>
      </w:r>
      <w:bookmarkEnd w:id="2"/>
    </w:p>
    <w:p w14:paraId="00D7AC65" w14:textId="77777777" w:rsidR="007675C0" w:rsidRDefault="007675C0" w:rsidP="00CB41C4">
      <w:pPr>
        <w:tabs>
          <w:tab w:val="left" w:leader="underscore" w:pos="9639"/>
        </w:tabs>
        <w:spacing w:after="0" w:line="240" w:lineRule="auto"/>
        <w:jc w:val="both"/>
        <w:rPr>
          <w:rFonts w:ascii="Arial" w:hAnsi="Arial" w:cs="Arial"/>
          <w:sz w:val="20"/>
          <w:szCs w:val="20"/>
        </w:rPr>
      </w:pPr>
    </w:p>
    <w:p w14:paraId="6CFD491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F525D7">
        <w:rPr>
          <w:rFonts w:ascii="Arial" w:hAnsi="Arial" w:cs="Arial"/>
          <w:sz w:val="20"/>
          <w:szCs w:val="20"/>
        </w:rPr>
        <w:t xml:space="preserve"> a nivel local como federal.</w:t>
      </w:r>
    </w:p>
    <w:p w14:paraId="4BEA3CF1" w14:textId="77777777" w:rsidR="00D911C4" w:rsidRDefault="00D911C4" w:rsidP="00726778">
      <w:pPr>
        <w:spacing w:after="0" w:line="240" w:lineRule="auto"/>
        <w:jc w:val="both"/>
        <w:rPr>
          <w:rFonts w:ascii="Arial" w:hAnsi="Arial" w:cs="Arial"/>
          <w:sz w:val="20"/>
          <w:szCs w:val="20"/>
        </w:rPr>
      </w:pPr>
    </w:p>
    <w:p w14:paraId="7430CE7A"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Contexto Global</w:t>
      </w:r>
    </w:p>
    <w:p w14:paraId="0F6E11DD" w14:textId="77777777" w:rsidR="00D911C4" w:rsidRDefault="00D911C4" w:rsidP="00726778">
      <w:pPr>
        <w:spacing w:after="0" w:line="240" w:lineRule="auto"/>
        <w:jc w:val="both"/>
        <w:rPr>
          <w:rFonts w:ascii="Arial" w:hAnsi="Arial" w:cs="Arial"/>
          <w:sz w:val="20"/>
          <w:szCs w:val="20"/>
        </w:rPr>
      </w:pPr>
    </w:p>
    <w:p w14:paraId="0CB0025C"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La desaceleración económica que se venía presentando a nivel internacional, aunada a la contingencia sanitaria provocada por el COVID-19, generó un entorno económico que derivó en recesión y pérdida de empleos en todo el mundo.</w:t>
      </w:r>
    </w:p>
    <w:p w14:paraId="57574A4E" w14:textId="77777777" w:rsidR="00D911C4" w:rsidRDefault="00D911C4" w:rsidP="00726778">
      <w:pPr>
        <w:spacing w:after="0" w:line="240" w:lineRule="auto"/>
        <w:jc w:val="both"/>
        <w:rPr>
          <w:rFonts w:ascii="Arial" w:hAnsi="Arial" w:cs="Arial"/>
          <w:sz w:val="20"/>
          <w:szCs w:val="20"/>
        </w:rPr>
      </w:pPr>
    </w:p>
    <w:p w14:paraId="4ACA65BB"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El Fondo Monetario Internacional estima que en el año 2020 existió una contracción económica del -3.3% y que alrededor de 95 millones de personas adicionales quedaron por debajo del umbral de la pobreza extrema a nivel mundial.</w:t>
      </w:r>
    </w:p>
    <w:p w14:paraId="51AD9724" w14:textId="77777777" w:rsidR="00D911C4" w:rsidRDefault="00D911C4" w:rsidP="00726778">
      <w:pPr>
        <w:spacing w:after="0" w:line="240" w:lineRule="auto"/>
        <w:jc w:val="both"/>
        <w:rPr>
          <w:rFonts w:ascii="Arial" w:hAnsi="Arial" w:cs="Arial"/>
          <w:sz w:val="20"/>
          <w:szCs w:val="20"/>
        </w:rPr>
      </w:pPr>
    </w:p>
    <w:p w14:paraId="0B8C229D"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 xml:space="preserve">De igual manera, la economía de México tuvo una contracción de -8.5% </w:t>
      </w:r>
      <w:proofErr w:type="gramStart"/>
      <w:r>
        <w:rPr>
          <w:rFonts w:ascii="Arial" w:hAnsi="Arial" w:cs="Arial"/>
          <w:sz w:val="20"/>
          <w:szCs w:val="20"/>
        </w:rPr>
        <w:t>de acuerdo a</w:t>
      </w:r>
      <w:proofErr w:type="gramEnd"/>
      <w:r>
        <w:rPr>
          <w:rFonts w:ascii="Arial" w:hAnsi="Arial" w:cs="Arial"/>
          <w:sz w:val="20"/>
          <w:szCs w:val="20"/>
        </w:rPr>
        <w:t xml:space="preserve"> los datos del INEGI.</w:t>
      </w:r>
    </w:p>
    <w:p w14:paraId="1A188F0B" w14:textId="77777777" w:rsidR="00D911C4" w:rsidRDefault="00D911C4" w:rsidP="00726778">
      <w:pPr>
        <w:spacing w:after="0" w:line="240" w:lineRule="auto"/>
        <w:jc w:val="both"/>
        <w:rPr>
          <w:rFonts w:ascii="Arial" w:hAnsi="Arial" w:cs="Arial"/>
          <w:sz w:val="20"/>
          <w:szCs w:val="20"/>
        </w:rPr>
      </w:pPr>
    </w:p>
    <w:p w14:paraId="3B3460B4"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Contexto Local</w:t>
      </w:r>
    </w:p>
    <w:p w14:paraId="636EACB6" w14:textId="77777777" w:rsidR="00D911C4" w:rsidRDefault="00D911C4" w:rsidP="00726778">
      <w:pPr>
        <w:spacing w:after="0" w:line="240" w:lineRule="auto"/>
        <w:jc w:val="both"/>
        <w:rPr>
          <w:rFonts w:ascii="Arial" w:hAnsi="Arial" w:cs="Arial"/>
          <w:sz w:val="20"/>
          <w:szCs w:val="20"/>
        </w:rPr>
      </w:pPr>
    </w:p>
    <w:p w14:paraId="27E49B5C"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Guanajuato por su parte, ha enfrentado una reducción en los ingresos provenientes de la federación. De acuerdo con el Paquete Fiscal 2021, se espera una reducción de más de 4 mil millones de pesos con respecto al año 2020.</w:t>
      </w:r>
    </w:p>
    <w:p w14:paraId="0828D8B7" w14:textId="77777777" w:rsidR="002B0504" w:rsidRDefault="002B0504" w:rsidP="00726778">
      <w:pPr>
        <w:spacing w:after="0" w:line="240" w:lineRule="auto"/>
        <w:jc w:val="both"/>
        <w:rPr>
          <w:rFonts w:ascii="Arial" w:hAnsi="Arial" w:cs="Arial"/>
          <w:sz w:val="20"/>
          <w:szCs w:val="20"/>
        </w:rPr>
      </w:pPr>
    </w:p>
    <w:p w14:paraId="220E921D"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No obstante, lo anterior, existen oportunidades en el entorno que pueden ser capitalizadas como el T-MEC, que entró en vigor el pasado 1 de julio de 2020, el cual representa la posibilidad de impulsar el comercio internacional y aprovechar las ventajas competitivas de Guanajuato.</w:t>
      </w:r>
    </w:p>
    <w:p w14:paraId="24082DC4" w14:textId="77777777" w:rsidR="002B0504" w:rsidRDefault="002B0504" w:rsidP="00726778">
      <w:pPr>
        <w:spacing w:after="0" w:line="240" w:lineRule="auto"/>
        <w:jc w:val="both"/>
        <w:rPr>
          <w:rFonts w:ascii="Arial" w:hAnsi="Arial" w:cs="Arial"/>
          <w:sz w:val="20"/>
          <w:szCs w:val="20"/>
        </w:rPr>
      </w:pPr>
    </w:p>
    <w:p w14:paraId="68D079C3"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Actualización del Programa de Gobierno</w:t>
      </w:r>
    </w:p>
    <w:p w14:paraId="20DC2B92" w14:textId="77777777" w:rsidR="002B0504" w:rsidRDefault="002B0504" w:rsidP="00726778">
      <w:pPr>
        <w:spacing w:after="0" w:line="240" w:lineRule="auto"/>
        <w:jc w:val="both"/>
        <w:rPr>
          <w:rFonts w:ascii="Arial" w:hAnsi="Arial" w:cs="Arial"/>
          <w:sz w:val="20"/>
          <w:szCs w:val="20"/>
        </w:rPr>
      </w:pPr>
    </w:p>
    <w:p w14:paraId="398051F0" w14:textId="77777777" w:rsidR="00080E0B" w:rsidRDefault="002B0504" w:rsidP="00726778">
      <w:pPr>
        <w:spacing w:after="0" w:line="240" w:lineRule="auto"/>
        <w:jc w:val="both"/>
        <w:rPr>
          <w:rFonts w:ascii="Arial" w:hAnsi="Arial" w:cs="Arial"/>
          <w:sz w:val="20"/>
          <w:szCs w:val="20"/>
        </w:rPr>
      </w:pPr>
      <w:r>
        <w:rPr>
          <w:rFonts w:ascii="Arial" w:hAnsi="Arial" w:cs="Arial"/>
          <w:sz w:val="20"/>
          <w:szCs w:val="20"/>
        </w:rPr>
        <w:t>Derivado de estas nuevas realidades surge la necesidad de actualizar el Programa de Gobierno con un enfoque innovador, que permita la atención de los retos que se tienen hacia el término del sexenio, así mismo, la Ley de Planeación del estado establece que la actualización de dicho instrumento</w:t>
      </w:r>
      <w:r w:rsidR="00080E0B">
        <w:rPr>
          <w:rFonts w:ascii="Arial" w:hAnsi="Arial" w:cs="Arial"/>
          <w:sz w:val="20"/>
          <w:szCs w:val="20"/>
        </w:rPr>
        <w:t xml:space="preserve"> se realice en el tercer año de la administración.</w:t>
      </w:r>
    </w:p>
    <w:p w14:paraId="0AD42C1F" w14:textId="77777777" w:rsidR="00080E0B" w:rsidRDefault="00080E0B" w:rsidP="00726778">
      <w:pPr>
        <w:spacing w:after="0" w:line="240" w:lineRule="auto"/>
        <w:jc w:val="both"/>
        <w:rPr>
          <w:rFonts w:ascii="Arial" w:hAnsi="Arial" w:cs="Arial"/>
          <w:sz w:val="20"/>
          <w:szCs w:val="20"/>
        </w:rPr>
      </w:pPr>
    </w:p>
    <w:p w14:paraId="08AD6321"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Es publicado en el Periódico Oficial del Gobierno del Estado de Guanajuato Número 192, de fecha 27 de septiembre de 2021, Tercera Parte, Sumario: Secretaría de Desarrollo Económico Sustentable, la ACTUALIZACIÓN del Programa Sectorial Economía para Todos 2019-2024, el cual señala en su contenido</w:t>
      </w:r>
      <w:r w:rsidR="00F612EC">
        <w:rPr>
          <w:rFonts w:ascii="Arial" w:hAnsi="Arial" w:cs="Arial"/>
          <w:sz w:val="20"/>
          <w:szCs w:val="20"/>
        </w:rPr>
        <w:t xml:space="preserve"> lo siguiente:</w:t>
      </w:r>
    </w:p>
    <w:p w14:paraId="7EC08F7F" w14:textId="77777777" w:rsidR="00AD08A5" w:rsidRDefault="00AD08A5" w:rsidP="00726778">
      <w:pPr>
        <w:spacing w:after="0" w:line="240" w:lineRule="auto"/>
        <w:jc w:val="both"/>
        <w:rPr>
          <w:rFonts w:ascii="Arial" w:hAnsi="Arial" w:cs="Arial"/>
          <w:sz w:val="20"/>
          <w:szCs w:val="20"/>
        </w:rPr>
      </w:pPr>
    </w:p>
    <w:p w14:paraId="3C4E0947"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IV. Diagnóstico del Sector</w:t>
      </w:r>
    </w:p>
    <w:p w14:paraId="18C6B24D"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4.2 Creación, desarrollo, permanencia e internacionalización de las unidades económicas</w:t>
      </w:r>
    </w:p>
    <w:p w14:paraId="19B2EEB8" w14:textId="77777777" w:rsidR="00F612EC" w:rsidRDefault="00F612EC" w:rsidP="00726778">
      <w:pPr>
        <w:spacing w:after="0" w:line="240" w:lineRule="auto"/>
        <w:jc w:val="both"/>
        <w:rPr>
          <w:rFonts w:ascii="Arial" w:hAnsi="Arial" w:cs="Arial"/>
          <w:sz w:val="20"/>
          <w:szCs w:val="20"/>
        </w:rPr>
      </w:pPr>
      <w:r w:rsidRPr="007017ED">
        <w:rPr>
          <w:rFonts w:ascii="Arial" w:hAnsi="Arial" w:cs="Arial"/>
          <w:sz w:val="20"/>
          <w:szCs w:val="20"/>
        </w:rPr>
        <w:t xml:space="preserve">4.2.3 Financiamiento a las </w:t>
      </w:r>
      <w:proofErr w:type="spellStart"/>
      <w:r w:rsidRPr="007017ED">
        <w:rPr>
          <w:rFonts w:ascii="Arial" w:hAnsi="Arial" w:cs="Arial"/>
          <w:sz w:val="20"/>
          <w:szCs w:val="20"/>
        </w:rPr>
        <w:t>Mipymes</w:t>
      </w:r>
      <w:proofErr w:type="spellEnd"/>
    </w:p>
    <w:p w14:paraId="007CCBE9" w14:textId="77777777" w:rsidR="00AD08A5" w:rsidRDefault="00AD08A5" w:rsidP="00726778">
      <w:pPr>
        <w:spacing w:after="0" w:line="240" w:lineRule="auto"/>
        <w:jc w:val="both"/>
        <w:rPr>
          <w:rFonts w:ascii="Arial" w:hAnsi="Arial" w:cs="Arial"/>
          <w:sz w:val="20"/>
          <w:szCs w:val="20"/>
        </w:rPr>
      </w:pPr>
    </w:p>
    <w:p w14:paraId="4EA74C90"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 xml:space="preserve">Una problemática identificada por parte de las </w:t>
      </w:r>
      <w:proofErr w:type="spellStart"/>
      <w:r>
        <w:rPr>
          <w:rFonts w:ascii="Arial" w:hAnsi="Arial" w:cs="Arial"/>
          <w:sz w:val="20"/>
          <w:szCs w:val="20"/>
        </w:rPr>
        <w:t>Mipymes</w:t>
      </w:r>
      <w:proofErr w:type="spellEnd"/>
      <w:r>
        <w:rPr>
          <w:rFonts w:ascii="Arial" w:hAnsi="Arial" w:cs="Arial"/>
          <w:sz w:val="20"/>
          <w:szCs w:val="20"/>
        </w:rPr>
        <w:t xml:space="preserve"> es el financiamiento a fin de continuar en operación y así conservar los empleos que generan.</w:t>
      </w:r>
    </w:p>
    <w:p w14:paraId="0330FC85"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 xml:space="preserve">Es así </w:t>
      </w:r>
      <w:proofErr w:type="gramStart"/>
      <w:r>
        <w:rPr>
          <w:rFonts w:ascii="Arial" w:hAnsi="Arial" w:cs="Arial"/>
          <w:sz w:val="20"/>
          <w:szCs w:val="20"/>
        </w:rPr>
        <w:t>que</w:t>
      </w:r>
      <w:proofErr w:type="gramEnd"/>
      <w:r>
        <w:rPr>
          <w:rFonts w:ascii="Arial" w:hAnsi="Arial" w:cs="Arial"/>
          <w:sz w:val="20"/>
          <w:szCs w:val="20"/>
        </w:rPr>
        <w:t xml:space="preserve"> se identifica la necesidad de diseñar y ofertar esquemas financieros flexibles y accesibles en coordinación con la banca comercial y de desarrollo para fortalecer la capitalización de las </w:t>
      </w:r>
      <w:proofErr w:type="spellStart"/>
      <w:r>
        <w:rPr>
          <w:rFonts w:ascii="Arial" w:hAnsi="Arial" w:cs="Arial"/>
          <w:sz w:val="20"/>
          <w:szCs w:val="20"/>
        </w:rPr>
        <w:t>Mipymes</w:t>
      </w:r>
      <w:proofErr w:type="spellEnd"/>
      <w:r>
        <w:rPr>
          <w:rFonts w:ascii="Arial" w:hAnsi="Arial" w:cs="Arial"/>
          <w:sz w:val="20"/>
          <w:szCs w:val="20"/>
        </w:rPr>
        <w:t>, la elaboración de planes de negocio estructurados y la realización de proyectos.</w:t>
      </w:r>
    </w:p>
    <w:p w14:paraId="09542ED8"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Al año 2020, se otorgaron hasta 1 mil 900 créditos, en beneficio de sectores como el comercio, transporte, servicios, turismo y manufacturas.</w:t>
      </w:r>
    </w:p>
    <w:p w14:paraId="7D95D49B" w14:textId="77777777" w:rsidR="00AD08A5" w:rsidRDefault="00AD08A5" w:rsidP="00726778">
      <w:pPr>
        <w:spacing w:after="0" w:line="240" w:lineRule="auto"/>
        <w:jc w:val="both"/>
        <w:rPr>
          <w:rFonts w:ascii="Arial" w:hAnsi="Arial" w:cs="Arial"/>
          <w:sz w:val="20"/>
          <w:szCs w:val="20"/>
        </w:rPr>
      </w:pPr>
    </w:p>
    <w:p w14:paraId="780A41B8" w14:textId="77777777" w:rsidR="00AF6EB9" w:rsidRDefault="00AF6EB9" w:rsidP="00726778">
      <w:pPr>
        <w:spacing w:after="0" w:line="240" w:lineRule="auto"/>
        <w:jc w:val="both"/>
        <w:rPr>
          <w:rFonts w:ascii="Arial" w:hAnsi="Arial" w:cs="Arial"/>
          <w:sz w:val="20"/>
          <w:szCs w:val="20"/>
        </w:rPr>
      </w:pPr>
      <w:r>
        <w:rPr>
          <w:rFonts w:ascii="Arial" w:hAnsi="Arial" w:cs="Arial"/>
          <w:sz w:val="20"/>
          <w:szCs w:val="20"/>
        </w:rPr>
        <w:t>VI. Planteamiento estratégico</w:t>
      </w:r>
    </w:p>
    <w:p w14:paraId="3C8837D7" w14:textId="77777777" w:rsidR="00AF6EB9" w:rsidRDefault="00AF6EB9" w:rsidP="00726778">
      <w:pPr>
        <w:spacing w:after="0" w:line="240" w:lineRule="auto"/>
        <w:jc w:val="both"/>
        <w:rPr>
          <w:rFonts w:ascii="Arial" w:hAnsi="Arial" w:cs="Arial"/>
          <w:sz w:val="20"/>
          <w:szCs w:val="20"/>
        </w:rPr>
      </w:pPr>
      <w:r>
        <w:rPr>
          <w:rFonts w:ascii="Arial" w:hAnsi="Arial" w:cs="Arial"/>
          <w:sz w:val="20"/>
          <w:szCs w:val="20"/>
        </w:rPr>
        <w:t>En esta sección del documento se presentan las apuestas estratégicas del sector que se materializan a través de los objetivos estratégicos con sus respectivas metas e indicadores, los cuales marcan el rumbo a seguir para las dependencias y entidades que integran el sector.</w:t>
      </w:r>
    </w:p>
    <w:p w14:paraId="50D300A8" w14:textId="77777777" w:rsidR="00764849" w:rsidRDefault="00764849" w:rsidP="00726778">
      <w:pPr>
        <w:spacing w:after="0" w:line="240" w:lineRule="auto"/>
        <w:jc w:val="both"/>
        <w:rPr>
          <w:rFonts w:ascii="Arial" w:hAnsi="Arial" w:cs="Arial"/>
          <w:sz w:val="20"/>
          <w:szCs w:val="20"/>
        </w:rPr>
      </w:pPr>
    </w:p>
    <w:p w14:paraId="49CD06CC" w14:textId="77777777" w:rsidR="00B16419" w:rsidRDefault="00B16419" w:rsidP="00726778">
      <w:pPr>
        <w:spacing w:after="0" w:line="240" w:lineRule="auto"/>
        <w:jc w:val="both"/>
        <w:rPr>
          <w:rFonts w:ascii="Arial" w:hAnsi="Arial" w:cs="Arial"/>
          <w:sz w:val="20"/>
          <w:szCs w:val="20"/>
        </w:rPr>
      </w:pPr>
      <w:r>
        <w:rPr>
          <w:rFonts w:ascii="Arial" w:hAnsi="Arial" w:cs="Arial"/>
          <w:sz w:val="20"/>
          <w:szCs w:val="20"/>
        </w:rPr>
        <w:t>Línea estratégica 4.2 Creación, desarrollo, permanencia e internacionalización de las unidades económicas.</w:t>
      </w:r>
    </w:p>
    <w:p w14:paraId="598A8AD0" w14:textId="77777777" w:rsidR="00764849" w:rsidRDefault="00764849" w:rsidP="00726778">
      <w:pPr>
        <w:spacing w:after="0" w:line="240" w:lineRule="auto"/>
        <w:jc w:val="both"/>
        <w:rPr>
          <w:rFonts w:ascii="Arial" w:hAnsi="Arial" w:cs="Arial"/>
          <w:sz w:val="20"/>
          <w:szCs w:val="20"/>
          <w:highlight w:val="yellow"/>
        </w:rPr>
      </w:pPr>
    </w:p>
    <w:p w14:paraId="32FC2B13" w14:textId="77777777" w:rsidR="00B16419" w:rsidRDefault="00B16419" w:rsidP="00726778">
      <w:pPr>
        <w:spacing w:after="0" w:line="240" w:lineRule="auto"/>
        <w:jc w:val="both"/>
        <w:rPr>
          <w:rFonts w:ascii="Arial" w:hAnsi="Arial" w:cs="Arial"/>
          <w:sz w:val="20"/>
          <w:szCs w:val="20"/>
        </w:rPr>
      </w:pPr>
      <w:r w:rsidRPr="00764849">
        <w:rPr>
          <w:rFonts w:ascii="Arial" w:hAnsi="Arial" w:cs="Arial"/>
          <w:sz w:val="20"/>
          <w:szCs w:val="20"/>
        </w:rPr>
        <w:t>OBJETIVO 4.2.1:</w:t>
      </w:r>
      <w:r>
        <w:rPr>
          <w:rFonts w:ascii="Arial" w:hAnsi="Arial" w:cs="Arial"/>
          <w:sz w:val="20"/>
          <w:szCs w:val="20"/>
        </w:rPr>
        <w:t xml:space="preserve"> Otorgar esquemas flexibles de financiamiento a las unidades económicas del estado.</w:t>
      </w:r>
    </w:p>
    <w:p w14:paraId="0F0D45C2" w14:textId="77777777" w:rsidR="00764849" w:rsidRDefault="00764849" w:rsidP="00726778">
      <w:pPr>
        <w:spacing w:after="0" w:line="240" w:lineRule="auto"/>
        <w:jc w:val="both"/>
        <w:rPr>
          <w:rFonts w:ascii="Arial" w:hAnsi="Arial" w:cs="Arial"/>
          <w:sz w:val="20"/>
          <w:szCs w:val="20"/>
        </w:rPr>
      </w:pPr>
    </w:p>
    <w:p w14:paraId="0B39CC64"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Alineación ODS</w:t>
      </w:r>
      <w:r w:rsidR="00764849">
        <w:rPr>
          <w:rFonts w:ascii="Arial" w:hAnsi="Arial" w:cs="Arial"/>
          <w:sz w:val="20"/>
          <w:szCs w:val="20"/>
        </w:rPr>
        <w:t xml:space="preserve"> (Objetivos del Desarrollo Sostenible)</w:t>
      </w:r>
    </w:p>
    <w:p w14:paraId="4362D28C"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8.3 Promover políticas orientadas al desarrollo que apoyen las actividades productivas, la creación de puestos de trabajo decentes, el emprendimiento, la creatividad y la innovación, y fomentar la formalización y el crecimiento de las microempresas</w:t>
      </w:r>
      <w:r w:rsidR="00AD08A5">
        <w:rPr>
          <w:rFonts w:ascii="Arial" w:hAnsi="Arial" w:cs="Arial"/>
          <w:sz w:val="20"/>
          <w:szCs w:val="20"/>
        </w:rPr>
        <w:t xml:space="preserve"> </w:t>
      </w:r>
      <w:r>
        <w:rPr>
          <w:rFonts w:ascii="Arial" w:hAnsi="Arial" w:cs="Arial"/>
          <w:sz w:val="20"/>
          <w:szCs w:val="20"/>
        </w:rPr>
        <w:t>y las pequeñas y medianas empresas, incluso mediante el acceso a servicios financieros.</w:t>
      </w:r>
    </w:p>
    <w:p w14:paraId="413423DE" w14:textId="77777777" w:rsidR="00764849" w:rsidRDefault="00764849" w:rsidP="00726778">
      <w:pPr>
        <w:spacing w:after="0" w:line="240" w:lineRule="auto"/>
        <w:jc w:val="both"/>
        <w:rPr>
          <w:rFonts w:ascii="Arial" w:hAnsi="Arial" w:cs="Arial"/>
          <w:sz w:val="20"/>
          <w:szCs w:val="20"/>
        </w:rPr>
      </w:pPr>
    </w:p>
    <w:p w14:paraId="0850E1C8"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I</w:t>
      </w:r>
      <w:r w:rsidR="001A5141">
        <w:rPr>
          <w:rFonts w:ascii="Arial" w:hAnsi="Arial" w:cs="Arial"/>
          <w:sz w:val="20"/>
          <w:szCs w:val="20"/>
        </w:rPr>
        <w:t>ndicador</w:t>
      </w:r>
    </w:p>
    <w:p w14:paraId="21F258E0"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4.2.1.1 Porcentaje de unidades económicas apoyadas con esquemas flexibles de financiamiento.</w:t>
      </w:r>
    </w:p>
    <w:p w14:paraId="69484B16" w14:textId="77777777" w:rsidR="00764849" w:rsidRDefault="00764849" w:rsidP="00726778">
      <w:pPr>
        <w:spacing w:after="0" w:line="240" w:lineRule="auto"/>
        <w:jc w:val="both"/>
        <w:rPr>
          <w:rFonts w:ascii="Arial" w:hAnsi="Arial" w:cs="Arial"/>
          <w:sz w:val="20"/>
          <w:szCs w:val="20"/>
        </w:rPr>
      </w:pPr>
    </w:p>
    <w:p w14:paraId="1575704C"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Meta</w:t>
      </w:r>
    </w:p>
    <w:p w14:paraId="5561DD43"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Apoyar con esquemas flexibles de financiamiento al 60 por ciento de las unidades económicas solicitantes.</w:t>
      </w:r>
    </w:p>
    <w:p w14:paraId="26724263" w14:textId="77777777" w:rsidR="00764849" w:rsidRDefault="00764849" w:rsidP="00726778">
      <w:pPr>
        <w:spacing w:after="0" w:line="240" w:lineRule="auto"/>
        <w:jc w:val="both"/>
        <w:rPr>
          <w:rFonts w:ascii="Arial" w:hAnsi="Arial" w:cs="Arial"/>
          <w:sz w:val="20"/>
          <w:szCs w:val="20"/>
        </w:rPr>
      </w:pPr>
    </w:p>
    <w:p w14:paraId="08698ACA"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Responsable</w:t>
      </w:r>
    </w:p>
    <w:p w14:paraId="53FE0B0C"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FONDOSGTO-SDES</w:t>
      </w:r>
    </w:p>
    <w:p w14:paraId="53FAB6E1" w14:textId="77777777" w:rsidR="00764849" w:rsidRDefault="00764849" w:rsidP="00726778">
      <w:pPr>
        <w:spacing w:after="0" w:line="240" w:lineRule="auto"/>
        <w:jc w:val="both"/>
        <w:rPr>
          <w:rFonts w:ascii="Arial" w:hAnsi="Arial" w:cs="Arial"/>
          <w:sz w:val="20"/>
          <w:szCs w:val="20"/>
        </w:rPr>
      </w:pPr>
    </w:p>
    <w:p w14:paraId="5446C8AD"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Líneas de acción</w:t>
      </w:r>
    </w:p>
    <w:p w14:paraId="3A8D871D"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 xml:space="preserve">4.2.1.1 Fortalecer y adaptar la operación de los esquemas financieros vigentes, a las necesidades actuales de las </w:t>
      </w:r>
      <w:proofErr w:type="spellStart"/>
      <w:r>
        <w:rPr>
          <w:rFonts w:ascii="Arial" w:hAnsi="Arial" w:cs="Arial"/>
          <w:sz w:val="20"/>
          <w:szCs w:val="20"/>
        </w:rPr>
        <w:t>Mipymes</w:t>
      </w:r>
      <w:proofErr w:type="spellEnd"/>
      <w:r>
        <w:rPr>
          <w:rFonts w:ascii="Arial" w:hAnsi="Arial" w:cs="Arial"/>
          <w:sz w:val="20"/>
          <w:szCs w:val="20"/>
        </w:rPr>
        <w:t>.</w:t>
      </w:r>
    </w:p>
    <w:p w14:paraId="62853D73"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 xml:space="preserve">4.2.1.2 Impulsar e incentivar nuevos esquemas de apoyos financiero a las </w:t>
      </w:r>
      <w:proofErr w:type="spellStart"/>
      <w:r>
        <w:rPr>
          <w:rFonts w:ascii="Arial" w:hAnsi="Arial" w:cs="Arial"/>
          <w:sz w:val="20"/>
          <w:szCs w:val="20"/>
        </w:rPr>
        <w:t>Mipymes</w:t>
      </w:r>
      <w:proofErr w:type="spellEnd"/>
      <w:r>
        <w:rPr>
          <w:rFonts w:ascii="Arial" w:hAnsi="Arial" w:cs="Arial"/>
          <w:sz w:val="20"/>
          <w:szCs w:val="20"/>
        </w:rPr>
        <w:t xml:space="preserve"> en coordinación con la banca comercial y de desarrollo.</w:t>
      </w:r>
    </w:p>
    <w:p w14:paraId="2C933D6B" w14:textId="77777777" w:rsidR="001A5141" w:rsidRDefault="001A5141" w:rsidP="00726778">
      <w:pPr>
        <w:spacing w:after="0" w:line="240" w:lineRule="auto"/>
        <w:jc w:val="both"/>
        <w:rPr>
          <w:rFonts w:ascii="Arial" w:hAnsi="Arial" w:cs="Arial"/>
          <w:sz w:val="20"/>
          <w:szCs w:val="20"/>
        </w:rPr>
      </w:pPr>
    </w:p>
    <w:p w14:paraId="27A80724" w14:textId="77777777" w:rsidR="00726778" w:rsidRPr="00F525D7" w:rsidRDefault="00F15453" w:rsidP="00726778">
      <w:pPr>
        <w:spacing w:after="0" w:line="240" w:lineRule="auto"/>
        <w:jc w:val="both"/>
        <w:rPr>
          <w:rFonts w:ascii="Arial" w:hAnsi="Arial" w:cs="Arial"/>
          <w:sz w:val="20"/>
          <w:szCs w:val="20"/>
        </w:rPr>
      </w:pPr>
      <w:r>
        <w:rPr>
          <w:rFonts w:ascii="Arial" w:hAnsi="Arial" w:cs="Arial"/>
          <w:sz w:val="20"/>
          <w:szCs w:val="20"/>
        </w:rPr>
        <w:t>E</w:t>
      </w:r>
      <w:r w:rsidR="00726778" w:rsidRPr="00F525D7">
        <w:rPr>
          <w:rFonts w:ascii="Arial" w:hAnsi="Arial" w:cs="Arial"/>
          <w:sz w:val="20"/>
          <w:szCs w:val="20"/>
        </w:rPr>
        <w:t>l reto económico del Gobierno del Estado de Guanajuato</w:t>
      </w:r>
      <w:r>
        <w:rPr>
          <w:rFonts w:ascii="Arial" w:hAnsi="Arial" w:cs="Arial"/>
          <w:sz w:val="20"/>
          <w:szCs w:val="20"/>
        </w:rPr>
        <w:t xml:space="preserve"> es:</w:t>
      </w:r>
      <w:r w:rsidR="00726778" w:rsidRPr="00F525D7">
        <w:rPr>
          <w:rFonts w:ascii="Arial" w:hAnsi="Arial" w:cs="Arial"/>
          <w:sz w:val="20"/>
          <w:szCs w:val="20"/>
        </w:rPr>
        <w:t xml:space="preserve"> crear las condiciones para el desarrollo económico sustentable y competitivo que impulse el progreso de los Guanajuatenses. </w:t>
      </w:r>
      <w:r>
        <w:rPr>
          <w:rFonts w:ascii="Arial" w:hAnsi="Arial" w:cs="Arial"/>
          <w:sz w:val="20"/>
          <w:szCs w:val="20"/>
        </w:rPr>
        <w:t>U</w:t>
      </w:r>
      <w:r w:rsidR="00726778" w:rsidRPr="00F525D7">
        <w:rPr>
          <w:rFonts w:ascii="Arial" w:hAnsi="Arial" w:cs="Arial"/>
          <w:sz w:val="20"/>
          <w:szCs w:val="20"/>
        </w:rPr>
        <w:t>n factor importante es la posibilidad de tener acceso al financiamiento. Para dar cumplimiento a este reto debe estar incluido un esquema integral que contribuya eficaz y eficientemente al aumento del empleo, del nivel de ingresos y mejora</w:t>
      </w:r>
      <w:r>
        <w:rPr>
          <w:rFonts w:ascii="Arial" w:hAnsi="Arial" w:cs="Arial"/>
          <w:sz w:val="20"/>
          <w:szCs w:val="20"/>
        </w:rPr>
        <w:t>r</w:t>
      </w:r>
      <w:r w:rsidR="00726778" w:rsidRPr="00F525D7">
        <w:rPr>
          <w:rFonts w:ascii="Arial" w:hAnsi="Arial" w:cs="Arial"/>
          <w:sz w:val="20"/>
          <w:szCs w:val="20"/>
        </w:rPr>
        <w:t xml:space="preserve"> el nivel de vida de los guanajuatenses. P</w:t>
      </w:r>
      <w:r w:rsidR="00DF38D0">
        <w:rPr>
          <w:rFonts w:ascii="Arial" w:hAnsi="Arial" w:cs="Arial"/>
          <w:sz w:val="20"/>
          <w:szCs w:val="20"/>
        </w:rPr>
        <w:t>o</w:t>
      </w:r>
      <w:r w:rsidR="00726778" w:rsidRPr="00F525D7">
        <w:rPr>
          <w:rFonts w:ascii="Arial" w:hAnsi="Arial" w:cs="Arial"/>
          <w:sz w:val="20"/>
          <w:szCs w:val="20"/>
        </w:rPr>
        <w:t xml:space="preserve">r </w:t>
      </w:r>
      <w:r w:rsidR="00DF38D0">
        <w:rPr>
          <w:rFonts w:ascii="Arial" w:hAnsi="Arial" w:cs="Arial"/>
          <w:sz w:val="20"/>
          <w:szCs w:val="20"/>
        </w:rPr>
        <w:t>lo anterior</w:t>
      </w:r>
      <w:r w:rsidR="00726778" w:rsidRPr="00F525D7">
        <w:rPr>
          <w:rFonts w:ascii="Arial" w:hAnsi="Arial" w:cs="Arial"/>
          <w:sz w:val="20"/>
          <w:szCs w:val="20"/>
        </w:rPr>
        <w:t>, son necesarios productos de crédito para diversificar la oferta de esquemas financieros q</w:t>
      </w:r>
      <w:r w:rsidR="00DF38D0">
        <w:rPr>
          <w:rFonts w:ascii="Arial" w:hAnsi="Arial" w:cs="Arial"/>
          <w:sz w:val="20"/>
          <w:szCs w:val="20"/>
        </w:rPr>
        <w:t>ue se adapten a las necesidades</w:t>
      </w:r>
      <w:r>
        <w:rPr>
          <w:rFonts w:ascii="Arial" w:hAnsi="Arial" w:cs="Arial"/>
          <w:sz w:val="20"/>
          <w:szCs w:val="20"/>
        </w:rPr>
        <w:t>,</w:t>
      </w:r>
      <w:r w:rsidR="00726778" w:rsidRPr="00F525D7">
        <w:rPr>
          <w:rFonts w:ascii="Arial" w:hAnsi="Arial" w:cs="Arial"/>
          <w:sz w:val="20"/>
          <w:szCs w:val="20"/>
        </w:rPr>
        <w:t xml:space="preserve"> fortalecer los esquemas actuales y generar nuevos esquemas que permitan el acceso al financiamiento de micro y pequeñas empresas que no cuentan con las posibilidades de recurrir a fuentes tradicionales de financiamiento.</w:t>
      </w:r>
    </w:p>
    <w:p w14:paraId="7426BEAD" w14:textId="77777777" w:rsidR="00726778" w:rsidRPr="00F525D7" w:rsidRDefault="00726778" w:rsidP="00726778">
      <w:pPr>
        <w:spacing w:after="0" w:line="240" w:lineRule="auto"/>
        <w:jc w:val="both"/>
        <w:rPr>
          <w:rFonts w:ascii="Arial" w:hAnsi="Arial" w:cs="Arial"/>
          <w:sz w:val="20"/>
          <w:szCs w:val="20"/>
        </w:rPr>
      </w:pPr>
    </w:p>
    <w:p w14:paraId="0D6DE172" w14:textId="77777777" w:rsidR="00726778" w:rsidRPr="00F525D7" w:rsidRDefault="00726778" w:rsidP="00726778">
      <w:pPr>
        <w:spacing w:after="0" w:line="240" w:lineRule="auto"/>
        <w:jc w:val="both"/>
        <w:rPr>
          <w:rFonts w:ascii="Arial" w:hAnsi="Arial" w:cs="Arial"/>
          <w:sz w:val="20"/>
          <w:szCs w:val="20"/>
        </w:rPr>
      </w:pPr>
      <w:r w:rsidRPr="00F525D7">
        <w:rPr>
          <w:rFonts w:ascii="Arial" w:hAnsi="Arial" w:cs="Arial"/>
          <w:sz w:val="20"/>
          <w:szCs w:val="20"/>
        </w:rPr>
        <w:t xml:space="preserve">A </w:t>
      </w:r>
      <w:r w:rsidR="00DE588E" w:rsidRPr="00F525D7">
        <w:rPr>
          <w:rFonts w:ascii="Arial" w:hAnsi="Arial" w:cs="Arial"/>
          <w:sz w:val="20"/>
          <w:szCs w:val="20"/>
        </w:rPr>
        <w:t>continuación,</w:t>
      </w:r>
      <w:r w:rsidRPr="00F525D7">
        <w:rPr>
          <w:rFonts w:ascii="Arial" w:hAnsi="Arial" w:cs="Arial"/>
          <w:sz w:val="20"/>
          <w:szCs w:val="20"/>
        </w:rPr>
        <w:t xml:space="preserve"> tabla comparativa del mercado:</w:t>
      </w:r>
    </w:p>
    <w:p w14:paraId="4B6E89C9" w14:textId="77777777" w:rsidR="00726778" w:rsidRPr="00F525D7" w:rsidRDefault="00726778" w:rsidP="00726778">
      <w:pPr>
        <w:spacing w:after="0" w:line="240" w:lineRule="auto"/>
        <w:jc w:val="both"/>
        <w:rPr>
          <w:rFonts w:ascii="Arial" w:hAnsi="Arial" w:cs="Arial"/>
          <w:sz w:val="20"/>
          <w:szCs w:val="20"/>
        </w:rPr>
      </w:pPr>
    </w:p>
    <w:p w14:paraId="6AA8C6C6" w14:textId="77777777" w:rsidR="00726778" w:rsidRPr="00F525D7" w:rsidRDefault="00866DB0" w:rsidP="00866DB0">
      <w:pPr>
        <w:spacing w:after="0" w:line="240" w:lineRule="auto"/>
        <w:jc w:val="both"/>
        <w:rPr>
          <w:rFonts w:ascii="Arial" w:hAnsi="Arial" w:cs="Arial"/>
          <w:sz w:val="20"/>
          <w:szCs w:val="20"/>
        </w:rPr>
      </w:pPr>
      <w:r>
        <w:rPr>
          <w:noProof/>
          <w:lang w:eastAsia="es-MX"/>
        </w:rPr>
        <w:drawing>
          <wp:inline distT="0" distB="0" distL="0" distR="0" wp14:anchorId="7591F124" wp14:editId="7ADCE517">
            <wp:extent cx="553402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1390650"/>
                    </a:xfrm>
                    <a:prstGeom prst="rect">
                      <a:avLst/>
                    </a:prstGeom>
                  </pic:spPr>
                </pic:pic>
              </a:graphicData>
            </a:graphic>
          </wp:inline>
        </w:drawing>
      </w:r>
      <w:r w:rsidR="00726778" w:rsidRPr="00F525D7">
        <w:rPr>
          <w:rFonts w:ascii="Arial" w:hAnsi="Arial" w:cs="Arial"/>
          <w:sz w:val="20"/>
          <w:szCs w:val="20"/>
        </w:rPr>
        <w:t xml:space="preserve">                               </w:t>
      </w:r>
    </w:p>
    <w:p w14:paraId="67DE8334" w14:textId="77777777" w:rsidR="00726778" w:rsidRPr="00F525D7" w:rsidRDefault="00726778" w:rsidP="00726778">
      <w:pPr>
        <w:spacing w:after="0" w:line="240" w:lineRule="auto"/>
        <w:jc w:val="both"/>
        <w:rPr>
          <w:rFonts w:ascii="Arial" w:hAnsi="Arial" w:cs="Arial"/>
          <w:sz w:val="20"/>
          <w:szCs w:val="20"/>
        </w:rPr>
      </w:pPr>
    </w:p>
    <w:p w14:paraId="5E5C4398" w14:textId="77777777" w:rsidR="00726778" w:rsidRPr="00F525D7" w:rsidRDefault="00726778" w:rsidP="00726778">
      <w:pPr>
        <w:spacing w:after="0" w:line="240" w:lineRule="auto"/>
        <w:jc w:val="both"/>
        <w:rPr>
          <w:rFonts w:ascii="Arial" w:hAnsi="Arial" w:cs="Arial"/>
          <w:sz w:val="20"/>
          <w:szCs w:val="20"/>
        </w:rPr>
      </w:pPr>
      <w:r w:rsidRPr="00F525D7">
        <w:rPr>
          <w:rFonts w:ascii="Arial" w:hAnsi="Arial" w:cs="Arial"/>
          <w:sz w:val="20"/>
          <w:szCs w:val="20"/>
        </w:rPr>
        <w:t xml:space="preserve">Fondo Guanajuato de Inversión en Zonas Marginadas, como Fideicomiso </w:t>
      </w:r>
      <w:r w:rsidR="00DE588E" w:rsidRPr="00F525D7">
        <w:rPr>
          <w:rFonts w:ascii="Arial" w:hAnsi="Arial" w:cs="Arial"/>
          <w:sz w:val="20"/>
          <w:szCs w:val="20"/>
        </w:rPr>
        <w:t>Público es</w:t>
      </w:r>
      <w:r w:rsidRPr="00F525D7">
        <w:rPr>
          <w:rFonts w:ascii="Arial" w:hAnsi="Arial" w:cs="Arial"/>
          <w:sz w:val="20"/>
          <w:szCs w:val="20"/>
        </w:rPr>
        <w:t xml:space="preserve"> creado para otorgar apoyos a las micro y pequeñas empresas que no son atendidos por las instituciones financieras en sus requerimientos de financiamiento y apoyo a la gestión empresarial ya sea debido a su tamaño y grado de desarrollo o por el alto costo y riesgo que implican.</w:t>
      </w:r>
    </w:p>
    <w:p w14:paraId="149A1907" w14:textId="77777777" w:rsidR="007D1E76" w:rsidRPr="00F525D7" w:rsidRDefault="00726778" w:rsidP="00726778">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De esta forma enfrenta una cerrada competencia no por un segmento de mercado, sino para proteger a la planta productiva, sobre todo a los empresarios y emprendedores de las Micro y Pequeñas Empresas, de recurrir a otras fuentes de financiamiento </w:t>
      </w:r>
      <w:r w:rsidR="00DE588E" w:rsidRPr="00F525D7">
        <w:rPr>
          <w:rFonts w:ascii="Arial" w:hAnsi="Arial" w:cs="Arial"/>
          <w:sz w:val="20"/>
          <w:szCs w:val="20"/>
        </w:rPr>
        <w:t>que,</w:t>
      </w:r>
      <w:r w:rsidRPr="00F525D7">
        <w:rPr>
          <w:rFonts w:ascii="Arial" w:hAnsi="Arial" w:cs="Arial"/>
          <w:sz w:val="20"/>
          <w:szCs w:val="20"/>
        </w:rPr>
        <w:t xml:space="preserve"> si bien otorgan crédito fácil y rápido, lo hacen con altos costos financieros y aplican prácticas de cobranza agresivas que resultan perjudiciales para las empresas.</w:t>
      </w:r>
    </w:p>
    <w:p w14:paraId="76BEF03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612638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A81A52F" w14:textId="77777777" w:rsidR="007D1E76" w:rsidRPr="00F525D7" w:rsidRDefault="007675C0" w:rsidP="000C3365">
      <w:pPr>
        <w:pStyle w:val="Ttulo2"/>
        <w:rPr>
          <w:rFonts w:ascii="Arial" w:hAnsi="Arial" w:cs="Arial"/>
          <w:b/>
          <w:color w:val="auto"/>
          <w:sz w:val="20"/>
          <w:szCs w:val="20"/>
        </w:rPr>
      </w:pPr>
      <w:bookmarkStart w:id="3" w:name="_Toc136601509"/>
      <w:r>
        <w:rPr>
          <w:rFonts w:ascii="Arial" w:hAnsi="Arial" w:cs="Arial"/>
          <w:b/>
          <w:color w:val="auto"/>
          <w:sz w:val="20"/>
          <w:szCs w:val="20"/>
        </w:rPr>
        <w:t>3</w:t>
      </w:r>
      <w:r w:rsidR="007D1E76" w:rsidRPr="00F525D7">
        <w:rPr>
          <w:rFonts w:ascii="Arial" w:hAnsi="Arial" w:cs="Arial"/>
          <w:b/>
          <w:color w:val="auto"/>
          <w:sz w:val="20"/>
          <w:szCs w:val="20"/>
        </w:rPr>
        <w:t xml:space="preserve">. </w:t>
      </w:r>
      <w:r w:rsidR="00E00323" w:rsidRPr="00F525D7">
        <w:rPr>
          <w:rFonts w:ascii="Arial" w:hAnsi="Arial" w:cs="Arial"/>
          <w:b/>
          <w:color w:val="auto"/>
          <w:sz w:val="20"/>
          <w:szCs w:val="20"/>
        </w:rPr>
        <w:t>Organización y Objeto Social:</w:t>
      </w:r>
      <w:bookmarkEnd w:id="3"/>
    </w:p>
    <w:p w14:paraId="3AAAE62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94D079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2B2A05E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630352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Objeto social.</w:t>
      </w:r>
    </w:p>
    <w:p w14:paraId="0274A7D0" w14:textId="77777777" w:rsidR="00A84C72" w:rsidRPr="00F525D7" w:rsidRDefault="00A84C72" w:rsidP="00CB41C4">
      <w:pPr>
        <w:tabs>
          <w:tab w:val="left" w:leader="underscore" w:pos="9639"/>
        </w:tabs>
        <w:spacing w:after="0" w:line="240" w:lineRule="auto"/>
        <w:jc w:val="both"/>
        <w:rPr>
          <w:rFonts w:ascii="Arial" w:hAnsi="Arial" w:cs="Arial"/>
          <w:sz w:val="20"/>
          <w:szCs w:val="20"/>
        </w:rPr>
      </w:pPr>
    </w:p>
    <w:p w14:paraId="50568D56" w14:textId="77777777" w:rsidR="007D1E76" w:rsidRPr="00F525D7" w:rsidRDefault="00E10E6F"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Tiene como objeto, </w:t>
      </w:r>
      <w:r w:rsidRPr="00F525D7">
        <w:rPr>
          <w:rFonts w:ascii="Arial" w:eastAsia="Times New Roman" w:hAnsi="Arial" w:cs="Arial"/>
          <w:sz w:val="20"/>
          <w:szCs w:val="20"/>
        </w:rPr>
        <w:t>Fomentar la asignación de apoyos económicos para las microempresas en las zonas marginadas del Estado de Guanajuato cuyos proyectos de inversión resulten de interés para la creación, modernización, diversificación, ampliación, transformación o acondicionamiento de las actividades productivas y que tengan efectos multiplicadores en el desarrollo regional de su área de influencia.</w:t>
      </w:r>
    </w:p>
    <w:p w14:paraId="2378ED9E" w14:textId="77777777" w:rsidR="007D1E76" w:rsidRDefault="007D1E76" w:rsidP="00CB41C4">
      <w:pPr>
        <w:tabs>
          <w:tab w:val="left" w:leader="underscore" w:pos="9639"/>
        </w:tabs>
        <w:spacing w:after="0" w:line="240" w:lineRule="auto"/>
        <w:jc w:val="both"/>
        <w:rPr>
          <w:rFonts w:ascii="Arial" w:hAnsi="Arial" w:cs="Arial"/>
          <w:sz w:val="20"/>
          <w:szCs w:val="20"/>
        </w:rPr>
      </w:pPr>
    </w:p>
    <w:p w14:paraId="71409AEA" w14:textId="77777777" w:rsidR="00BB6B6F" w:rsidRDefault="00BB6B6F" w:rsidP="00CB41C4">
      <w:pPr>
        <w:tabs>
          <w:tab w:val="left" w:leader="underscore" w:pos="9639"/>
        </w:tabs>
        <w:spacing w:after="0" w:line="240" w:lineRule="auto"/>
        <w:jc w:val="both"/>
        <w:rPr>
          <w:rFonts w:ascii="Arial" w:hAnsi="Arial" w:cs="Arial"/>
          <w:sz w:val="20"/>
          <w:szCs w:val="20"/>
        </w:rPr>
      </w:pPr>
    </w:p>
    <w:p w14:paraId="5683FF03" w14:textId="77777777" w:rsidR="00BB6B6F" w:rsidRDefault="00BB6B6F" w:rsidP="00CB41C4">
      <w:pPr>
        <w:tabs>
          <w:tab w:val="left" w:leader="underscore" w:pos="9639"/>
        </w:tabs>
        <w:spacing w:after="0" w:line="240" w:lineRule="auto"/>
        <w:jc w:val="both"/>
        <w:rPr>
          <w:rFonts w:ascii="Arial" w:hAnsi="Arial" w:cs="Arial"/>
          <w:sz w:val="20"/>
          <w:szCs w:val="20"/>
        </w:rPr>
      </w:pPr>
    </w:p>
    <w:p w14:paraId="20DB079C" w14:textId="77777777" w:rsidR="00BB6B6F" w:rsidRDefault="00BB6B6F" w:rsidP="00CB41C4">
      <w:pPr>
        <w:tabs>
          <w:tab w:val="left" w:leader="underscore" w:pos="9639"/>
        </w:tabs>
        <w:spacing w:after="0" w:line="240" w:lineRule="auto"/>
        <w:jc w:val="both"/>
        <w:rPr>
          <w:rFonts w:ascii="Arial" w:hAnsi="Arial" w:cs="Arial"/>
          <w:sz w:val="20"/>
          <w:szCs w:val="20"/>
        </w:rPr>
      </w:pPr>
    </w:p>
    <w:p w14:paraId="0DBFA645" w14:textId="77777777" w:rsidR="00BB6B6F" w:rsidRPr="00F525D7" w:rsidRDefault="00BB6B6F" w:rsidP="00CB41C4">
      <w:pPr>
        <w:tabs>
          <w:tab w:val="left" w:leader="underscore" w:pos="9639"/>
        </w:tabs>
        <w:spacing w:after="0" w:line="240" w:lineRule="auto"/>
        <w:jc w:val="both"/>
        <w:rPr>
          <w:rFonts w:ascii="Arial" w:hAnsi="Arial" w:cs="Arial"/>
          <w:sz w:val="20"/>
          <w:szCs w:val="20"/>
        </w:rPr>
      </w:pPr>
    </w:p>
    <w:p w14:paraId="0C5A5A3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Principal actividad.</w:t>
      </w:r>
    </w:p>
    <w:p w14:paraId="0142DB54" w14:textId="77777777" w:rsidR="00A84C72" w:rsidRPr="00F525D7" w:rsidRDefault="00A84C72" w:rsidP="00370D9F">
      <w:pPr>
        <w:spacing w:after="0" w:line="240" w:lineRule="auto"/>
        <w:jc w:val="both"/>
        <w:rPr>
          <w:rFonts w:ascii="Arial" w:hAnsi="Arial" w:cs="Arial"/>
          <w:sz w:val="20"/>
          <w:szCs w:val="20"/>
        </w:rPr>
      </w:pPr>
    </w:p>
    <w:p w14:paraId="7CE4CA9A"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 xml:space="preserve">Denominado comercialmente como Fondo Guanajuato de </w:t>
      </w:r>
      <w:r w:rsidR="00C175B6">
        <w:rPr>
          <w:rFonts w:ascii="Arial" w:hAnsi="Arial" w:cs="Arial"/>
          <w:sz w:val="20"/>
          <w:szCs w:val="20"/>
        </w:rPr>
        <w:t>I</w:t>
      </w:r>
      <w:r w:rsidRPr="00F525D7">
        <w:rPr>
          <w:rFonts w:ascii="Arial" w:hAnsi="Arial" w:cs="Arial"/>
          <w:sz w:val="20"/>
          <w:szCs w:val="20"/>
        </w:rPr>
        <w:t xml:space="preserve">nversión en </w:t>
      </w:r>
      <w:r w:rsidR="00C175B6">
        <w:rPr>
          <w:rFonts w:ascii="Arial" w:hAnsi="Arial" w:cs="Arial"/>
          <w:sz w:val="20"/>
          <w:szCs w:val="20"/>
        </w:rPr>
        <w:t>Z</w:t>
      </w:r>
      <w:r w:rsidRPr="00F525D7">
        <w:rPr>
          <w:rFonts w:ascii="Arial" w:hAnsi="Arial" w:cs="Arial"/>
          <w:sz w:val="20"/>
          <w:szCs w:val="20"/>
        </w:rPr>
        <w:t xml:space="preserve">onas </w:t>
      </w:r>
      <w:r w:rsidR="00C175B6">
        <w:rPr>
          <w:rFonts w:ascii="Arial" w:hAnsi="Arial" w:cs="Arial"/>
          <w:sz w:val="20"/>
          <w:szCs w:val="20"/>
        </w:rPr>
        <w:t>M</w:t>
      </w:r>
      <w:r w:rsidRPr="00F525D7">
        <w:rPr>
          <w:rFonts w:ascii="Arial" w:hAnsi="Arial" w:cs="Arial"/>
          <w:sz w:val="20"/>
          <w:szCs w:val="20"/>
        </w:rPr>
        <w:t>arginadas, se desempeñan funciones y actividades de Financiamiento en apoyo a la Micro, Pequeña y Mediana empresa con proyección hacia la generación de empleo y el beneficio social en el Estado de Guanajuato en sectores que no son atendidos por las fuentes tradicionales de financiamiento.</w:t>
      </w:r>
    </w:p>
    <w:p w14:paraId="703D72C6"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La principal actividad de la Entidad es promover un amplio portafolio de esquemas y programas de financiamiento.</w:t>
      </w:r>
    </w:p>
    <w:p w14:paraId="006912D7"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Todos ellos diseñados con el único objetivo de poder acompañar y asesorar a cada uno de los acreditados, empresarios y emprendedores, en las etapas más importantes de su vida.</w:t>
      </w:r>
    </w:p>
    <w:p w14:paraId="5A046DCA"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 xml:space="preserve">Los sectores que se </w:t>
      </w:r>
      <w:proofErr w:type="gramStart"/>
      <w:r w:rsidRPr="00F525D7">
        <w:rPr>
          <w:rFonts w:ascii="Arial" w:hAnsi="Arial" w:cs="Arial"/>
          <w:sz w:val="20"/>
          <w:szCs w:val="20"/>
        </w:rPr>
        <w:t>impulsan,</w:t>
      </w:r>
      <w:proofErr w:type="gramEnd"/>
      <w:r w:rsidRPr="00F525D7">
        <w:rPr>
          <w:rFonts w:ascii="Arial" w:hAnsi="Arial" w:cs="Arial"/>
          <w:sz w:val="20"/>
          <w:szCs w:val="20"/>
        </w:rPr>
        <w:t xml:space="preserve"> son; industrial, comercial, servicios y agroindustrial. Apoyo a los negocios haciéndolos más competitivos al brindarles soporte económico para compras de materia prima, mercancía, mobiliario y equipo, maquinaria y adecuaciones físicas. </w:t>
      </w:r>
    </w:p>
    <w:p w14:paraId="76F4B440"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Así mismo ayudando a emprendedores con proyectos viables generados dentro de una incubadora:</w:t>
      </w:r>
    </w:p>
    <w:p w14:paraId="24B3E99F"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Asesoría empresarial</w:t>
      </w:r>
    </w:p>
    <w:p w14:paraId="251641AB"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Capacitación</w:t>
      </w:r>
    </w:p>
    <w:p w14:paraId="61E20CD8"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Consultoría especializada y asistencia técnica en la elaboración del Plan de Negocios.</w:t>
      </w:r>
    </w:p>
    <w:p w14:paraId="38139E80"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Recursos financieros para su desarrollo, implementación y consolidación.</w:t>
      </w:r>
    </w:p>
    <w:p w14:paraId="63B45AC8" w14:textId="77777777" w:rsidR="00A84C72" w:rsidRPr="00F525D7" w:rsidRDefault="00A84C72" w:rsidP="00370D9F">
      <w:pPr>
        <w:spacing w:after="0" w:line="240" w:lineRule="auto"/>
        <w:jc w:val="both"/>
        <w:rPr>
          <w:rFonts w:ascii="Arial" w:hAnsi="Arial" w:cs="Arial"/>
          <w:sz w:val="20"/>
          <w:szCs w:val="20"/>
        </w:rPr>
      </w:pPr>
    </w:p>
    <w:p w14:paraId="190B9309"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Los financiamientos (programas) que se refieren a la operación, son como sigue:</w:t>
      </w:r>
    </w:p>
    <w:p w14:paraId="6C1474B8" w14:textId="77777777" w:rsidR="00136C10" w:rsidRPr="00F525D7" w:rsidRDefault="00136C10" w:rsidP="00370D9F">
      <w:pPr>
        <w:spacing w:after="0" w:line="240" w:lineRule="auto"/>
        <w:jc w:val="both"/>
        <w:rPr>
          <w:rFonts w:ascii="Arial" w:hAnsi="Arial" w:cs="Arial"/>
          <w:sz w:val="20"/>
          <w:szCs w:val="20"/>
        </w:rPr>
      </w:pPr>
    </w:p>
    <w:p w14:paraId="67CE9660"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 xml:space="preserve">Crédito </w:t>
      </w:r>
      <w:proofErr w:type="spellStart"/>
      <w:r w:rsidR="00AE61EE" w:rsidRPr="0064068F">
        <w:rPr>
          <w:rFonts w:ascii="Arial" w:hAnsi="Arial" w:cs="Arial"/>
          <w:sz w:val="20"/>
          <w:szCs w:val="20"/>
        </w:rPr>
        <w:t>Fogim</w:t>
      </w:r>
      <w:proofErr w:type="spellEnd"/>
      <w:r w:rsidR="00AE61EE" w:rsidRPr="0064068F">
        <w:rPr>
          <w:rFonts w:ascii="Arial" w:hAnsi="Arial" w:cs="Arial"/>
          <w:sz w:val="20"/>
          <w:szCs w:val="20"/>
        </w:rPr>
        <w:t xml:space="preserve"> de $10,000.00 a $500,000.00 Hasta 48 meses</w:t>
      </w:r>
      <w:r w:rsidR="00370D9F" w:rsidRPr="00F525D7">
        <w:rPr>
          <w:rFonts w:ascii="Arial" w:hAnsi="Arial" w:cs="Arial"/>
          <w:sz w:val="20"/>
          <w:szCs w:val="20"/>
        </w:rPr>
        <w:t>.</w:t>
      </w:r>
    </w:p>
    <w:p w14:paraId="7B6BD17D" w14:textId="77777777" w:rsidR="00136C10" w:rsidRPr="00F525D7" w:rsidRDefault="00136C10" w:rsidP="00370D9F">
      <w:pPr>
        <w:spacing w:after="0" w:line="240" w:lineRule="auto"/>
        <w:jc w:val="both"/>
        <w:rPr>
          <w:rFonts w:ascii="Arial" w:hAnsi="Arial" w:cs="Arial"/>
          <w:sz w:val="20"/>
          <w:szCs w:val="20"/>
        </w:rPr>
      </w:pPr>
    </w:p>
    <w:p w14:paraId="7250A8D6"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Crédito Contigo si Ahorramos Agua de $10,000.00 a $500,000.00 Hasta 36 meses</w:t>
      </w:r>
      <w:r w:rsidR="00370D9F" w:rsidRPr="00F525D7">
        <w:rPr>
          <w:rFonts w:ascii="Arial" w:hAnsi="Arial" w:cs="Arial"/>
          <w:sz w:val="20"/>
          <w:szCs w:val="20"/>
        </w:rPr>
        <w:t>.</w:t>
      </w:r>
    </w:p>
    <w:p w14:paraId="1B6A0079" w14:textId="77777777" w:rsidR="00136C10" w:rsidRPr="00F525D7" w:rsidRDefault="00136C10" w:rsidP="00370D9F">
      <w:pPr>
        <w:spacing w:after="0" w:line="240" w:lineRule="auto"/>
        <w:jc w:val="both"/>
        <w:rPr>
          <w:rFonts w:ascii="Arial" w:hAnsi="Arial" w:cs="Arial"/>
          <w:sz w:val="20"/>
          <w:szCs w:val="20"/>
        </w:rPr>
      </w:pPr>
    </w:p>
    <w:p w14:paraId="4CA0D6A2"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III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Impulso a pequeños comercios de $10,000.00 a $50,000.00 Hasta 40 semanas</w:t>
      </w:r>
      <w:r w:rsidR="00370D9F" w:rsidRPr="00F525D7">
        <w:rPr>
          <w:rFonts w:ascii="Arial" w:hAnsi="Arial" w:cs="Arial"/>
          <w:sz w:val="20"/>
          <w:szCs w:val="20"/>
        </w:rPr>
        <w:t>.</w:t>
      </w:r>
    </w:p>
    <w:p w14:paraId="5156D2ED" w14:textId="77777777" w:rsidR="00136C10" w:rsidRPr="00F525D7" w:rsidRDefault="00136C10" w:rsidP="00370D9F">
      <w:pPr>
        <w:spacing w:after="0" w:line="240" w:lineRule="auto"/>
        <w:jc w:val="both"/>
        <w:rPr>
          <w:rFonts w:ascii="Arial" w:hAnsi="Arial" w:cs="Arial"/>
          <w:sz w:val="20"/>
          <w:szCs w:val="20"/>
        </w:rPr>
      </w:pPr>
    </w:p>
    <w:p w14:paraId="0AE6B248"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IV</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Empoderamiento Mujeres de $10,000.00 a $50,000.00 Hasta 40 semanas</w:t>
      </w:r>
      <w:r w:rsidR="00370D9F" w:rsidRPr="00F525D7">
        <w:rPr>
          <w:rFonts w:ascii="Arial" w:hAnsi="Arial" w:cs="Arial"/>
          <w:sz w:val="20"/>
          <w:szCs w:val="20"/>
        </w:rPr>
        <w:t>.</w:t>
      </w:r>
    </w:p>
    <w:p w14:paraId="4F522203" w14:textId="77777777" w:rsidR="00136C10" w:rsidRPr="00F525D7" w:rsidRDefault="00136C10" w:rsidP="00370D9F">
      <w:pPr>
        <w:spacing w:after="0" w:line="240" w:lineRule="auto"/>
        <w:jc w:val="both"/>
        <w:rPr>
          <w:rFonts w:ascii="Arial" w:hAnsi="Arial" w:cs="Arial"/>
          <w:sz w:val="20"/>
          <w:szCs w:val="20"/>
        </w:rPr>
      </w:pPr>
    </w:p>
    <w:p w14:paraId="1CEFAD3A"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V</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Programa mi maíz de $10,000.00 a $500,000.00 Hasta 24 meses</w:t>
      </w:r>
      <w:r w:rsidR="00370D9F" w:rsidRPr="00F525D7">
        <w:rPr>
          <w:rFonts w:ascii="Arial" w:hAnsi="Arial" w:cs="Arial"/>
          <w:sz w:val="20"/>
          <w:szCs w:val="20"/>
        </w:rPr>
        <w:t>.</w:t>
      </w:r>
    </w:p>
    <w:p w14:paraId="31D53F45" w14:textId="77777777" w:rsidR="00283450" w:rsidRPr="00F525D7" w:rsidRDefault="00283450" w:rsidP="00370D9F">
      <w:pPr>
        <w:spacing w:after="0" w:line="240" w:lineRule="auto"/>
        <w:jc w:val="both"/>
        <w:rPr>
          <w:rFonts w:ascii="Arial" w:hAnsi="Arial" w:cs="Arial"/>
          <w:sz w:val="20"/>
          <w:szCs w:val="20"/>
        </w:rPr>
      </w:pPr>
    </w:p>
    <w:p w14:paraId="5CE9128E" w14:textId="77777777" w:rsidR="007D1E76" w:rsidRPr="00F525D7" w:rsidRDefault="00370D9F" w:rsidP="00370D9F">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Cada uno de los programas ha sido aprobado por el Comité Técnico en apego a las Reglas de Operación de la Entidad, así como establecido en los fines del Fideicomiso en los convenios modificatorios.</w:t>
      </w:r>
    </w:p>
    <w:p w14:paraId="7479BF47"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7DAC03F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00B748D2">
        <w:rPr>
          <w:rFonts w:ascii="Arial" w:hAnsi="Arial" w:cs="Arial"/>
          <w:sz w:val="20"/>
          <w:szCs w:val="20"/>
        </w:rPr>
        <w:t xml:space="preserve"> Ejercicio fiscal</w:t>
      </w:r>
      <w:r w:rsidRPr="00F525D7">
        <w:rPr>
          <w:rFonts w:ascii="Arial" w:hAnsi="Arial" w:cs="Arial"/>
          <w:sz w:val="20"/>
          <w:szCs w:val="20"/>
        </w:rPr>
        <w:t>.</w:t>
      </w:r>
    </w:p>
    <w:p w14:paraId="4B223B8E" w14:textId="77777777" w:rsidR="007D1E76" w:rsidRPr="00F525D7" w:rsidRDefault="00097BDF" w:rsidP="00CB41C4">
      <w:pPr>
        <w:tabs>
          <w:tab w:val="left" w:leader="underscore" w:pos="9639"/>
        </w:tabs>
        <w:spacing w:after="0" w:line="240" w:lineRule="auto"/>
        <w:jc w:val="both"/>
        <w:rPr>
          <w:rFonts w:ascii="Arial" w:hAnsi="Arial" w:cs="Arial"/>
          <w:sz w:val="20"/>
          <w:szCs w:val="20"/>
        </w:rPr>
      </w:pPr>
      <w:r w:rsidRPr="00F525D7">
        <w:rPr>
          <w:rFonts w:ascii="Arial" w:eastAsia="Times New Roman" w:hAnsi="Arial" w:cs="Arial"/>
          <w:color w:val="000000"/>
          <w:sz w:val="20"/>
          <w:szCs w:val="20"/>
        </w:rPr>
        <w:t>El ejercicio fiscal que ha asumido el Fondo para la integración de sus estados financieros corresponde al año natural, durante el cual se realizan cortes mensuales para la presentación de cuentas públicas intermedias.</w:t>
      </w:r>
    </w:p>
    <w:p w14:paraId="7B53A26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28A583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Régimen jurídico (Forma como está dada de alta la entidad ante la S.H.C.P., ejemplos: S.C., S.A., Personas morales sin fines de lucro, etc.).</w:t>
      </w:r>
    </w:p>
    <w:p w14:paraId="2067B15E" w14:textId="77777777" w:rsidR="00097BDF" w:rsidRPr="00F525D7" w:rsidRDefault="00097BDF" w:rsidP="00097BDF">
      <w:pPr>
        <w:pStyle w:val="Prrafodelista"/>
        <w:spacing w:after="0" w:line="240" w:lineRule="exact"/>
        <w:ind w:left="0"/>
        <w:jc w:val="both"/>
        <w:rPr>
          <w:rFonts w:ascii="Arial" w:eastAsia="Times New Roman" w:hAnsi="Arial" w:cs="Arial"/>
          <w:bCs/>
          <w:sz w:val="20"/>
          <w:szCs w:val="20"/>
          <w:lang w:eastAsia="es-ES"/>
        </w:rPr>
      </w:pPr>
      <w:r w:rsidRPr="00F525D7">
        <w:rPr>
          <w:rFonts w:ascii="Arial" w:eastAsia="Times New Roman" w:hAnsi="Arial" w:cs="Arial"/>
          <w:sz w:val="20"/>
          <w:szCs w:val="20"/>
          <w:lang w:val="es-ES"/>
        </w:rPr>
        <w:t xml:space="preserve">Fondo </w:t>
      </w:r>
      <w:r w:rsidRPr="00F525D7">
        <w:rPr>
          <w:rFonts w:ascii="Arial" w:eastAsia="Times New Roman" w:hAnsi="Arial" w:cs="Arial"/>
          <w:sz w:val="20"/>
          <w:szCs w:val="20"/>
        </w:rPr>
        <w:t xml:space="preserve">Guanajuato de Inversión en Zonas Marginadas </w:t>
      </w:r>
      <w:r w:rsidRPr="00F525D7">
        <w:rPr>
          <w:rFonts w:ascii="Arial" w:eastAsia="Times New Roman" w:hAnsi="Arial" w:cs="Arial"/>
          <w:sz w:val="20"/>
          <w:szCs w:val="20"/>
          <w:lang w:val="es-ES"/>
        </w:rPr>
        <w:t>fue constituido el día 7 de mayo de 1997 a través del contrato de fideicomiso celebrado por una parte por el Sistema Estatal de Financiamiento al Desarrollo del Estado de Guanajuato (“SEFIDE”), en su carácter de fideicomitente y por otra parte en su carácter de fiduciaria, Bancomer, S.A. Institución de Banca Múltiple, en dicho contrato SEFIDE realizó una aportación inicial de manera solidaria por $1,000,000</w:t>
      </w:r>
    </w:p>
    <w:p w14:paraId="450C2622" w14:textId="77777777" w:rsidR="00097BDF" w:rsidRPr="00F525D7" w:rsidRDefault="00097BDF" w:rsidP="00097BDF">
      <w:pPr>
        <w:pStyle w:val="Prrafodelista"/>
        <w:spacing w:after="0" w:line="240" w:lineRule="exact"/>
        <w:ind w:left="1080"/>
        <w:jc w:val="both"/>
        <w:rPr>
          <w:rFonts w:ascii="Arial" w:hAnsi="Arial" w:cs="Arial"/>
          <w:b/>
          <w:i/>
          <w:sz w:val="20"/>
          <w:szCs w:val="20"/>
        </w:rPr>
      </w:pPr>
    </w:p>
    <w:p w14:paraId="7E1FCF06" w14:textId="77777777" w:rsidR="00097BDF" w:rsidRPr="00F525D7" w:rsidRDefault="00097BDF" w:rsidP="00097BDF">
      <w:pPr>
        <w:jc w:val="both"/>
        <w:rPr>
          <w:rFonts w:ascii="Arial" w:hAnsi="Arial" w:cs="Arial"/>
          <w:sz w:val="20"/>
          <w:szCs w:val="20"/>
        </w:rPr>
      </w:pPr>
      <w:r w:rsidRPr="00F525D7">
        <w:rPr>
          <w:rFonts w:ascii="Arial" w:hAnsi="Arial" w:cs="Arial"/>
          <w:sz w:val="20"/>
          <w:szCs w:val="20"/>
        </w:rPr>
        <w:t>De igual manera el contrato de fideicomiso establece que SEFIDE en su figura de fideicomitente, constituyó un Comité Técnico, entre cuyas facultades se encuentran establecer las reglas de operación del fideicomiso para desarrollo de su objeto.</w:t>
      </w:r>
    </w:p>
    <w:p w14:paraId="25560FDE" w14:textId="77777777" w:rsidR="007D1E76" w:rsidRPr="00F525D7" w:rsidRDefault="00097BDF" w:rsidP="00097BDF">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El día 19 de noviembre de 2010 fue publicado en el Periódico Oficial del Gobierno del Estado de Guanajuato número 185 segunda parte, del decreto Gubernativo número 155 mediante el cual se extingue el organismo público descentralizado SEFIDE, como una entidad de la Administración Pública Estatal. En el artículo 5 del </w:t>
      </w:r>
      <w:r w:rsidRPr="00F525D7">
        <w:rPr>
          <w:rFonts w:ascii="Arial" w:hAnsi="Arial" w:cs="Arial"/>
          <w:sz w:val="20"/>
          <w:szCs w:val="20"/>
        </w:rPr>
        <w:lastRenderedPageBreak/>
        <w:t xml:space="preserve">decreto en mención se establece que la </w:t>
      </w:r>
      <w:r w:rsidR="005208D0" w:rsidRPr="00F525D7">
        <w:rPr>
          <w:rFonts w:ascii="Arial" w:hAnsi="Arial" w:cs="Arial"/>
          <w:sz w:val="20"/>
          <w:szCs w:val="20"/>
        </w:rPr>
        <w:t>Secretaría de</w:t>
      </w:r>
      <w:r w:rsidRPr="00F525D7">
        <w:rPr>
          <w:rFonts w:ascii="Arial" w:hAnsi="Arial" w:cs="Arial"/>
          <w:sz w:val="20"/>
          <w:szCs w:val="20"/>
        </w:rPr>
        <w:t xml:space="preserve"> Desarrollo Económico Sustentable sustituye en todos sus derechos, obligaciones y asume los compromisos adquiridos por el SEFIDE, debiendo cumplir íntegramente con ellos. Debido a lo anterior el día 7 de abril de 2011 se celebró convenio modificatorio al contrato de fideicomiso del día 7 de mayo de 1997.</w:t>
      </w:r>
    </w:p>
    <w:p w14:paraId="71AB86B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C5B4CB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Consideraciones fiscales del ente: </w:t>
      </w:r>
      <w:r w:rsidR="00657009" w:rsidRPr="00F525D7">
        <w:rPr>
          <w:rFonts w:ascii="Arial" w:hAnsi="Arial" w:cs="Arial"/>
          <w:sz w:val="20"/>
          <w:szCs w:val="20"/>
        </w:rPr>
        <w:t>R</w:t>
      </w:r>
      <w:r w:rsidRPr="00F525D7">
        <w:rPr>
          <w:rFonts w:ascii="Arial" w:hAnsi="Arial" w:cs="Arial"/>
          <w:sz w:val="20"/>
          <w:szCs w:val="20"/>
        </w:rPr>
        <w:t>evelar el tipo de contribuciones que esté obligado a pagar o retener.</w:t>
      </w:r>
    </w:p>
    <w:p w14:paraId="359A80E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 xml:space="preserve">El régimen fiscal del </w:t>
      </w:r>
      <w:proofErr w:type="gramStart"/>
      <w:r w:rsidRPr="00F525D7">
        <w:rPr>
          <w:rFonts w:ascii="Arial" w:eastAsia="Times New Roman" w:hAnsi="Arial" w:cs="Arial"/>
          <w:color w:val="000000"/>
          <w:sz w:val="20"/>
          <w:szCs w:val="20"/>
        </w:rPr>
        <w:t>Fondo,</w:t>
      </w:r>
      <w:proofErr w:type="gramEnd"/>
      <w:r w:rsidRPr="00F525D7">
        <w:rPr>
          <w:rFonts w:ascii="Arial" w:eastAsia="Times New Roman" w:hAnsi="Arial" w:cs="Arial"/>
          <w:color w:val="000000"/>
          <w:sz w:val="20"/>
          <w:szCs w:val="20"/>
        </w:rPr>
        <w:t xml:space="preserve"> se ubica en el marco del Título III de la Ley del Impuesto Sobre la Renta (LISR) como persona moral no contribuyente.</w:t>
      </w:r>
    </w:p>
    <w:p w14:paraId="03505D97"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p>
    <w:p w14:paraId="3D230F6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OBLIGACIONES FISCALES:</w:t>
      </w:r>
    </w:p>
    <w:p w14:paraId="05126F9D"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p>
    <w:p w14:paraId="2F507CF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IMPUESTOS FEDERALES</w:t>
      </w:r>
    </w:p>
    <w:p w14:paraId="3DD668D8"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mensuales de ISR por sueldos y salarios</w:t>
      </w:r>
      <w:r w:rsidR="00C818A1">
        <w:rPr>
          <w:rFonts w:ascii="Arial" w:eastAsia="Times New Roman" w:hAnsi="Arial" w:cs="Arial"/>
          <w:color w:val="000000"/>
          <w:sz w:val="20"/>
          <w:szCs w:val="20"/>
        </w:rPr>
        <w:t>.</w:t>
      </w:r>
    </w:p>
    <w:p w14:paraId="6580F5E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mensual de retención de ISR por servicios profesionales</w:t>
      </w:r>
      <w:r w:rsidR="00C818A1">
        <w:rPr>
          <w:rFonts w:ascii="Arial" w:eastAsia="Times New Roman" w:hAnsi="Arial" w:cs="Arial"/>
          <w:color w:val="000000"/>
          <w:sz w:val="20"/>
          <w:szCs w:val="20"/>
        </w:rPr>
        <w:t>.</w:t>
      </w:r>
    </w:p>
    <w:p w14:paraId="1F661A5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mensual de retenciones de ISR de ingresos por arrendamiento</w:t>
      </w:r>
      <w:r w:rsidR="00C818A1">
        <w:rPr>
          <w:rFonts w:ascii="Arial" w:eastAsia="Times New Roman" w:hAnsi="Arial" w:cs="Arial"/>
          <w:color w:val="000000"/>
          <w:sz w:val="20"/>
          <w:szCs w:val="20"/>
        </w:rPr>
        <w:t>.</w:t>
      </w:r>
    </w:p>
    <w:p w14:paraId="2B0D9F1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 xml:space="preserve">Declaración informativa </w:t>
      </w:r>
      <w:r w:rsidR="00C818A1">
        <w:rPr>
          <w:rFonts w:ascii="Arial" w:eastAsia="Times New Roman" w:hAnsi="Arial" w:cs="Arial"/>
          <w:color w:val="000000"/>
          <w:sz w:val="20"/>
          <w:szCs w:val="20"/>
        </w:rPr>
        <w:t>anual de Ingresos y Erogaciones.</w:t>
      </w:r>
    </w:p>
    <w:p w14:paraId="449D68F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Declaración informativa anual de retenciones de ISR por sueldos y salarios e ingresos asimilados a salarios.</w:t>
      </w:r>
    </w:p>
    <w:p w14:paraId="65D067E7" w14:textId="77777777" w:rsidR="00400196" w:rsidRPr="00F525D7" w:rsidRDefault="00C818A1" w:rsidP="0040019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Declaración i</w:t>
      </w:r>
      <w:r w:rsidR="00400196" w:rsidRPr="00F525D7">
        <w:rPr>
          <w:rFonts w:ascii="Arial" w:eastAsia="Times New Roman" w:hAnsi="Arial" w:cs="Arial"/>
          <w:color w:val="000000"/>
          <w:sz w:val="20"/>
          <w:szCs w:val="20"/>
        </w:rPr>
        <w:t>nformativa anual del subsidio para el empleo</w:t>
      </w:r>
      <w:r>
        <w:rPr>
          <w:rFonts w:ascii="Arial" w:eastAsia="Times New Roman" w:hAnsi="Arial" w:cs="Arial"/>
          <w:color w:val="000000"/>
          <w:sz w:val="20"/>
          <w:szCs w:val="20"/>
        </w:rPr>
        <w:t>.</w:t>
      </w:r>
    </w:p>
    <w:p w14:paraId="072EEE26"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 xml:space="preserve">Declaración informativa anual de pagos y retenciones de servicios profesionales. </w:t>
      </w:r>
    </w:p>
    <w:p w14:paraId="2E72EA7E"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Declaración informativa anual de retenciones de ISR por arrendamiento de inmuebles</w:t>
      </w:r>
      <w:r w:rsidR="00C818A1">
        <w:rPr>
          <w:rFonts w:ascii="Arial" w:eastAsia="Times New Roman" w:hAnsi="Arial" w:cs="Arial"/>
          <w:color w:val="000000"/>
          <w:sz w:val="20"/>
          <w:szCs w:val="20"/>
        </w:rPr>
        <w:t>.</w:t>
      </w:r>
    </w:p>
    <w:p w14:paraId="099AB094" w14:textId="77777777" w:rsidR="00F525D7" w:rsidRPr="00F525D7" w:rsidRDefault="00F525D7" w:rsidP="00400196">
      <w:pPr>
        <w:pStyle w:val="Prrafodelista"/>
        <w:spacing w:after="0" w:line="240" w:lineRule="auto"/>
        <w:ind w:left="0"/>
        <w:jc w:val="both"/>
        <w:rPr>
          <w:rFonts w:ascii="Arial" w:eastAsia="Times New Roman" w:hAnsi="Arial" w:cs="Arial"/>
          <w:color w:val="000000"/>
          <w:sz w:val="20"/>
          <w:szCs w:val="20"/>
        </w:rPr>
      </w:pPr>
    </w:p>
    <w:p w14:paraId="0E74D837"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IMPUESTOS ESTATALES</w:t>
      </w:r>
    </w:p>
    <w:p w14:paraId="33975D2B"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Mensuales:</w:t>
      </w:r>
    </w:p>
    <w:p w14:paraId="50DE1462" w14:textId="77777777" w:rsidR="00400196" w:rsidRPr="00F525D7" w:rsidRDefault="0094321A" w:rsidP="0040019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 xml:space="preserve">Cedular </w:t>
      </w:r>
      <w:r w:rsidR="00E54EDB" w:rsidRPr="00F525D7">
        <w:rPr>
          <w:rFonts w:ascii="Arial" w:eastAsia="Times New Roman" w:hAnsi="Arial" w:cs="Arial"/>
          <w:color w:val="000000"/>
          <w:sz w:val="20"/>
          <w:szCs w:val="20"/>
        </w:rPr>
        <w:t>3</w:t>
      </w:r>
      <w:r w:rsidR="00400196" w:rsidRPr="00F525D7">
        <w:rPr>
          <w:rFonts w:ascii="Arial" w:eastAsia="Times New Roman" w:hAnsi="Arial" w:cs="Arial"/>
          <w:color w:val="000000"/>
          <w:sz w:val="20"/>
          <w:szCs w:val="20"/>
        </w:rPr>
        <w:t>% sobre nómina</w:t>
      </w:r>
      <w:r w:rsidR="00C818A1">
        <w:rPr>
          <w:rFonts w:ascii="Arial" w:eastAsia="Times New Roman" w:hAnsi="Arial" w:cs="Arial"/>
          <w:color w:val="000000"/>
          <w:sz w:val="20"/>
          <w:szCs w:val="20"/>
        </w:rPr>
        <w:t>.</w:t>
      </w:r>
    </w:p>
    <w:p w14:paraId="72C0E4A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sobre servicios profesionales</w:t>
      </w:r>
      <w:r w:rsidR="00C818A1">
        <w:rPr>
          <w:rFonts w:ascii="Arial" w:eastAsia="Times New Roman" w:hAnsi="Arial" w:cs="Arial"/>
          <w:color w:val="000000"/>
          <w:sz w:val="20"/>
          <w:szCs w:val="20"/>
        </w:rPr>
        <w:t>.</w:t>
      </w:r>
    </w:p>
    <w:p w14:paraId="6D1151A1"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sobre arrendamiento de bienes inmuebles</w:t>
      </w:r>
      <w:r w:rsidR="00C818A1">
        <w:rPr>
          <w:rFonts w:ascii="Arial" w:eastAsia="Times New Roman" w:hAnsi="Arial" w:cs="Arial"/>
          <w:color w:val="000000"/>
          <w:sz w:val="20"/>
          <w:szCs w:val="20"/>
        </w:rPr>
        <w:t>.</w:t>
      </w:r>
    </w:p>
    <w:p w14:paraId="4C7581B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Anuales:</w:t>
      </w:r>
    </w:p>
    <w:p w14:paraId="52FDA5BD"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Informativa sobre nómina</w:t>
      </w:r>
      <w:r w:rsidR="00C818A1">
        <w:rPr>
          <w:rFonts w:ascii="Arial" w:eastAsia="Times New Roman" w:hAnsi="Arial" w:cs="Arial"/>
          <w:color w:val="000000"/>
          <w:sz w:val="20"/>
          <w:szCs w:val="20"/>
        </w:rPr>
        <w:t>.</w:t>
      </w:r>
    </w:p>
    <w:p w14:paraId="67CC2B3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Informativa sobre pagos efectuados por concepto de servicios profesionales</w:t>
      </w:r>
      <w:r w:rsidR="00C818A1">
        <w:rPr>
          <w:rFonts w:ascii="Arial" w:eastAsia="Times New Roman" w:hAnsi="Arial" w:cs="Arial"/>
          <w:color w:val="000000"/>
          <w:sz w:val="20"/>
          <w:szCs w:val="20"/>
        </w:rPr>
        <w:t>.</w:t>
      </w:r>
    </w:p>
    <w:p w14:paraId="1EA29182" w14:textId="77777777" w:rsidR="007D1E76" w:rsidRPr="00F525D7" w:rsidRDefault="00400196" w:rsidP="00400196">
      <w:pPr>
        <w:tabs>
          <w:tab w:val="left" w:leader="underscore" w:pos="9639"/>
        </w:tabs>
        <w:spacing w:after="0" w:line="240" w:lineRule="auto"/>
        <w:jc w:val="both"/>
        <w:rPr>
          <w:rFonts w:ascii="Arial" w:hAnsi="Arial" w:cs="Arial"/>
          <w:sz w:val="20"/>
          <w:szCs w:val="20"/>
        </w:rPr>
      </w:pPr>
      <w:r w:rsidRPr="00F525D7">
        <w:rPr>
          <w:rFonts w:ascii="Arial" w:eastAsia="Times New Roman" w:hAnsi="Arial" w:cs="Arial"/>
          <w:color w:val="000000"/>
          <w:sz w:val="20"/>
          <w:szCs w:val="20"/>
        </w:rPr>
        <w:t>Informativa sobre pagos efectuados por concepto de arrendamiento de bienes inmuebles</w:t>
      </w:r>
      <w:r w:rsidR="00C818A1">
        <w:rPr>
          <w:rFonts w:ascii="Arial" w:eastAsia="Times New Roman" w:hAnsi="Arial" w:cs="Arial"/>
          <w:color w:val="000000"/>
          <w:sz w:val="20"/>
          <w:szCs w:val="20"/>
        </w:rPr>
        <w:t>.</w:t>
      </w:r>
    </w:p>
    <w:p w14:paraId="5DB4E85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043243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Estructura organizacional básica.</w:t>
      </w:r>
    </w:p>
    <w:p w14:paraId="2AD0D8BA" w14:textId="77777777" w:rsidR="007D1E76" w:rsidRPr="00F525D7" w:rsidRDefault="007D1E76" w:rsidP="00CB41C4">
      <w:pPr>
        <w:tabs>
          <w:tab w:val="left" w:leader="underscore" w:pos="9639"/>
        </w:tabs>
        <w:spacing w:after="0" w:line="240" w:lineRule="auto"/>
        <w:ind w:firstLine="708"/>
        <w:jc w:val="both"/>
        <w:rPr>
          <w:rFonts w:ascii="Arial" w:hAnsi="Arial" w:cs="Arial"/>
          <w:sz w:val="20"/>
          <w:szCs w:val="20"/>
        </w:rPr>
      </w:pPr>
      <w:r w:rsidRPr="00F525D7">
        <w:rPr>
          <w:rFonts w:ascii="Arial" w:hAnsi="Arial" w:cs="Arial"/>
          <w:sz w:val="20"/>
          <w:szCs w:val="20"/>
        </w:rPr>
        <w:t>*Anexar organigrama de la entidad.</w:t>
      </w:r>
    </w:p>
    <w:p w14:paraId="29171863"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A fin de dar cumplimiento a nuestras funciones y alcanzar los objetivos, el FOGIM cuenta con tres órganos de gobierno rectores:</w:t>
      </w:r>
    </w:p>
    <w:p w14:paraId="760F5465"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El Comité Técnico.</w:t>
      </w:r>
    </w:p>
    <w:p w14:paraId="45259D01"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 El </w:t>
      </w:r>
      <w:proofErr w:type="gramStart"/>
      <w:r w:rsidRPr="00F525D7">
        <w:rPr>
          <w:rFonts w:ascii="Arial" w:hAnsi="Arial" w:cs="Arial"/>
          <w:sz w:val="20"/>
          <w:szCs w:val="20"/>
          <w:lang w:eastAsia="es-MX"/>
        </w:rPr>
        <w:t>Director General</w:t>
      </w:r>
      <w:proofErr w:type="gramEnd"/>
      <w:r w:rsidRPr="00F525D7">
        <w:rPr>
          <w:rFonts w:ascii="Arial" w:hAnsi="Arial" w:cs="Arial"/>
          <w:sz w:val="20"/>
          <w:szCs w:val="20"/>
          <w:lang w:eastAsia="es-MX"/>
        </w:rPr>
        <w:t>.</w:t>
      </w:r>
    </w:p>
    <w:p w14:paraId="4F050202"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El Sub-</w:t>
      </w:r>
      <w:proofErr w:type="gramStart"/>
      <w:r w:rsidRPr="00F525D7">
        <w:rPr>
          <w:rFonts w:ascii="Arial" w:hAnsi="Arial" w:cs="Arial"/>
          <w:sz w:val="20"/>
          <w:szCs w:val="20"/>
          <w:lang w:eastAsia="es-MX"/>
        </w:rPr>
        <w:t>Director General</w:t>
      </w:r>
      <w:proofErr w:type="gramEnd"/>
      <w:r w:rsidR="00C818A1">
        <w:rPr>
          <w:rFonts w:ascii="Arial" w:hAnsi="Arial" w:cs="Arial"/>
          <w:sz w:val="20"/>
          <w:szCs w:val="20"/>
          <w:lang w:eastAsia="es-MX"/>
        </w:rPr>
        <w:t>.</w:t>
      </w:r>
    </w:p>
    <w:p w14:paraId="0E2AEDFB" w14:textId="77777777" w:rsidR="00C8277F" w:rsidRPr="00F525D7" w:rsidRDefault="00C8277F" w:rsidP="00400196">
      <w:pPr>
        <w:autoSpaceDE w:val="0"/>
        <w:autoSpaceDN w:val="0"/>
        <w:adjustRightInd w:val="0"/>
        <w:spacing w:after="0" w:line="240" w:lineRule="auto"/>
        <w:jc w:val="both"/>
        <w:rPr>
          <w:rFonts w:ascii="Arial" w:hAnsi="Arial" w:cs="Arial"/>
          <w:sz w:val="20"/>
          <w:szCs w:val="20"/>
          <w:u w:val="single"/>
          <w:lang w:eastAsia="es-MX"/>
        </w:rPr>
      </w:pPr>
    </w:p>
    <w:p w14:paraId="1FF87533"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Comité Técnico:</w:t>
      </w:r>
    </w:p>
    <w:p w14:paraId="19B4F627"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Es el órgano de la Entidad que tiene las atribuciones de aprobar planes y programas del mismo; dictar los acuerdos necesarios para el debido otorgamiento de los préstamos y/o financiamientos; dictar cualquier acuerdo en los términos los préstamos y/o financiamientos, para conceder, negar, suspender, modificar y revocar los préstamos y/o financiamientos que la misma establece; y aprobar las aplicaciones y/o correcciones de las reservas de patrimonio de la Entidad, a propuesta del Director General.</w:t>
      </w:r>
    </w:p>
    <w:p w14:paraId="4E53FABA"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Así mismo el Comité Técnico tiene las atribuciones de vigilar que los recursos de la Entidad se apliquen y coloquen de acuerdo con las reglas de operación de la Entidad, así como establecido en los fines del Fideicomiso en los convenios modificatorios; comprobar el cumplimiento de las normas y disposiciones relativas a los sistemas de registro y contabilidad.</w:t>
      </w:r>
    </w:p>
    <w:p w14:paraId="06C69321" w14:textId="77777777" w:rsidR="00400196" w:rsidRDefault="00400196" w:rsidP="00400196">
      <w:pPr>
        <w:autoSpaceDE w:val="0"/>
        <w:autoSpaceDN w:val="0"/>
        <w:adjustRightInd w:val="0"/>
        <w:spacing w:after="0" w:line="240" w:lineRule="auto"/>
        <w:jc w:val="both"/>
        <w:rPr>
          <w:rFonts w:ascii="Arial" w:hAnsi="Arial" w:cs="Arial"/>
          <w:sz w:val="20"/>
          <w:szCs w:val="20"/>
          <w:lang w:eastAsia="es-MX"/>
        </w:rPr>
      </w:pPr>
    </w:p>
    <w:p w14:paraId="0B071F80" w14:textId="77777777" w:rsidR="007675C0" w:rsidRPr="00F525D7" w:rsidRDefault="007675C0" w:rsidP="00400196">
      <w:pPr>
        <w:autoSpaceDE w:val="0"/>
        <w:autoSpaceDN w:val="0"/>
        <w:adjustRightInd w:val="0"/>
        <w:spacing w:after="0" w:line="240" w:lineRule="auto"/>
        <w:jc w:val="both"/>
        <w:rPr>
          <w:rFonts w:ascii="Arial" w:hAnsi="Arial" w:cs="Arial"/>
          <w:sz w:val="20"/>
          <w:szCs w:val="20"/>
          <w:lang w:eastAsia="es-MX"/>
        </w:rPr>
      </w:pPr>
    </w:p>
    <w:p w14:paraId="2B50220E"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Dirección General:</w:t>
      </w:r>
    </w:p>
    <w:p w14:paraId="3C374189"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Es el máximo órgano de la Administración de la Entidad, encargado de asegurar el cumplimiento de todas las decisiones del Comité Técnico como lo son asegurar el cumplimiento de metas estratégicas, proponer nuevos </w:t>
      </w:r>
      <w:r w:rsidRPr="00F525D7">
        <w:rPr>
          <w:rFonts w:ascii="Arial" w:hAnsi="Arial" w:cs="Arial"/>
          <w:sz w:val="20"/>
          <w:szCs w:val="20"/>
          <w:lang w:eastAsia="es-MX"/>
        </w:rPr>
        <w:lastRenderedPageBreak/>
        <w:t>esquemas al Comité Técnico, resolver cualquier situación con respecto a las reglas de operación que se presenten en el desarrollo de las actividades, entre otras.</w:t>
      </w:r>
    </w:p>
    <w:p w14:paraId="2EDA056E"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Para lograr lo anterior, la Entidad cuenta con los siguientes niveles en su organigrama que son:</w:t>
      </w:r>
    </w:p>
    <w:p w14:paraId="7D0F0C92"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Subdirección General, Subdirección de Crédito, Gerencia de Finanzas, Gerencia de Jurídico y la Gerencia de Control y Cumplimiento. Cabe señalar que es importante la gestión de promoción y venta que complementan la estructura del Fideicomiso, como la Coordinación de Programas Especiales, Gerencia de Coordinador de Sucursales y Coordinación de Comunicación Social.</w:t>
      </w:r>
    </w:p>
    <w:p w14:paraId="45624569"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p>
    <w:p w14:paraId="660D9719"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Sub-Dirección General:</w:t>
      </w:r>
    </w:p>
    <w:p w14:paraId="326A7EA3"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Tiene a su cargo el Control de los procesos operativos para asegurar que las operaciones se realicen dentro del marco de legalidad existente, estableciendo programas de auditoría interna e implementando los procedimientos adecuados para la operación y conservación de documentos en el lugar adecuado, desarrollando e implementando procesos de mejora continua. Analiza la información contenida en los Estados Financieros supervisando el apego a normas de información financiera. Da seguimiento a las decisiones, autorizaciones y acuerdos que se den dentro del Comité Técnico, Subcomité de Crédito y Subcomité de inversiones. </w:t>
      </w:r>
    </w:p>
    <w:p w14:paraId="3A8903EA"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Establece y ejecuta las acciones necesarias para la elaboración del presupuesto de inversión, gasto operativo e ingreso. Apoya al </w:t>
      </w:r>
      <w:proofErr w:type="gramStart"/>
      <w:r w:rsidRPr="00F525D7">
        <w:rPr>
          <w:rFonts w:ascii="Arial" w:hAnsi="Arial" w:cs="Arial"/>
          <w:sz w:val="20"/>
          <w:szCs w:val="20"/>
          <w:lang w:eastAsia="es-MX"/>
        </w:rPr>
        <w:t>Director General</w:t>
      </w:r>
      <w:proofErr w:type="gramEnd"/>
      <w:r w:rsidRPr="00F525D7">
        <w:rPr>
          <w:rFonts w:ascii="Arial" w:hAnsi="Arial" w:cs="Arial"/>
          <w:sz w:val="20"/>
          <w:szCs w:val="20"/>
          <w:lang w:eastAsia="es-MX"/>
        </w:rPr>
        <w:t xml:space="preserve"> en la elaboración y seguimiento de estrategias, programas, políticas públicas, modelos y proyectos de apoyo y servicios financieros, así como la vinculación con los diversos organismos e instituciones financieras. Así mismo, el Sub-</w:t>
      </w:r>
      <w:proofErr w:type="gramStart"/>
      <w:r w:rsidRPr="00F525D7">
        <w:rPr>
          <w:rFonts w:ascii="Arial" w:hAnsi="Arial" w:cs="Arial"/>
          <w:sz w:val="20"/>
          <w:szCs w:val="20"/>
          <w:lang w:eastAsia="es-MX"/>
        </w:rPr>
        <w:t>Director General</w:t>
      </w:r>
      <w:proofErr w:type="gramEnd"/>
      <w:r w:rsidRPr="00F525D7">
        <w:rPr>
          <w:rFonts w:ascii="Arial" w:hAnsi="Arial" w:cs="Arial"/>
          <w:sz w:val="20"/>
          <w:szCs w:val="20"/>
          <w:lang w:eastAsia="es-MX"/>
        </w:rPr>
        <w:t xml:space="preserve"> tiene a su cargo la Subdirección de Crédito, Gerencia de Finanzas, Gerencia de Cobranza Jurídico y la Gerencia de Control y Cumplimiento.</w:t>
      </w:r>
    </w:p>
    <w:p w14:paraId="3567F389" w14:textId="77777777" w:rsidR="007D1E76" w:rsidRPr="00F525D7" w:rsidRDefault="00400196" w:rsidP="00400196">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Esta última es de gran ayuda para asegurarse de muchas de las actividades de monitoreo, la Gerencia de Control y Cumplimiento, se encarga de desarrollar y mantener un programa de aseguramiento preventivo de administración de riesgos, de calidad y mejora que cubra todos los aspectos de la actividad de auditoría interna y revise continuamente su eficacia, apegándose a los Lineamientos Generales de Control Interno y sus normas de aplicación para la Administración Pública Estatal. El programa de administración de riesgos está diseñado para ayudar a la actividad de auditoría interna a añadir valor y a mejorar las operaciones de la organización y a proporcionar aseguramiento de que la actividad de auditoría interna cumple con las normas y el Código de Ética institucional. Así mismo esta área tiene a su cargo la actividad de Control de Gestión en cuanto a elaboración, seguimiento y control de metas institucionales y proyectos de inversión.</w:t>
      </w:r>
    </w:p>
    <w:p w14:paraId="6FF6AC34"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6539342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Fideicomisos, mandatos y análogos de los cuales es fideicomitente o </w:t>
      </w:r>
      <w:r w:rsidR="00657009" w:rsidRPr="00F525D7">
        <w:rPr>
          <w:rFonts w:ascii="Arial" w:hAnsi="Arial" w:cs="Arial"/>
          <w:sz w:val="20"/>
          <w:szCs w:val="20"/>
        </w:rPr>
        <w:t>fideicomisario</w:t>
      </w:r>
      <w:r w:rsidRPr="00F525D7">
        <w:rPr>
          <w:rFonts w:ascii="Arial" w:hAnsi="Arial" w:cs="Arial"/>
          <w:sz w:val="20"/>
          <w:szCs w:val="20"/>
        </w:rPr>
        <w:t>.</w:t>
      </w:r>
    </w:p>
    <w:p w14:paraId="5E91F642" w14:textId="77777777" w:rsidR="007D1E76" w:rsidRPr="00F525D7" w:rsidRDefault="0040019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se tienen fideicomisos, mandatos y análogos de los cuales la entidad sea fideicomitente o fiduciario.</w:t>
      </w:r>
    </w:p>
    <w:p w14:paraId="20A13020"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62BFEF8C" w14:textId="77777777" w:rsidR="007D1E76" w:rsidRPr="00F525D7" w:rsidRDefault="007675C0" w:rsidP="000C3365">
      <w:pPr>
        <w:pStyle w:val="Ttulo2"/>
        <w:rPr>
          <w:rFonts w:ascii="Arial" w:hAnsi="Arial" w:cs="Arial"/>
          <w:b/>
          <w:color w:val="auto"/>
          <w:sz w:val="20"/>
          <w:szCs w:val="20"/>
        </w:rPr>
      </w:pPr>
      <w:bookmarkStart w:id="4" w:name="_Toc136601510"/>
      <w:r>
        <w:rPr>
          <w:rFonts w:ascii="Arial" w:hAnsi="Arial" w:cs="Arial"/>
          <w:b/>
          <w:color w:val="auto"/>
          <w:sz w:val="20"/>
          <w:szCs w:val="20"/>
        </w:rPr>
        <w:t>4</w:t>
      </w:r>
      <w:r w:rsidR="007D1E76" w:rsidRPr="00F525D7">
        <w:rPr>
          <w:rFonts w:ascii="Arial" w:hAnsi="Arial" w:cs="Arial"/>
          <w:b/>
          <w:color w:val="auto"/>
          <w:sz w:val="20"/>
          <w:szCs w:val="20"/>
        </w:rPr>
        <w:t>. Bases de Preparació</w:t>
      </w:r>
      <w:r w:rsidR="00E00323" w:rsidRPr="00F525D7">
        <w:rPr>
          <w:rFonts w:ascii="Arial" w:hAnsi="Arial" w:cs="Arial"/>
          <w:b/>
          <w:color w:val="auto"/>
          <w:sz w:val="20"/>
          <w:szCs w:val="20"/>
        </w:rPr>
        <w:t>n de los Estados Financieros:</w:t>
      </w:r>
      <w:bookmarkEnd w:id="4"/>
    </w:p>
    <w:p w14:paraId="7855C95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0E19F5A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4F1186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Si se ha observado la normatividad emitida por el CONAC y las disposiciones legales aplicables.</w:t>
      </w:r>
    </w:p>
    <w:p w14:paraId="0041E503" w14:textId="77777777" w:rsidR="006C3F9A" w:rsidRPr="00F525D7" w:rsidRDefault="006C3F9A" w:rsidP="006C3F9A">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Los estados </w:t>
      </w:r>
      <w:r w:rsidR="00FA113D">
        <w:rPr>
          <w:rFonts w:ascii="Arial" w:hAnsi="Arial" w:cs="Arial"/>
          <w:sz w:val="20"/>
          <w:szCs w:val="20"/>
          <w:lang w:eastAsia="es-MX"/>
        </w:rPr>
        <w:t xml:space="preserve">financieros </w:t>
      </w:r>
      <w:r w:rsidRPr="00F525D7">
        <w:rPr>
          <w:rFonts w:ascii="Arial" w:hAnsi="Arial" w:cs="Arial"/>
          <w:sz w:val="20"/>
          <w:szCs w:val="20"/>
          <w:lang w:eastAsia="es-MX"/>
        </w:rPr>
        <w:t xml:space="preserve">del Fondo se </w:t>
      </w:r>
      <w:r w:rsidR="005208D0" w:rsidRPr="00F525D7">
        <w:rPr>
          <w:rFonts w:ascii="Arial" w:hAnsi="Arial" w:cs="Arial"/>
          <w:sz w:val="20"/>
          <w:szCs w:val="20"/>
          <w:lang w:eastAsia="es-MX"/>
        </w:rPr>
        <w:t>prepararán</w:t>
      </w:r>
      <w:r w:rsidRPr="00F525D7">
        <w:rPr>
          <w:rFonts w:ascii="Arial" w:hAnsi="Arial" w:cs="Arial"/>
          <w:sz w:val="20"/>
          <w:szCs w:val="20"/>
          <w:lang w:eastAsia="es-MX"/>
        </w:rPr>
        <w:t xml:space="preserve"> de conformidad con las siguientes disposiciones normativas que le son aplicables en su carácter de administración descentralizada:</w:t>
      </w:r>
    </w:p>
    <w:p w14:paraId="7AFB6367" w14:textId="77777777" w:rsidR="006C3F9A" w:rsidRPr="00F525D7" w:rsidRDefault="006C3F9A" w:rsidP="006C3F9A">
      <w:pPr>
        <w:spacing w:after="0" w:line="240" w:lineRule="auto"/>
        <w:ind w:right="51"/>
        <w:jc w:val="both"/>
        <w:rPr>
          <w:rFonts w:ascii="Arial" w:hAnsi="Arial" w:cs="Arial"/>
          <w:sz w:val="20"/>
          <w:szCs w:val="20"/>
          <w:lang w:eastAsia="es-MX"/>
        </w:rPr>
      </w:pPr>
    </w:p>
    <w:p w14:paraId="192152EB" w14:textId="77777777" w:rsidR="006C3F9A" w:rsidRPr="00F525D7" w:rsidRDefault="006C3F9A" w:rsidP="006C3F9A">
      <w:pPr>
        <w:tabs>
          <w:tab w:val="num" w:pos="1560"/>
        </w:tabs>
        <w:spacing w:after="0" w:line="240" w:lineRule="auto"/>
        <w:ind w:right="51"/>
        <w:jc w:val="both"/>
        <w:rPr>
          <w:rFonts w:ascii="Arial" w:hAnsi="Arial" w:cs="Arial"/>
          <w:sz w:val="20"/>
          <w:szCs w:val="20"/>
          <w:lang w:eastAsia="es-MX"/>
        </w:rPr>
      </w:pPr>
      <w:r w:rsidRPr="00F525D7">
        <w:rPr>
          <w:rFonts w:ascii="Arial" w:hAnsi="Arial" w:cs="Arial"/>
          <w:sz w:val="20"/>
          <w:szCs w:val="20"/>
          <w:lang w:eastAsia="es-MX"/>
        </w:rPr>
        <w:t>Las disposiciones vigentes de la Ley General de Contabilidad Gubernamental (LGCG) y normas reglamentarias emitidas a través de acuerdos del Consejo Nacional de Armonización Contable (CONAC).</w:t>
      </w:r>
    </w:p>
    <w:p w14:paraId="2E76C3D5" w14:textId="77777777" w:rsidR="006C3F9A" w:rsidRPr="00F525D7" w:rsidRDefault="006C3F9A" w:rsidP="006C3F9A">
      <w:pPr>
        <w:tabs>
          <w:tab w:val="left" w:leader="underscore" w:pos="9639"/>
        </w:tabs>
        <w:spacing w:after="0" w:line="240" w:lineRule="auto"/>
        <w:jc w:val="both"/>
        <w:rPr>
          <w:rFonts w:ascii="Arial" w:hAnsi="Arial" w:cs="Arial"/>
          <w:sz w:val="20"/>
          <w:szCs w:val="20"/>
          <w:lang w:eastAsia="es-MX"/>
        </w:rPr>
      </w:pPr>
    </w:p>
    <w:p w14:paraId="1D43A0A4" w14:textId="77777777" w:rsidR="007D1E76" w:rsidRPr="00F525D7" w:rsidRDefault="006C3F9A" w:rsidP="006C3F9A">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 xml:space="preserve">Es importante mencionar que este fideicomiso se encuentra en proceso de incorporarse al Sistema Integral de SAP </w:t>
      </w:r>
      <w:r w:rsidR="00AE4502">
        <w:rPr>
          <w:rFonts w:ascii="Arial" w:hAnsi="Arial" w:cs="Arial"/>
          <w:sz w:val="20"/>
          <w:szCs w:val="20"/>
          <w:lang w:eastAsia="es-MX"/>
        </w:rPr>
        <w:t>4 Hanna</w:t>
      </w:r>
      <w:r w:rsidRPr="00F525D7">
        <w:rPr>
          <w:rFonts w:ascii="Arial" w:hAnsi="Arial" w:cs="Arial"/>
          <w:sz w:val="20"/>
          <w:szCs w:val="20"/>
          <w:lang w:eastAsia="es-MX"/>
        </w:rPr>
        <w:t>, con el apoyo de las áreas técnicas de la Secretaría de Finanzas Inversión y Administración.</w:t>
      </w:r>
    </w:p>
    <w:p w14:paraId="46767A6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A41F46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525D7">
        <w:rPr>
          <w:rFonts w:ascii="Arial" w:hAnsi="Arial" w:cs="Arial"/>
          <w:sz w:val="20"/>
          <w:szCs w:val="20"/>
        </w:rPr>
        <w:t>los mismos</w:t>
      </w:r>
      <w:proofErr w:type="gramEnd"/>
      <w:r w:rsidRPr="00F525D7">
        <w:rPr>
          <w:rFonts w:ascii="Arial" w:hAnsi="Arial" w:cs="Arial"/>
          <w:sz w:val="20"/>
          <w:szCs w:val="20"/>
        </w:rPr>
        <w:t>.</w:t>
      </w:r>
    </w:p>
    <w:p w14:paraId="5F4984A8" w14:textId="77777777" w:rsidR="006C3F9A" w:rsidRPr="00F525D7" w:rsidRDefault="006C3F9A" w:rsidP="006C3F9A">
      <w:pPr>
        <w:tabs>
          <w:tab w:val="num" w:pos="1560"/>
        </w:tabs>
        <w:ind w:right="51"/>
        <w:jc w:val="both"/>
        <w:rPr>
          <w:rFonts w:ascii="Arial" w:hAnsi="Arial" w:cs="Arial"/>
          <w:sz w:val="20"/>
          <w:szCs w:val="20"/>
          <w:lang w:eastAsia="es-MX"/>
        </w:rPr>
      </w:pPr>
      <w:r w:rsidRPr="00F525D7">
        <w:rPr>
          <w:rFonts w:ascii="Arial" w:hAnsi="Arial" w:cs="Arial"/>
          <w:sz w:val="20"/>
          <w:szCs w:val="20"/>
          <w:lang w:eastAsia="es-MX"/>
        </w:rPr>
        <w:t>De conformidad con el Marco Conceptual Gubernamental se pueden aplicar supletoriamente y en el orden a continuación señalado las siguientes normas:</w:t>
      </w:r>
    </w:p>
    <w:p w14:paraId="22730330" w14:textId="77777777" w:rsidR="006C3F9A" w:rsidRPr="00F525D7"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F525D7">
        <w:rPr>
          <w:rFonts w:ascii="Arial" w:hAnsi="Arial" w:cs="Arial"/>
          <w:sz w:val="20"/>
          <w:szCs w:val="20"/>
          <w:lang w:eastAsia="es-MX"/>
        </w:rPr>
        <w:lastRenderedPageBreak/>
        <w:t>La Normatividad emitida por las unidades administrativas o instancias competentes en materia de Contabilidad Gubernamental.</w:t>
      </w:r>
    </w:p>
    <w:p w14:paraId="314E2054" w14:textId="77777777" w:rsidR="006C3F9A" w:rsidRPr="00F525D7"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F525D7">
        <w:rPr>
          <w:rFonts w:ascii="Arial" w:hAnsi="Arial" w:cs="Arial"/>
          <w:sz w:val="20"/>
          <w:szCs w:val="20"/>
          <w:lang w:eastAsia="es-MX"/>
        </w:rPr>
        <w:t>Normas Internacionales de Contabilidad para el Sector Público (NICSP).</w:t>
      </w:r>
    </w:p>
    <w:p w14:paraId="1D3B12D4" w14:textId="77777777" w:rsidR="007D1E76" w:rsidRPr="00F525D7" w:rsidRDefault="006C3F9A" w:rsidP="00F525D7">
      <w:pPr>
        <w:numPr>
          <w:ilvl w:val="0"/>
          <w:numId w:val="2"/>
        </w:numPr>
        <w:tabs>
          <w:tab w:val="clear" w:pos="2165"/>
        </w:tabs>
        <w:spacing w:after="0" w:line="240" w:lineRule="auto"/>
        <w:ind w:left="0" w:right="51" w:firstLine="0"/>
        <w:jc w:val="both"/>
        <w:rPr>
          <w:rFonts w:ascii="Arial" w:hAnsi="Arial" w:cs="Arial"/>
          <w:sz w:val="20"/>
          <w:szCs w:val="20"/>
        </w:rPr>
      </w:pPr>
      <w:r w:rsidRPr="00F525D7">
        <w:rPr>
          <w:rFonts w:ascii="Arial" w:hAnsi="Arial" w:cs="Arial"/>
          <w:sz w:val="20"/>
          <w:szCs w:val="20"/>
          <w:lang w:eastAsia="es-MX"/>
        </w:rPr>
        <w:t>Las Normas de Información Financiera (NIF) emitidas por el Consejo Mexicano de Normas de Información Financiera, A. C.</w:t>
      </w:r>
    </w:p>
    <w:p w14:paraId="7E4E207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64039B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Postulados básicos.</w:t>
      </w:r>
    </w:p>
    <w:p w14:paraId="38F2FC38"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xml:space="preserve">A </w:t>
      </w:r>
      <w:r w:rsidR="005208D0" w:rsidRPr="00F525D7">
        <w:rPr>
          <w:rFonts w:ascii="Arial" w:hAnsi="Arial" w:cs="Arial"/>
          <w:sz w:val="20"/>
          <w:szCs w:val="20"/>
        </w:rPr>
        <w:t>continuación,</w:t>
      </w:r>
      <w:r w:rsidRPr="00F525D7">
        <w:rPr>
          <w:rFonts w:ascii="Arial" w:hAnsi="Arial" w:cs="Arial"/>
          <w:sz w:val="20"/>
          <w:szCs w:val="20"/>
        </w:rPr>
        <w:t xml:space="preserve"> se presentan los Postulados Básicos de Contabilidad Gubernamental (PBCG) aplicados por la Entidad:</w:t>
      </w:r>
    </w:p>
    <w:p w14:paraId="5CC2C8E8"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Sustancia económica.</w:t>
      </w:r>
    </w:p>
    <w:p w14:paraId="37A260F2"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Entes públicos.</w:t>
      </w:r>
    </w:p>
    <w:p w14:paraId="6B6DF6A2"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Existencia permanente.</w:t>
      </w:r>
    </w:p>
    <w:p w14:paraId="749B9311"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Revelación suficiente.</w:t>
      </w:r>
    </w:p>
    <w:p w14:paraId="0F65FAE0"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Importancia relativa.</w:t>
      </w:r>
    </w:p>
    <w:p w14:paraId="5656150D"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Registro e integración presupuestaria.</w:t>
      </w:r>
    </w:p>
    <w:p w14:paraId="3F727DF9"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Consolidación de la información financiera.</w:t>
      </w:r>
    </w:p>
    <w:p w14:paraId="265782AA"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Devengo contable.</w:t>
      </w:r>
    </w:p>
    <w:p w14:paraId="063C78FF"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Valuación.</w:t>
      </w:r>
    </w:p>
    <w:p w14:paraId="58FA7BD1"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Dualidad económica.</w:t>
      </w:r>
    </w:p>
    <w:p w14:paraId="1C6CEF13" w14:textId="77777777" w:rsidR="007D1E76" w:rsidRPr="00F525D7" w:rsidRDefault="006745FE" w:rsidP="006745FE">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w:t>
      </w:r>
      <w:r w:rsidR="00F525D7">
        <w:rPr>
          <w:rFonts w:ascii="Arial" w:hAnsi="Arial" w:cs="Arial"/>
          <w:sz w:val="20"/>
          <w:szCs w:val="20"/>
        </w:rPr>
        <w:t xml:space="preserve"> </w:t>
      </w:r>
      <w:r w:rsidRPr="00F525D7">
        <w:rPr>
          <w:rFonts w:ascii="Arial" w:hAnsi="Arial" w:cs="Arial"/>
          <w:sz w:val="20"/>
          <w:szCs w:val="20"/>
        </w:rPr>
        <w:t>Consistencia.</w:t>
      </w:r>
    </w:p>
    <w:p w14:paraId="1A1C5FD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D951D2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8B8860"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Normas de Información Financiera (NIF), emitidas por el Consejo Mexicano de Normas de Información Financiera (CINIF).</w:t>
      </w:r>
    </w:p>
    <w:p w14:paraId="3FFBC1B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843404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Para las entidades que por primera vez estén implementando </w:t>
      </w:r>
      <w:r w:rsidR="005208D0" w:rsidRPr="00F525D7">
        <w:rPr>
          <w:rFonts w:ascii="Arial" w:hAnsi="Arial" w:cs="Arial"/>
          <w:sz w:val="20"/>
          <w:szCs w:val="20"/>
        </w:rPr>
        <w:t>la base devengada</w:t>
      </w:r>
      <w:r w:rsidRPr="00F525D7">
        <w:rPr>
          <w:rFonts w:ascii="Arial" w:hAnsi="Arial" w:cs="Arial"/>
          <w:sz w:val="20"/>
          <w:szCs w:val="20"/>
        </w:rPr>
        <w:t xml:space="preserve"> </w:t>
      </w:r>
      <w:proofErr w:type="gramStart"/>
      <w:r w:rsidRPr="00F525D7">
        <w:rPr>
          <w:rFonts w:ascii="Arial" w:hAnsi="Arial" w:cs="Arial"/>
          <w:sz w:val="20"/>
          <w:szCs w:val="20"/>
        </w:rPr>
        <w:t>de acuerdo a</w:t>
      </w:r>
      <w:proofErr w:type="gramEnd"/>
      <w:r w:rsidRPr="00F525D7">
        <w:rPr>
          <w:rFonts w:ascii="Arial" w:hAnsi="Arial" w:cs="Arial"/>
          <w:sz w:val="20"/>
          <w:szCs w:val="20"/>
        </w:rPr>
        <w:t xml:space="preserve"> la Ley de Contabilidad, deberán:</w:t>
      </w:r>
    </w:p>
    <w:p w14:paraId="0704CEF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E857D6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*Revelar las nuevas políticas de reconocimiento:</w:t>
      </w:r>
    </w:p>
    <w:p w14:paraId="42299D4F"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184A9F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978CFB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*Plan de implementación:</w:t>
      </w:r>
    </w:p>
    <w:p w14:paraId="5AC512F7"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575811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7E7519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*Revelar los cambios en las políticas, la clasificación y medición de </w:t>
      </w:r>
      <w:proofErr w:type="gramStart"/>
      <w:r w:rsidRPr="00F525D7">
        <w:rPr>
          <w:rFonts w:ascii="Arial" w:hAnsi="Arial" w:cs="Arial"/>
          <w:sz w:val="20"/>
          <w:szCs w:val="20"/>
        </w:rPr>
        <w:t>las mismas</w:t>
      </w:r>
      <w:proofErr w:type="gramEnd"/>
      <w:r w:rsidRPr="00F525D7">
        <w:rPr>
          <w:rFonts w:ascii="Arial" w:hAnsi="Arial" w:cs="Arial"/>
          <w:sz w:val="20"/>
          <w:szCs w:val="20"/>
        </w:rPr>
        <w:t>, así como su impacto en la información financiera:</w:t>
      </w:r>
    </w:p>
    <w:p w14:paraId="2032B53A"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45F269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1587BB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A8F2E45" w14:textId="77777777" w:rsidR="007D1E76" w:rsidRPr="00F525D7" w:rsidRDefault="007675C0" w:rsidP="000C3365">
      <w:pPr>
        <w:pStyle w:val="Ttulo2"/>
        <w:rPr>
          <w:rFonts w:ascii="Arial" w:hAnsi="Arial" w:cs="Arial"/>
          <w:b/>
          <w:sz w:val="20"/>
          <w:szCs w:val="20"/>
        </w:rPr>
      </w:pPr>
      <w:bookmarkStart w:id="5" w:name="_Toc136601511"/>
      <w:r>
        <w:rPr>
          <w:rFonts w:ascii="Arial" w:hAnsi="Arial" w:cs="Arial"/>
          <w:b/>
          <w:color w:val="auto"/>
          <w:sz w:val="20"/>
          <w:szCs w:val="20"/>
        </w:rPr>
        <w:t>5</w:t>
      </w:r>
      <w:r w:rsidR="007D1E76" w:rsidRPr="00F525D7">
        <w:rPr>
          <w:rFonts w:ascii="Arial" w:hAnsi="Arial" w:cs="Arial"/>
          <w:b/>
          <w:color w:val="auto"/>
          <w:sz w:val="20"/>
          <w:szCs w:val="20"/>
        </w:rPr>
        <w:t>. Políticas de</w:t>
      </w:r>
      <w:r w:rsidR="00E00323" w:rsidRPr="00F525D7">
        <w:rPr>
          <w:rFonts w:ascii="Arial" w:hAnsi="Arial" w:cs="Arial"/>
          <w:b/>
          <w:color w:val="auto"/>
          <w:sz w:val="20"/>
          <w:szCs w:val="20"/>
        </w:rPr>
        <w:t xml:space="preserve"> Contabilidad Significativas:</w:t>
      </w:r>
      <w:bookmarkEnd w:id="5"/>
    </w:p>
    <w:p w14:paraId="01EEBA2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E69112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5FC4304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47E0C1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Actualización: se informará del método utilizado para la actualización del valor de los activos, pasivos y Hacienda Pública/</w:t>
      </w:r>
      <w:r w:rsidR="00657009" w:rsidRPr="00F525D7">
        <w:rPr>
          <w:rFonts w:ascii="Arial" w:hAnsi="Arial" w:cs="Arial"/>
          <w:sz w:val="20"/>
          <w:szCs w:val="20"/>
        </w:rPr>
        <w:t>P</w:t>
      </w:r>
      <w:r w:rsidRPr="00F525D7">
        <w:rPr>
          <w:rFonts w:ascii="Arial" w:hAnsi="Arial" w:cs="Arial"/>
          <w:sz w:val="20"/>
          <w:szCs w:val="20"/>
        </w:rPr>
        <w:t>atrimonio y las razones de dicha elección. Así como informar de la desconexión o reconexión inflacionaria:</w:t>
      </w:r>
    </w:p>
    <w:p w14:paraId="72A2631C"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A </w:t>
      </w:r>
      <w:r w:rsidR="005208D0" w:rsidRPr="00F525D7">
        <w:rPr>
          <w:rFonts w:ascii="Arial" w:hAnsi="Arial" w:cs="Arial"/>
          <w:sz w:val="20"/>
          <w:szCs w:val="20"/>
        </w:rPr>
        <w:t>continuación,</w:t>
      </w:r>
      <w:r w:rsidRPr="00F525D7">
        <w:rPr>
          <w:rFonts w:ascii="Arial" w:hAnsi="Arial" w:cs="Arial"/>
          <w:sz w:val="20"/>
          <w:szCs w:val="20"/>
        </w:rPr>
        <w:t xml:space="preserve"> se describen las políticas y prácticas contables seguidas de manera consistente por la Entidad en los años que se presentan, a menos que se especifique lo contrario.</w:t>
      </w:r>
    </w:p>
    <w:p w14:paraId="5AC10F1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El Marco Conceptual de Contabilidad Gubernamental requiere el uso de ciertas estimaciones contables en la preparación de estados financieros. Asimismo, se requiere el ejercicio de un juicio de parte de la Administración en el proceso de definición de las políticas de contabilidad de la Entidad.</w:t>
      </w:r>
    </w:p>
    <w:p w14:paraId="3B6C26F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p>
    <w:p w14:paraId="3F1EB9A0"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lastRenderedPageBreak/>
        <w:t>a. Efectivo y equivalentes de efectivo:</w:t>
      </w:r>
    </w:p>
    <w:p w14:paraId="18C4134F"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Las inversiones financieras que tienen un plazo de vencimiento de hasta 91 días, son clasificadas como inversiones temporales; aquellas inversiones con plazo de vencimiento de 92 días hasta un </w:t>
      </w:r>
      <w:proofErr w:type="gramStart"/>
      <w:r w:rsidRPr="00F525D7">
        <w:rPr>
          <w:rFonts w:ascii="Arial" w:hAnsi="Arial" w:cs="Arial"/>
          <w:sz w:val="20"/>
          <w:szCs w:val="20"/>
        </w:rPr>
        <w:t>año,</w:t>
      </w:r>
      <w:proofErr w:type="gramEnd"/>
      <w:r w:rsidRPr="00F525D7">
        <w:rPr>
          <w:rFonts w:ascii="Arial" w:hAnsi="Arial" w:cs="Arial"/>
          <w:sz w:val="20"/>
          <w:szCs w:val="20"/>
        </w:rPr>
        <w:t xml:space="preserve"> son clasificadas como inversiones de corto plazo. Tanto las inversiones temporales como las de corto plazo se presentan en el activo circulante. Las inversiones con plazo de vencimiento mayor a un año se presentan dentro del activo no circulante.</w:t>
      </w:r>
    </w:p>
    <w:p w14:paraId="35256B8E"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779C06B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b. Cuentas por cobrar:</w:t>
      </w:r>
    </w:p>
    <w:p w14:paraId="37BA9C68"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Las cuentas por cobrar representan importes adeudados por clientes y son originadas por intereses sobre préstamos colocados, en el curso normal de las operaciones de la Entidad. Cuando se espera cobrarlas en un período de un año o menos desde la fecha de cierre (o en el ciclo normal de sus operaciones en el caso que este ciclo exceda este periodo), se presentan como activo circulante. En caso de no cumplir con lo anteriormente mencionado se presentan como activos no circulantes. Las otras cuentas por cobrar representan importes originados por otros ingresos diferentes a los intereses sobre préstamos colocados, en el curso normal de las operaciones de la Entidad; las cuales se espera cobrar en un periodo de un año o menos desde la fecha de cierre (o en el ciclo normal de operaciones de la Entidad en el caso que este ciclo exceda este periodo), se presentan como activo circulante. En caso de no cumplir con lo anteriormente mencionado se presentan como activos no circulantes. Las cuentas por cobrar se reconocen inicialmente a su valor razonable menos la reserva por incobrabilidad, en caso de corresponder.</w:t>
      </w:r>
    </w:p>
    <w:p w14:paraId="0D0F1A6D" w14:textId="77777777" w:rsidR="00A84C72" w:rsidRDefault="00A84C72" w:rsidP="007B11FB">
      <w:pPr>
        <w:autoSpaceDE w:val="0"/>
        <w:autoSpaceDN w:val="0"/>
        <w:adjustRightInd w:val="0"/>
        <w:spacing w:after="0" w:line="240" w:lineRule="auto"/>
        <w:jc w:val="both"/>
        <w:rPr>
          <w:rFonts w:ascii="Arial" w:hAnsi="Arial" w:cs="Arial"/>
          <w:sz w:val="20"/>
          <w:szCs w:val="20"/>
        </w:rPr>
      </w:pPr>
    </w:p>
    <w:p w14:paraId="17757681" w14:textId="77777777" w:rsidR="00F525D7" w:rsidRPr="00F525D7" w:rsidRDefault="00F525D7" w:rsidP="007B11FB">
      <w:pPr>
        <w:autoSpaceDE w:val="0"/>
        <w:autoSpaceDN w:val="0"/>
        <w:adjustRightInd w:val="0"/>
        <w:spacing w:after="0" w:line="240" w:lineRule="auto"/>
        <w:jc w:val="both"/>
        <w:rPr>
          <w:rFonts w:ascii="Arial" w:hAnsi="Arial" w:cs="Arial"/>
          <w:sz w:val="20"/>
          <w:szCs w:val="20"/>
        </w:rPr>
      </w:pPr>
    </w:p>
    <w:p w14:paraId="1050017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c. Préstamos otorgados:</w:t>
      </w:r>
    </w:p>
    <w:p w14:paraId="6854FA7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Dichos préstamos se registran en el momento en que se otorgan. Los intereses por devengar de los préstamos otorgados se reconocen en los resultados conforme se devengan. Los préstamos, se presentan </w:t>
      </w:r>
      <w:proofErr w:type="gramStart"/>
      <w:r w:rsidRPr="00F525D7">
        <w:rPr>
          <w:rFonts w:ascii="Arial" w:hAnsi="Arial" w:cs="Arial"/>
          <w:sz w:val="20"/>
          <w:szCs w:val="20"/>
        </w:rPr>
        <w:t>de acuerdo a</w:t>
      </w:r>
      <w:proofErr w:type="gramEnd"/>
      <w:r w:rsidRPr="00F525D7">
        <w:rPr>
          <w:rFonts w:ascii="Arial" w:hAnsi="Arial" w:cs="Arial"/>
          <w:sz w:val="20"/>
          <w:szCs w:val="20"/>
        </w:rPr>
        <w:t xml:space="preserve"> su plazo de recuperación, dentro del activo circulante se muestran aquellos cuyo vencimiento está dentro de los 12 meses posteriores al cierre del ejercicio, en tanto que en el activo no circulante se presentan aquellos préstamos que exceden del plazo antes mencionado.</w:t>
      </w:r>
    </w:p>
    <w:p w14:paraId="1F195E9B"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2B4F1CB4"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d. Pagos anticipados:</w:t>
      </w:r>
    </w:p>
    <w:p w14:paraId="150CE84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Los pagos anticipados representan aquellas erogaciones efectuadas por la Entidad en donde no han sido transferidos los beneficios y riesgos inherentes a los bienes que está por adquirir o a los servicios que está por recibir. Los pagos anticipados se registran a su costo y se presentan en el estado de situación financiera como activos circulantes o no circulantes, dependiendo del rubro de la partida de destino. Una vez recibidos los bienes y/o servicios, relativos a los pagos anticipados, estos deben reconocerse como un activo o como un gasto en el estado de actividades del periodo, respectivamente.</w:t>
      </w:r>
    </w:p>
    <w:p w14:paraId="2B38B3AE" w14:textId="77777777" w:rsidR="00136C10" w:rsidRPr="00F525D7" w:rsidRDefault="00136C10" w:rsidP="007B11FB">
      <w:pPr>
        <w:autoSpaceDE w:val="0"/>
        <w:autoSpaceDN w:val="0"/>
        <w:adjustRightInd w:val="0"/>
        <w:spacing w:after="0" w:line="240" w:lineRule="auto"/>
        <w:jc w:val="both"/>
        <w:rPr>
          <w:rFonts w:ascii="Arial" w:hAnsi="Arial" w:cs="Arial"/>
          <w:sz w:val="20"/>
          <w:szCs w:val="20"/>
        </w:rPr>
      </w:pPr>
    </w:p>
    <w:p w14:paraId="3951EEA8"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 Bienes muebles:</w:t>
      </w:r>
    </w:p>
    <w:p w14:paraId="173D71B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Los bienes muebles, se expresan a su costo de adquisición (histórico). La depreciación se calcula por el método de línea recta con base en las vidas útiles de los activos y porcentajes de </w:t>
      </w:r>
      <w:r w:rsidR="005208D0" w:rsidRPr="00F525D7">
        <w:rPr>
          <w:rFonts w:ascii="Arial" w:hAnsi="Arial" w:cs="Arial"/>
          <w:sz w:val="20"/>
          <w:szCs w:val="20"/>
        </w:rPr>
        <w:t>depreciación, aplicadas</w:t>
      </w:r>
      <w:r w:rsidRPr="00F525D7">
        <w:rPr>
          <w:rFonts w:ascii="Arial" w:hAnsi="Arial" w:cs="Arial"/>
          <w:sz w:val="20"/>
          <w:szCs w:val="20"/>
        </w:rPr>
        <w:t xml:space="preserve"> a los valores de los bienes muebles.</w:t>
      </w:r>
    </w:p>
    <w:p w14:paraId="2B3FFBF4"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0B1994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f. Bienes adjudicados:</w:t>
      </w:r>
    </w:p>
    <w:p w14:paraId="485135B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Los bienes adjudicados que se conforman de bienes </w:t>
      </w:r>
      <w:proofErr w:type="gramStart"/>
      <w:r w:rsidRPr="00F525D7">
        <w:rPr>
          <w:rFonts w:ascii="Arial" w:hAnsi="Arial" w:cs="Arial"/>
          <w:sz w:val="20"/>
          <w:szCs w:val="20"/>
        </w:rPr>
        <w:t>inmuebles,</w:t>
      </w:r>
      <w:proofErr w:type="gramEnd"/>
      <w:r w:rsidRPr="00F525D7">
        <w:rPr>
          <w:rFonts w:ascii="Arial" w:hAnsi="Arial" w:cs="Arial"/>
          <w:sz w:val="20"/>
          <w:szCs w:val="20"/>
        </w:rPr>
        <w:t xml:space="preserve"> se expresan a su costo de mercado, el cual es determinado mediante avalúo, al momento de su adjudicación.</w:t>
      </w:r>
    </w:p>
    <w:p w14:paraId="6E879FC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Los bienes inmuebles, deben ser sometidos a pruebas anuales de deterioro únicamente, cuando se identifican indicios de deterioro. </w:t>
      </w:r>
    </w:p>
    <w:p w14:paraId="64096264"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710931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g. Provisiones:</w:t>
      </w:r>
    </w:p>
    <w:p w14:paraId="31E7770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 Estas provisiones se han registrado bajo la mejor estimación realizada por la Administración.</w:t>
      </w:r>
    </w:p>
    <w:p w14:paraId="17CE1EB0"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97C02E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lastRenderedPageBreak/>
        <w:t>h. Beneficios a los empleados:</w:t>
      </w:r>
    </w:p>
    <w:p w14:paraId="058938C2"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 Entidad no tiene planes de beneficios a los empleados de contribución definida, con excepción de las requeridas por las leyes de seguridad social. Los beneficios directos a corto y largo plazos (sueldos, salarios, aguinaldos, vacaciones y primas sobre las mismas, etc.) se reconocen en los gastos conforme se devengan y sus pasivos se expresan a su valor nominal. En el caso de ausencias retribuidas conforme a las disposiciones legales o contractuales, estas no son acumulativas. Los beneficios por terminación de la relación laboral por causas distintas a la reestructura (indemnizaciones legales por despido, prima de antigüedad por las causas de muerte, invalidez, despido y separación voluntaria antes de la fecha de jubilación o de retiro sustitutivo de jubilación, gratificaciones adicionales, y servicios médicos, etc.), son registrados con base en estudios realizados por el personal de la Entidad.</w:t>
      </w:r>
    </w:p>
    <w:p w14:paraId="7C532B36"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1DADB46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i. Reconocimiento de ingresos:</w:t>
      </w:r>
    </w:p>
    <w:p w14:paraId="2BEF6C2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Los ingresos por las actividades del FOGIM se reconocen en el resultado del ejercicio cuando se cumple lo siguiente:</w:t>
      </w:r>
    </w:p>
    <w:p w14:paraId="1B15C521"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007B11FB" w:rsidRPr="00F525D7">
        <w:rPr>
          <w:rFonts w:ascii="Arial" w:hAnsi="Arial" w:cs="Arial"/>
          <w:sz w:val="20"/>
          <w:szCs w:val="20"/>
        </w:rPr>
        <w:t>) Los ingresos por transferencias y aportaciones se reconocen en el momento en que se reciben y/o se devengan.</w:t>
      </w:r>
    </w:p>
    <w:p w14:paraId="2D38411B"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ll</w:t>
      </w:r>
      <w:r w:rsidR="007B11FB" w:rsidRPr="00F525D7">
        <w:rPr>
          <w:rFonts w:ascii="Arial" w:hAnsi="Arial" w:cs="Arial"/>
          <w:sz w:val="20"/>
          <w:szCs w:val="20"/>
        </w:rPr>
        <w:t>) La ganancia en inversiones temporales, se reconocen cuando se devengan.</w:t>
      </w:r>
    </w:p>
    <w:p w14:paraId="62267289"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lll</w:t>
      </w:r>
      <w:proofErr w:type="spellEnd"/>
      <w:r w:rsidR="007B11FB" w:rsidRPr="00F525D7">
        <w:rPr>
          <w:rFonts w:ascii="Arial" w:hAnsi="Arial" w:cs="Arial"/>
          <w:sz w:val="20"/>
          <w:szCs w:val="20"/>
        </w:rPr>
        <w:t xml:space="preserve">) Los ingresos por intereses se reconocen en el momento en que se devengan </w:t>
      </w:r>
      <w:proofErr w:type="gramStart"/>
      <w:r w:rsidR="007B11FB" w:rsidRPr="00F525D7">
        <w:rPr>
          <w:rFonts w:ascii="Arial" w:hAnsi="Arial" w:cs="Arial"/>
          <w:sz w:val="20"/>
          <w:szCs w:val="20"/>
        </w:rPr>
        <w:t>de acuerdo a</w:t>
      </w:r>
      <w:proofErr w:type="gramEnd"/>
      <w:r w:rsidR="007B11FB" w:rsidRPr="00F525D7">
        <w:rPr>
          <w:rFonts w:ascii="Arial" w:hAnsi="Arial" w:cs="Arial"/>
          <w:sz w:val="20"/>
          <w:szCs w:val="20"/>
        </w:rPr>
        <w:t xml:space="preserve"> los contratos respectivos.</w:t>
      </w:r>
    </w:p>
    <w:p w14:paraId="7804E7C7" w14:textId="77777777" w:rsidR="00A84C72" w:rsidRDefault="00A84C72" w:rsidP="007B11FB">
      <w:pPr>
        <w:autoSpaceDE w:val="0"/>
        <w:autoSpaceDN w:val="0"/>
        <w:adjustRightInd w:val="0"/>
        <w:spacing w:after="0" w:line="240" w:lineRule="auto"/>
        <w:jc w:val="both"/>
        <w:rPr>
          <w:rFonts w:ascii="Arial" w:hAnsi="Arial" w:cs="Arial"/>
          <w:sz w:val="20"/>
          <w:szCs w:val="20"/>
        </w:rPr>
      </w:pPr>
    </w:p>
    <w:p w14:paraId="6F3CC0B7" w14:textId="77777777" w:rsidR="00F525D7" w:rsidRPr="00F525D7" w:rsidRDefault="00F525D7" w:rsidP="007B11FB">
      <w:pPr>
        <w:autoSpaceDE w:val="0"/>
        <w:autoSpaceDN w:val="0"/>
        <w:adjustRightInd w:val="0"/>
        <w:spacing w:after="0" w:line="240" w:lineRule="auto"/>
        <w:jc w:val="both"/>
        <w:rPr>
          <w:rFonts w:ascii="Arial" w:hAnsi="Arial" w:cs="Arial"/>
          <w:sz w:val="20"/>
          <w:szCs w:val="20"/>
        </w:rPr>
      </w:pPr>
    </w:p>
    <w:p w14:paraId="08BA1D6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j. Otras estimaciones para ingresos:</w:t>
      </w:r>
    </w:p>
    <w:p w14:paraId="6706A1B4"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w:t>
      </w:r>
    </w:p>
    <w:p w14:paraId="04765375"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4A6C538B"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k. Cuentas de orden:</w:t>
      </w:r>
    </w:p>
    <w:p w14:paraId="38CDE37F"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La Entidad lleva el control de las cuentas de orden </w:t>
      </w:r>
      <w:proofErr w:type="gramStart"/>
      <w:r w:rsidRPr="00F525D7">
        <w:rPr>
          <w:rFonts w:ascii="Arial" w:hAnsi="Arial" w:cs="Arial"/>
          <w:sz w:val="20"/>
          <w:szCs w:val="20"/>
        </w:rPr>
        <w:t>de acuerdo a</w:t>
      </w:r>
      <w:proofErr w:type="gramEnd"/>
      <w:r w:rsidRPr="00F525D7">
        <w:rPr>
          <w:rFonts w:ascii="Arial" w:hAnsi="Arial" w:cs="Arial"/>
          <w:sz w:val="20"/>
          <w:szCs w:val="20"/>
        </w:rPr>
        <w:t xml:space="preserve"> conceptos particulares de su operación.</w:t>
      </w:r>
    </w:p>
    <w:p w14:paraId="4D9D5D7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917B8B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Informar sobre la realización de operaciones en el extranjero y de sus efectos en la información financiera gubernamental:</w:t>
      </w:r>
    </w:p>
    <w:p w14:paraId="0E16CC9B"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BB414A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68902F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Método de valuación de la inversión en acciones de Compañías subsidiarias no consolidadas y asociadas:</w:t>
      </w:r>
    </w:p>
    <w:p w14:paraId="31429AD6"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33AE1E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4FA274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Sistema y método de valuación de inventarios y costo de lo vendido:</w:t>
      </w:r>
    </w:p>
    <w:p w14:paraId="6BC28585"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089234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81AF3E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D0B6C43" w14:textId="77777777" w:rsidR="00006FCA" w:rsidRDefault="00006FCA" w:rsidP="007B11FB">
      <w:pPr>
        <w:autoSpaceDE w:val="0"/>
        <w:autoSpaceDN w:val="0"/>
        <w:adjustRightInd w:val="0"/>
        <w:spacing w:after="0" w:line="240" w:lineRule="auto"/>
        <w:jc w:val="both"/>
        <w:rPr>
          <w:rFonts w:ascii="Arial" w:hAnsi="Arial" w:cs="Arial"/>
          <w:sz w:val="20"/>
          <w:szCs w:val="20"/>
        </w:rPr>
      </w:pPr>
    </w:p>
    <w:p w14:paraId="4A451889"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El valor presente de las obligaciones por pensiones depende de un número de premisas que se determinan sobre bases legales por despido, utilizando varios supuestos. Cualquier cambio a estos supuestos afectaría el pasivo reconocido.</w:t>
      </w:r>
    </w:p>
    <w:p w14:paraId="57CB239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p>
    <w:p w14:paraId="2720962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Al cierre de cada mes se calcula sobre la base de finiquitar a cada empleado, base en el establecido en la</w:t>
      </w:r>
    </w:p>
    <w:p w14:paraId="282CD7D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Ley Federal del Trabajo, determinado sobre la base del sueldo por los días trabajados, lo siguiente:</w:t>
      </w:r>
    </w:p>
    <w:p w14:paraId="5B60469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Aguinaldo 45 días por año</w:t>
      </w:r>
    </w:p>
    <w:p w14:paraId="1781DF2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Prima de antigüedad 12 días por año</w:t>
      </w:r>
    </w:p>
    <w:p w14:paraId="6C59FCFB"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Indemnización 3 meses</w:t>
      </w:r>
    </w:p>
    <w:p w14:paraId="534B1D0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Vacaciones 20 días por año</w:t>
      </w:r>
    </w:p>
    <w:p w14:paraId="03A54221"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Prima Vacacional 25% sobre el total de las percepciones otorgadas.</w:t>
      </w:r>
    </w:p>
    <w:p w14:paraId="75E6A26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F084D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Provisiones: objetivo de su creación, monto y plazo:</w:t>
      </w:r>
    </w:p>
    <w:p w14:paraId="4525BE1E" w14:textId="77777777" w:rsidR="00A06826" w:rsidRDefault="00A06826" w:rsidP="00CB41C4">
      <w:pPr>
        <w:tabs>
          <w:tab w:val="left" w:leader="underscore" w:pos="9639"/>
        </w:tabs>
        <w:spacing w:after="0" w:line="240" w:lineRule="auto"/>
        <w:jc w:val="both"/>
        <w:rPr>
          <w:rFonts w:ascii="Arial" w:hAnsi="Arial" w:cs="Arial"/>
          <w:sz w:val="20"/>
          <w:szCs w:val="20"/>
          <w:lang w:eastAsia="es-MX"/>
        </w:rPr>
      </w:pPr>
    </w:p>
    <w:p w14:paraId="53FB68B4"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w:t>
      </w:r>
    </w:p>
    <w:p w14:paraId="6EEC992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5BB7BB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Reservas: objetivo de su creación, monto y plazo:</w:t>
      </w:r>
    </w:p>
    <w:p w14:paraId="0486686A" w14:textId="77777777" w:rsidR="00A06826" w:rsidRDefault="00A06826" w:rsidP="007B11FB">
      <w:pPr>
        <w:jc w:val="both"/>
        <w:rPr>
          <w:rFonts w:ascii="Arial" w:hAnsi="Arial" w:cs="Arial"/>
          <w:sz w:val="20"/>
          <w:szCs w:val="20"/>
          <w:lang w:eastAsia="es-MX"/>
        </w:rPr>
      </w:pPr>
    </w:p>
    <w:p w14:paraId="336055D1" w14:textId="77777777" w:rsidR="007B11FB" w:rsidRPr="00F525D7" w:rsidRDefault="007B11FB" w:rsidP="007B11FB">
      <w:pPr>
        <w:jc w:val="both"/>
        <w:rPr>
          <w:rFonts w:ascii="Arial" w:hAnsi="Arial" w:cs="Arial"/>
          <w:sz w:val="20"/>
          <w:szCs w:val="20"/>
          <w:lang w:eastAsia="es-MX"/>
        </w:rPr>
      </w:pPr>
      <w:r w:rsidRPr="00F525D7">
        <w:rPr>
          <w:rFonts w:ascii="Arial" w:hAnsi="Arial" w:cs="Arial"/>
          <w:sz w:val="20"/>
          <w:szCs w:val="20"/>
          <w:lang w:eastAsia="es-MX"/>
        </w:rPr>
        <w:t xml:space="preserve">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 </w:t>
      </w:r>
      <w:r w:rsidRPr="00F525D7">
        <w:rPr>
          <w:rFonts w:ascii="Arial" w:hAnsi="Arial" w:cs="Arial"/>
          <w:sz w:val="20"/>
          <w:szCs w:val="20"/>
        </w:rPr>
        <w:t>La estimación citada, corresponde únicamente a la porción del principal e intereses vencidos, la cual se determina únicamente una vez al año a través de la calificación de la cartera conforme a la metodología autorizada por el Comité Técnico.</w:t>
      </w:r>
      <w:r w:rsidRPr="00F525D7">
        <w:rPr>
          <w:rFonts w:ascii="Arial" w:hAnsi="Arial" w:cs="Arial"/>
          <w:sz w:val="20"/>
          <w:szCs w:val="20"/>
          <w:lang w:eastAsia="es-MX"/>
        </w:rPr>
        <w:t xml:space="preserve"> </w:t>
      </w:r>
      <w:r w:rsidRPr="00F525D7">
        <w:rPr>
          <w:rFonts w:ascii="Arial" w:hAnsi="Arial" w:cs="Arial"/>
          <w:sz w:val="20"/>
          <w:szCs w:val="20"/>
        </w:rPr>
        <w:t>La calificación de cartera crediticia tiene como objetivo el determinar la calidad de los activos de crédito y su grado de recuperación, para a su vez determinar las reservas que deberán constituirse y contra las cuales se deberán aplicar los créditos irrecuperables, o las pérdidas derivadas de la falta de recuperación total de los mismos.</w:t>
      </w:r>
    </w:p>
    <w:p w14:paraId="11C90C52" w14:textId="77777777" w:rsidR="007B11FB" w:rsidRPr="00F525D7" w:rsidRDefault="007B11FB" w:rsidP="007B11FB">
      <w:pPr>
        <w:widowControl w:val="0"/>
        <w:tabs>
          <w:tab w:val="left" w:pos="1701"/>
        </w:tabs>
        <w:jc w:val="both"/>
        <w:rPr>
          <w:rFonts w:ascii="Arial" w:hAnsi="Arial" w:cs="Arial"/>
          <w:sz w:val="20"/>
          <w:szCs w:val="20"/>
        </w:rPr>
      </w:pPr>
      <w:r w:rsidRPr="00F525D7">
        <w:rPr>
          <w:rFonts w:ascii="Arial" w:hAnsi="Arial" w:cs="Arial"/>
          <w:sz w:val="20"/>
          <w:szCs w:val="20"/>
        </w:rPr>
        <w:tab/>
        <w:t>La metodología de calificación de cartera autorizada por el Comité Técnico consiste en las siguientes bases:</w:t>
      </w:r>
    </w:p>
    <w:p w14:paraId="68EA4DA6" w14:textId="77777777" w:rsidR="007B11FB" w:rsidRPr="00F525D7" w:rsidRDefault="007B11FB" w:rsidP="007B11FB">
      <w:pPr>
        <w:numPr>
          <w:ilvl w:val="0"/>
          <w:numId w:val="4"/>
        </w:numPr>
        <w:spacing w:after="0" w:line="240" w:lineRule="auto"/>
        <w:ind w:left="0" w:right="51" w:firstLine="0"/>
        <w:jc w:val="both"/>
        <w:rPr>
          <w:rFonts w:ascii="Arial" w:hAnsi="Arial" w:cs="Arial"/>
          <w:b/>
          <w:bCs/>
          <w:i/>
          <w:sz w:val="20"/>
          <w:szCs w:val="20"/>
        </w:rPr>
      </w:pPr>
      <w:r w:rsidRPr="00F525D7">
        <w:rPr>
          <w:rFonts w:ascii="Arial" w:hAnsi="Arial" w:cs="Arial"/>
          <w:b/>
          <w:bCs/>
          <w:i/>
          <w:sz w:val="20"/>
          <w:szCs w:val="20"/>
        </w:rPr>
        <w:t>Estratificación de la cartera</w:t>
      </w:r>
      <w:r w:rsidRPr="00F525D7">
        <w:rPr>
          <w:rFonts w:ascii="Arial" w:hAnsi="Arial" w:cs="Arial"/>
          <w:bCs/>
          <w:i/>
          <w:sz w:val="20"/>
          <w:szCs w:val="20"/>
        </w:rPr>
        <w:t xml:space="preserve"> -</w:t>
      </w:r>
      <w:r w:rsidRPr="00F525D7">
        <w:rPr>
          <w:rFonts w:ascii="Arial" w:hAnsi="Arial" w:cs="Arial"/>
          <w:b/>
          <w:bCs/>
          <w:i/>
          <w:sz w:val="20"/>
          <w:szCs w:val="20"/>
        </w:rPr>
        <w:t xml:space="preserve"> </w:t>
      </w:r>
      <w:r w:rsidRPr="00F525D7">
        <w:rPr>
          <w:rFonts w:ascii="Arial" w:hAnsi="Arial" w:cs="Arial"/>
          <w:sz w:val="20"/>
          <w:szCs w:val="20"/>
        </w:rPr>
        <w:t>Se estratificará la totalidad de la cartera en función al número de períodos que reporten incumplimiento de pago total o parcial a la fecha de la calificación, utilizando los datos de por lo menos los doce meses anteriores a dicha fecha y en el caso de cartera nueva, los disponibles en el momento de la calificación clasificándola conforme a lo siguiente:</w:t>
      </w:r>
    </w:p>
    <w:p w14:paraId="7FB1CB6B" w14:textId="77777777" w:rsidR="007B11FB" w:rsidRPr="00F525D7" w:rsidRDefault="007B11FB" w:rsidP="007B11FB">
      <w:pPr>
        <w:widowControl w:val="0"/>
        <w:tabs>
          <w:tab w:val="left" w:pos="867"/>
          <w:tab w:val="left" w:pos="1276"/>
        </w:tabs>
        <w:jc w:val="both"/>
        <w:rPr>
          <w:rFonts w:ascii="Arial" w:hAnsi="Arial" w:cs="Arial"/>
          <w:sz w:val="20"/>
          <w:szCs w:val="20"/>
        </w:rPr>
      </w:pPr>
    </w:p>
    <w:p w14:paraId="62D5BA36" w14:textId="77777777" w:rsidR="007B11FB" w:rsidRPr="00F525D7"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b/>
          <w:bCs/>
          <w:sz w:val="20"/>
          <w:szCs w:val="20"/>
        </w:rPr>
        <w:t xml:space="preserve">Cartera sin garantía: </w:t>
      </w:r>
      <w:r w:rsidRPr="00F525D7">
        <w:rPr>
          <w:rFonts w:ascii="Arial" w:hAnsi="Arial" w:cs="Arial"/>
          <w:sz w:val="20"/>
          <w:szCs w:val="20"/>
        </w:rPr>
        <w:t xml:space="preserve">La Cartera Crediticia que no ha sido sujeta de una reestructuración como resultado del </w:t>
      </w:r>
      <w:proofErr w:type="spellStart"/>
      <w:r w:rsidRPr="00F525D7">
        <w:rPr>
          <w:rFonts w:ascii="Arial" w:hAnsi="Arial" w:cs="Arial"/>
          <w:sz w:val="20"/>
          <w:szCs w:val="20"/>
        </w:rPr>
        <w:t>emproblemamiento</w:t>
      </w:r>
      <w:proofErr w:type="spellEnd"/>
      <w:r w:rsidRPr="00F525D7">
        <w:rPr>
          <w:rFonts w:ascii="Arial" w:hAnsi="Arial" w:cs="Arial"/>
          <w:sz w:val="20"/>
          <w:szCs w:val="20"/>
        </w:rPr>
        <w:t xml:space="preserve"> de la misma, se provisionará con base en los porcentajes correspondientes de la columna que se identifica como "Créditos con reestructura", conforme </w:t>
      </w:r>
      <w:r w:rsidR="005208D0" w:rsidRPr="00F525D7">
        <w:rPr>
          <w:rFonts w:ascii="Arial" w:hAnsi="Arial" w:cs="Arial"/>
          <w:sz w:val="20"/>
          <w:szCs w:val="20"/>
        </w:rPr>
        <w:t>a la</w:t>
      </w:r>
      <w:r w:rsidRPr="00F525D7">
        <w:rPr>
          <w:rFonts w:ascii="Arial" w:hAnsi="Arial" w:cs="Arial"/>
          <w:sz w:val="20"/>
          <w:szCs w:val="20"/>
        </w:rPr>
        <w:t xml:space="preserve"> tabla prevista en el numeral II A de la metodología, en caso de no contar con reestructura se provisionará con base en los porcentajes de la columna que se identifica como “Créditos sin reestructura”.</w:t>
      </w:r>
    </w:p>
    <w:p w14:paraId="3C558AA6" w14:textId="77777777" w:rsidR="007B11FB" w:rsidRPr="00F525D7" w:rsidRDefault="007B11FB" w:rsidP="007B11FB">
      <w:pPr>
        <w:widowControl w:val="0"/>
        <w:tabs>
          <w:tab w:val="left" w:pos="867"/>
          <w:tab w:val="left" w:pos="1276"/>
        </w:tabs>
        <w:jc w:val="both"/>
        <w:rPr>
          <w:rFonts w:ascii="Arial" w:hAnsi="Arial" w:cs="Arial"/>
          <w:sz w:val="20"/>
          <w:szCs w:val="20"/>
        </w:rPr>
      </w:pPr>
    </w:p>
    <w:p w14:paraId="38B4E4C3" w14:textId="77777777" w:rsidR="007B11FB" w:rsidRPr="00F525D7"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b/>
          <w:bCs/>
          <w:sz w:val="20"/>
          <w:szCs w:val="20"/>
        </w:rPr>
        <w:t xml:space="preserve">Cartera con garantía: </w:t>
      </w:r>
      <w:r w:rsidRPr="00F525D7">
        <w:rPr>
          <w:rFonts w:ascii="Arial" w:hAnsi="Arial" w:cs="Arial"/>
          <w:sz w:val="20"/>
          <w:szCs w:val="20"/>
        </w:rPr>
        <w:t xml:space="preserve">La Cartera Crediticia que no ha sido sujeta de una reestructuración como resultado del </w:t>
      </w:r>
      <w:proofErr w:type="spellStart"/>
      <w:r w:rsidRPr="00F525D7">
        <w:rPr>
          <w:rFonts w:ascii="Arial" w:hAnsi="Arial" w:cs="Arial"/>
          <w:sz w:val="20"/>
          <w:szCs w:val="20"/>
        </w:rPr>
        <w:t>emproblemamiento</w:t>
      </w:r>
      <w:proofErr w:type="spellEnd"/>
      <w:r w:rsidRPr="00F525D7">
        <w:rPr>
          <w:rFonts w:ascii="Arial" w:hAnsi="Arial" w:cs="Arial"/>
          <w:sz w:val="20"/>
          <w:szCs w:val="20"/>
        </w:rPr>
        <w:t xml:space="preserve"> de la misma, se provisionará con base en los porcentajes correspondientes de la columna que se identifica como "Créditos con reestructura", conforme </w:t>
      </w:r>
      <w:r w:rsidR="005208D0" w:rsidRPr="00F525D7">
        <w:rPr>
          <w:rFonts w:ascii="Arial" w:hAnsi="Arial" w:cs="Arial"/>
          <w:sz w:val="20"/>
          <w:szCs w:val="20"/>
        </w:rPr>
        <w:t>a la</w:t>
      </w:r>
      <w:r w:rsidRPr="00F525D7">
        <w:rPr>
          <w:rFonts w:ascii="Arial" w:hAnsi="Arial" w:cs="Arial"/>
          <w:sz w:val="20"/>
          <w:szCs w:val="20"/>
        </w:rPr>
        <w:t xml:space="preserve"> tabla prevista en el numeral II B de la metodología, en caso de no contar con reestructura se provisionará con base en los porcentajes de la columna que se identifica como “Créditos sin reestructura”.</w:t>
      </w:r>
    </w:p>
    <w:p w14:paraId="0EB8DA3E" w14:textId="77777777" w:rsidR="00136C10" w:rsidRPr="00F525D7" w:rsidRDefault="00136C10" w:rsidP="00136C10">
      <w:pPr>
        <w:widowControl w:val="0"/>
        <w:tabs>
          <w:tab w:val="left" w:pos="867"/>
          <w:tab w:val="left" w:pos="1276"/>
        </w:tabs>
        <w:spacing w:after="0" w:line="240" w:lineRule="auto"/>
        <w:jc w:val="both"/>
        <w:rPr>
          <w:rFonts w:ascii="Arial" w:hAnsi="Arial" w:cs="Arial"/>
          <w:sz w:val="20"/>
          <w:szCs w:val="20"/>
        </w:rPr>
      </w:pPr>
    </w:p>
    <w:p w14:paraId="64994859" w14:textId="77777777" w:rsidR="007B11FB" w:rsidRPr="00F525D7" w:rsidRDefault="007B11FB" w:rsidP="007B11FB">
      <w:pPr>
        <w:widowControl w:val="0"/>
        <w:numPr>
          <w:ilvl w:val="0"/>
          <w:numId w:val="4"/>
        </w:numPr>
        <w:tabs>
          <w:tab w:val="left" w:pos="867"/>
          <w:tab w:val="left" w:pos="1276"/>
        </w:tabs>
        <w:spacing w:after="0" w:line="240" w:lineRule="auto"/>
        <w:ind w:left="0" w:firstLine="0"/>
        <w:jc w:val="both"/>
        <w:rPr>
          <w:rFonts w:ascii="Arial" w:hAnsi="Arial" w:cs="Arial"/>
          <w:b/>
          <w:bCs/>
          <w:i/>
          <w:sz w:val="20"/>
          <w:szCs w:val="20"/>
        </w:rPr>
      </w:pPr>
      <w:r w:rsidRPr="00F525D7">
        <w:rPr>
          <w:rFonts w:ascii="Arial" w:hAnsi="Arial" w:cs="Arial"/>
          <w:b/>
          <w:bCs/>
          <w:i/>
          <w:sz w:val="20"/>
          <w:szCs w:val="20"/>
        </w:rPr>
        <w:t xml:space="preserve">Porcentaje de reserva </w:t>
      </w:r>
      <w:r w:rsidRPr="00F525D7">
        <w:rPr>
          <w:rFonts w:ascii="Arial" w:hAnsi="Arial" w:cs="Arial"/>
          <w:bCs/>
          <w:i/>
          <w:sz w:val="20"/>
          <w:szCs w:val="20"/>
        </w:rPr>
        <w:t>-</w:t>
      </w:r>
      <w:r w:rsidRPr="00F525D7">
        <w:rPr>
          <w:rFonts w:ascii="Arial" w:hAnsi="Arial" w:cs="Arial"/>
          <w:b/>
          <w:bCs/>
          <w:i/>
          <w:sz w:val="20"/>
          <w:szCs w:val="20"/>
        </w:rPr>
        <w:t xml:space="preserve"> </w:t>
      </w:r>
      <w:r w:rsidRPr="00F525D7">
        <w:rPr>
          <w:rFonts w:ascii="Arial" w:hAnsi="Arial" w:cs="Arial"/>
          <w:sz w:val="20"/>
          <w:szCs w:val="20"/>
        </w:rPr>
        <w:t xml:space="preserve">Para cada estrato se constituirán las reservas preventivas que resulten de aplicar a la totalidad del saldo de capital e interés vencido del crédito, a la fecha de la evaluación, el porcentaje que se señala, según el tipo de cartera, en </w:t>
      </w:r>
      <w:r w:rsidR="005208D0" w:rsidRPr="00F525D7">
        <w:rPr>
          <w:rFonts w:ascii="Arial" w:hAnsi="Arial" w:cs="Arial"/>
          <w:sz w:val="20"/>
          <w:szCs w:val="20"/>
        </w:rPr>
        <w:t>las tablas siguientes</w:t>
      </w:r>
      <w:r w:rsidRPr="00F525D7">
        <w:rPr>
          <w:rFonts w:ascii="Arial" w:hAnsi="Arial" w:cs="Arial"/>
          <w:sz w:val="20"/>
          <w:szCs w:val="20"/>
        </w:rPr>
        <w:t>:</w:t>
      </w:r>
    </w:p>
    <w:tbl>
      <w:tblPr>
        <w:tblW w:w="4164" w:type="dxa"/>
        <w:jc w:val="center"/>
        <w:tblCellMar>
          <w:left w:w="70" w:type="dxa"/>
          <w:right w:w="70" w:type="dxa"/>
        </w:tblCellMar>
        <w:tblLook w:val="04A0" w:firstRow="1" w:lastRow="0" w:firstColumn="1" w:lastColumn="0" w:noHBand="0" w:noVBand="1"/>
      </w:tblPr>
      <w:tblGrid>
        <w:gridCol w:w="1094"/>
        <w:gridCol w:w="1510"/>
        <w:gridCol w:w="1560"/>
      </w:tblGrid>
      <w:tr w:rsidR="007B11FB" w:rsidRPr="00F525D7" w14:paraId="2720AA72" w14:textId="77777777" w:rsidTr="00283450">
        <w:trPr>
          <w:trHeight w:val="255"/>
          <w:jc w:val="center"/>
        </w:trPr>
        <w:tc>
          <w:tcPr>
            <w:tcW w:w="4164" w:type="dxa"/>
            <w:gridSpan w:val="3"/>
            <w:shd w:val="clear" w:color="auto" w:fill="auto"/>
            <w:vAlign w:val="center"/>
            <w:hideMark/>
          </w:tcPr>
          <w:p w14:paraId="677977A4" w14:textId="77777777" w:rsidR="00163C4B" w:rsidRDefault="00163C4B" w:rsidP="00283450">
            <w:pPr>
              <w:jc w:val="both"/>
              <w:rPr>
                <w:rFonts w:ascii="Arial" w:hAnsi="Arial" w:cs="Arial"/>
                <w:b/>
                <w:bCs/>
                <w:iCs/>
                <w:color w:val="000000"/>
                <w:sz w:val="20"/>
                <w:szCs w:val="20"/>
                <w:lang w:eastAsia="es-MX"/>
              </w:rPr>
            </w:pPr>
          </w:p>
          <w:p w14:paraId="39EFAB57" w14:textId="77777777" w:rsidR="00AE61EE" w:rsidRDefault="00AE61EE" w:rsidP="00283450">
            <w:pPr>
              <w:jc w:val="both"/>
              <w:rPr>
                <w:rFonts w:ascii="Arial" w:hAnsi="Arial" w:cs="Arial"/>
                <w:b/>
                <w:bCs/>
                <w:iCs/>
                <w:color w:val="000000"/>
                <w:sz w:val="20"/>
                <w:szCs w:val="20"/>
                <w:lang w:eastAsia="es-MX"/>
              </w:rPr>
            </w:pPr>
          </w:p>
          <w:p w14:paraId="3A8CFD80" w14:textId="77777777" w:rsidR="00AE61EE" w:rsidRDefault="00AE61EE" w:rsidP="00283450">
            <w:pPr>
              <w:jc w:val="both"/>
              <w:rPr>
                <w:rFonts w:ascii="Arial" w:hAnsi="Arial" w:cs="Arial"/>
                <w:b/>
                <w:bCs/>
                <w:iCs/>
                <w:color w:val="000000"/>
                <w:sz w:val="20"/>
                <w:szCs w:val="20"/>
                <w:lang w:eastAsia="es-MX"/>
              </w:rPr>
            </w:pPr>
          </w:p>
          <w:p w14:paraId="4DE5E99F" w14:textId="77777777" w:rsidR="00AE61EE" w:rsidRDefault="00AE61EE" w:rsidP="00283450">
            <w:pPr>
              <w:jc w:val="both"/>
              <w:rPr>
                <w:rFonts w:ascii="Arial" w:hAnsi="Arial" w:cs="Arial"/>
                <w:b/>
                <w:bCs/>
                <w:iCs/>
                <w:color w:val="000000"/>
                <w:sz w:val="20"/>
                <w:szCs w:val="20"/>
                <w:lang w:eastAsia="es-MX"/>
              </w:rPr>
            </w:pPr>
          </w:p>
          <w:p w14:paraId="0840559A" w14:textId="77777777" w:rsidR="00AE61EE" w:rsidRPr="00F525D7" w:rsidRDefault="00AE61EE" w:rsidP="00283450">
            <w:pPr>
              <w:jc w:val="both"/>
              <w:rPr>
                <w:rFonts w:ascii="Arial" w:hAnsi="Arial" w:cs="Arial"/>
                <w:b/>
                <w:bCs/>
                <w:iCs/>
                <w:color w:val="000000"/>
                <w:sz w:val="20"/>
                <w:szCs w:val="20"/>
                <w:lang w:eastAsia="es-MX"/>
              </w:rPr>
            </w:pPr>
          </w:p>
        </w:tc>
      </w:tr>
      <w:tr w:rsidR="007B11FB" w:rsidRPr="00F525D7" w14:paraId="4C37F9D5" w14:textId="77777777" w:rsidTr="00283450">
        <w:trPr>
          <w:trHeight w:val="420"/>
          <w:jc w:val="center"/>
        </w:trPr>
        <w:tc>
          <w:tcPr>
            <w:tcW w:w="1094" w:type="dxa"/>
            <w:shd w:val="clear" w:color="auto" w:fill="auto"/>
            <w:vAlign w:val="center"/>
            <w:hideMark/>
          </w:tcPr>
          <w:p w14:paraId="2B37A56A"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lastRenderedPageBreak/>
              <w:t>Meses vencidos</w:t>
            </w:r>
          </w:p>
        </w:tc>
        <w:tc>
          <w:tcPr>
            <w:tcW w:w="1510" w:type="dxa"/>
            <w:shd w:val="clear" w:color="auto" w:fill="auto"/>
            <w:vAlign w:val="center"/>
            <w:hideMark/>
          </w:tcPr>
          <w:p w14:paraId="10D1B0B9"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sin reestructurar</w:t>
            </w:r>
          </w:p>
        </w:tc>
        <w:tc>
          <w:tcPr>
            <w:tcW w:w="1560" w:type="dxa"/>
            <w:shd w:val="clear" w:color="auto" w:fill="auto"/>
            <w:vAlign w:val="center"/>
            <w:hideMark/>
          </w:tcPr>
          <w:p w14:paraId="57755B2F"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reestructura</w:t>
            </w:r>
          </w:p>
        </w:tc>
      </w:tr>
      <w:tr w:rsidR="007B11FB" w:rsidRPr="00F525D7" w14:paraId="4B080CE3" w14:textId="77777777" w:rsidTr="00283450">
        <w:trPr>
          <w:trHeight w:val="255"/>
          <w:jc w:val="center"/>
        </w:trPr>
        <w:tc>
          <w:tcPr>
            <w:tcW w:w="1094" w:type="dxa"/>
            <w:shd w:val="clear" w:color="auto" w:fill="auto"/>
            <w:noWrap/>
            <w:vAlign w:val="bottom"/>
            <w:hideMark/>
          </w:tcPr>
          <w:p w14:paraId="1A783F77"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0</w:t>
            </w:r>
          </w:p>
        </w:tc>
        <w:tc>
          <w:tcPr>
            <w:tcW w:w="1510" w:type="dxa"/>
            <w:shd w:val="clear" w:color="auto" w:fill="auto"/>
            <w:noWrap/>
            <w:vAlign w:val="bottom"/>
            <w:hideMark/>
          </w:tcPr>
          <w:p w14:paraId="12277EF7"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560" w:type="dxa"/>
            <w:shd w:val="clear" w:color="auto" w:fill="auto"/>
            <w:noWrap/>
            <w:vAlign w:val="bottom"/>
            <w:hideMark/>
          </w:tcPr>
          <w:p w14:paraId="103E8F31"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r>
      <w:tr w:rsidR="007B11FB" w:rsidRPr="00F525D7" w14:paraId="3A0D849E" w14:textId="77777777" w:rsidTr="00283450">
        <w:trPr>
          <w:trHeight w:val="255"/>
          <w:jc w:val="center"/>
        </w:trPr>
        <w:tc>
          <w:tcPr>
            <w:tcW w:w="1094" w:type="dxa"/>
            <w:shd w:val="clear" w:color="auto" w:fill="auto"/>
            <w:noWrap/>
            <w:vAlign w:val="bottom"/>
            <w:hideMark/>
          </w:tcPr>
          <w:p w14:paraId="0EE34240"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1</w:t>
            </w:r>
          </w:p>
        </w:tc>
        <w:tc>
          <w:tcPr>
            <w:tcW w:w="1510" w:type="dxa"/>
            <w:shd w:val="clear" w:color="auto" w:fill="auto"/>
            <w:noWrap/>
            <w:vAlign w:val="bottom"/>
            <w:hideMark/>
          </w:tcPr>
          <w:p w14:paraId="3F71464D"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560" w:type="dxa"/>
            <w:shd w:val="clear" w:color="auto" w:fill="auto"/>
            <w:noWrap/>
            <w:vAlign w:val="bottom"/>
            <w:hideMark/>
          </w:tcPr>
          <w:p w14:paraId="77A2C2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r>
      <w:tr w:rsidR="007B11FB" w:rsidRPr="00F525D7" w14:paraId="71A84222" w14:textId="77777777" w:rsidTr="00283450">
        <w:trPr>
          <w:trHeight w:val="255"/>
          <w:jc w:val="center"/>
        </w:trPr>
        <w:tc>
          <w:tcPr>
            <w:tcW w:w="1094" w:type="dxa"/>
            <w:shd w:val="clear" w:color="auto" w:fill="auto"/>
            <w:noWrap/>
            <w:vAlign w:val="bottom"/>
            <w:hideMark/>
          </w:tcPr>
          <w:p w14:paraId="33A577A4"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2</w:t>
            </w:r>
          </w:p>
        </w:tc>
        <w:tc>
          <w:tcPr>
            <w:tcW w:w="1510" w:type="dxa"/>
            <w:shd w:val="clear" w:color="auto" w:fill="auto"/>
            <w:noWrap/>
            <w:vAlign w:val="bottom"/>
            <w:hideMark/>
          </w:tcPr>
          <w:p w14:paraId="6DEBAB0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w:t>
            </w:r>
          </w:p>
        </w:tc>
        <w:tc>
          <w:tcPr>
            <w:tcW w:w="1560" w:type="dxa"/>
            <w:shd w:val="clear" w:color="auto" w:fill="auto"/>
            <w:noWrap/>
            <w:vAlign w:val="bottom"/>
            <w:hideMark/>
          </w:tcPr>
          <w:p w14:paraId="050D7E0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r>
      <w:tr w:rsidR="007B11FB" w:rsidRPr="00F525D7" w14:paraId="7EBB8777" w14:textId="77777777" w:rsidTr="00283450">
        <w:trPr>
          <w:trHeight w:val="255"/>
          <w:jc w:val="center"/>
        </w:trPr>
        <w:tc>
          <w:tcPr>
            <w:tcW w:w="1094" w:type="dxa"/>
            <w:shd w:val="clear" w:color="auto" w:fill="auto"/>
            <w:noWrap/>
            <w:vAlign w:val="bottom"/>
            <w:hideMark/>
          </w:tcPr>
          <w:p w14:paraId="5EFDF4A8"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3</w:t>
            </w:r>
          </w:p>
        </w:tc>
        <w:tc>
          <w:tcPr>
            <w:tcW w:w="1510" w:type="dxa"/>
            <w:shd w:val="clear" w:color="auto" w:fill="auto"/>
            <w:noWrap/>
            <w:vAlign w:val="bottom"/>
            <w:hideMark/>
          </w:tcPr>
          <w:p w14:paraId="4F9FB6D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c>
          <w:tcPr>
            <w:tcW w:w="1560" w:type="dxa"/>
            <w:shd w:val="clear" w:color="auto" w:fill="auto"/>
            <w:noWrap/>
            <w:vAlign w:val="bottom"/>
            <w:hideMark/>
          </w:tcPr>
          <w:p w14:paraId="3D36E9FE"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25%</w:t>
            </w:r>
          </w:p>
        </w:tc>
      </w:tr>
      <w:tr w:rsidR="007B11FB" w:rsidRPr="00F525D7" w14:paraId="1415E09C" w14:textId="77777777" w:rsidTr="00283450">
        <w:trPr>
          <w:trHeight w:val="255"/>
          <w:jc w:val="center"/>
        </w:trPr>
        <w:tc>
          <w:tcPr>
            <w:tcW w:w="1094" w:type="dxa"/>
            <w:shd w:val="clear" w:color="auto" w:fill="auto"/>
            <w:noWrap/>
            <w:vAlign w:val="bottom"/>
            <w:hideMark/>
          </w:tcPr>
          <w:p w14:paraId="7B48EA65"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4</w:t>
            </w:r>
          </w:p>
        </w:tc>
        <w:tc>
          <w:tcPr>
            <w:tcW w:w="1510" w:type="dxa"/>
            <w:shd w:val="clear" w:color="auto" w:fill="auto"/>
            <w:noWrap/>
            <w:vAlign w:val="bottom"/>
            <w:hideMark/>
          </w:tcPr>
          <w:p w14:paraId="375522C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c>
          <w:tcPr>
            <w:tcW w:w="1560" w:type="dxa"/>
            <w:shd w:val="clear" w:color="auto" w:fill="auto"/>
            <w:noWrap/>
            <w:vAlign w:val="bottom"/>
            <w:hideMark/>
          </w:tcPr>
          <w:p w14:paraId="5824BA8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35%</w:t>
            </w:r>
          </w:p>
        </w:tc>
      </w:tr>
      <w:tr w:rsidR="007B11FB" w:rsidRPr="00F525D7" w14:paraId="3A37F131" w14:textId="77777777" w:rsidTr="00283450">
        <w:trPr>
          <w:trHeight w:val="255"/>
          <w:jc w:val="center"/>
        </w:trPr>
        <w:tc>
          <w:tcPr>
            <w:tcW w:w="1094" w:type="dxa"/>
            <w:shd w:val="clear" w:color="auto" w:fill="auto"/>
            <w:noWrap/>
            <w:vAlign w:val="bottom"/>
            <w:hideMark/>
          </w:tcPr>
          <w:p w14:paraId="2656804A"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5</w:t>
            </w:r>
          </w:p>
        </w:tc>
        <w:tc>
          <w:tcPr>
            <w:tcW w:w="1510" w:type="dxa"/>
            <w:shd w:val="clear" w:color="auto" w:fill="auto"/>
            <w:noWrap/>
            <w:vAlign w:val="bottom"/>
            <w:hideMark/>
          </w:tcPr>
          <w:p w14:paraId="5F8452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c>
          <w:tcPr>
            <w:tcW w:w="1560" w:type="dxa"/>
            <w:shd w:val="clear" w:color="auto" w:fill="auto"/>
            <w:noWrap/>
            <w:vAlign w:val="bottom"/>
            <w:hideMark/>
          </w:tcPr>
          <w:p w14:paraId="725ECEF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50%</w:t>
            </w:r>
          </w:p>
        </w:tc>
      </w:tr>
      <w:tr w:rsidR="007B11FB" w:rsidRPr="00F525D7" w14:paraId="5C637C78" w14:textId="77777777" w:rsidTr="00283450">
        <w:trPr>
          <w:trHeight w:val="255"/>
          <w:jc w:val="center"/>
        </w:trPr>
        <w:tc>
          <w:tcPr>
            <w:tcW w:w="1094" w:type="dxa"/>
            <w:shd w:val="clear" w:color="auto" w:fill="auto"/>
            <w:noWrap/>
            <w:vAlign w:val="bottom"/>
            <w:hideMark/>
          </w:tcPr>
          <w:p w14:paraId="0F2CB5A7"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6 o más</w:t>
            </w:r>
          </w:p>
        </w:tc>
        <w:tc>
          <w:tcPr>
            <w:tcW w:w="1510" w:type="dxa"/>
            <w:shd w:val="clear" w:color="auto" w:fill="auto"/>
            <w:noWrap/>
            <w:vAlign w:val="bottom"/>
            <w:hideMark/>
          </w:tcPr>
          <w:p w14:paraId="41417AC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50%</w:t>
            </w:r>
          </w:p>
        </w:tc>
        <w:tc>
          <w:tcPr>
            <w:tcW w:w="1560" w:type="dxa"/>
            <w:shd w:val="clear" w:color="auto" w:fill="auto"/>
            <w:noWrap/>
            <w:vAlign w:val="bottom"/>
            <w:hideMark/>
          </w:tcPr>
          <w:p w14:paraId="080FACC3"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80%</w:t>
            </w:r>
          </w:p>
        </w:tc>
      </w:tr>
    </w:tbl>
    <w:p w14:paraId="6FAAFA4E" w14:textId="77777777" w:rsidR="007B11FB" w:rsidRPr="00F525D7" w:rsidRDefault="007B11FB" w:rsidP="007B11FB">
      <w:pPr>
        <w:widowControl w:val="0"/>
        <w:tabs>
          <w:tab w:val="left" w:pos="867"/>
          <w:tab w:val="left" w:pos="1276"/>
        </w:tabs>
        <w:jc w:val="both"/>
        <w:rPr>
          <w:rFonts w:ascii="Arial" w:hAnsi="Arial" w:cs="Arial"/>
          <w:b/>
          <w:sz w:val="20"/>
          <w:szCs w:val="20"/>
        </w:rPr>
      </w:pPr>
    </w:p>
    <w:tbl>
      <w:tblPr>
        <w:tblW w:w="3772" w:type="dxa"/>
        <w:jc w:val="center"/>
        <w:tblCellMar>
          <w:left w:w="70" w:type="dxa"/>
          <w:right w:w="70" w:type="dxa"/>
        </w:tblCellMar>
        <w:tblLook w:val="04A0" w:firstRow="1" w:lastRow="0" w:firstColumn="1" w:lastColumn="0" w:noHBand="0" w:noVBand="1"/>
      </w:tblPr>
      <w:tblGrid>
        <w:gridCol w:w="1007"/>
        <w:gridCol w:w="1386"/>
        <w:gridCol w:w="1460"/>
      </w:tblGrid>
      <w:tr w:rsidR="007B11FB" w:rsidRPr="00F525D7" w14:paraId="0B90D3E1" w14:textId="77777777" w:rsidTr="00A84C72">
        <w:trPr>
          <w:trHeight w:val="255"/>
          <w:jc w:val="center"/>
        </w:trPr>
        <w:tc>
          <w:tcPr>
            <w:tcW w:w="3772" w:type="dxa"/>
            <w:gridSpan w:val="3"/>
            <w:shd w:val="clear" w:color="auto" w:fill="auto"/>
            <w:vAlign w:val="center"/>
            <w:hideMark/>
          </w:tcPr>
          <w:p w14:paraId="0D518610"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Garantía</w:t>
            </w:r>
          </w:p>
        </w:tc>
      </w:tr>
      <w:tr w:rsidR="007B11FB" w:rsidRPr="00F525D7" w14:paraId="29831E1B" w14:textId="77777777" w:rsidTr="00A84C72">
        <w:trPr>
          <w:trHeight w:val="420"/>
          <w:jc w:val="center"/>
        </w:trPr>
        <w:tc>
          <w:tcPr>
            <w:tcW w:w="960" w:type="dxa"/>
            <w:shd w:val="clear" w:color="auto" w:fill="auto"/>
            <w:vAlign w:val="center"/>
            <w:hideMark/>
          </w:tcPr>
          <w:p w14:paraId="4E1D1DD4"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Meses vencidos</w:t>
            </w:r>
          </w:p>
        </w:tc>
        <w:tc>
          <w:tcPr>
            <w:tcW w:w="1352" w:type="dxa"/>
            <w:shd w:val="clear" w:color="auto" w:fill="auto"/>
            <w:vAlign w:val="center"/>
            <w:hideMark/>
          </w:tcPr>
          <w:p w14:paraId="4E0E259B"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sin reestructurar</w:t>
            </w:r>
          </w:p>
        </w:tc>
        <w:tc>
          <w:tcPr>
            <w:tcW w:w="1460" w:type="dxa"/>
            <w:shd w:val="clear" w:color="auto" w:fill="auto"/>
            <w:vAlign w:val="center"/>
            <w:hideMark/>
          </w:tcPr>
          <w:p w14:paraId="0FC5921D"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reestructura</w:t>
            </w:r>
          </w:p>
        </w:tc>
      </w:tr>
      <w:tr w:rsidR="007B11FB" w:rsidRPr="00F525D7" w14:paraId="17EF5800" w14:textId="77777777" w:rsidTr="00A84C72">
        <w:trPr>
          <w:trHeight w:val="255"/>
          <w:jc w:val="center"/>
        </w:trPr>
        <w:tc>
          <w:tcPr>
            <w:tcW w:w="960" w:type="dxa"/>
            <w:shd w:val="clear" w:color="auto" w:fill="auto"/>
            <w:noWrap/>
            <w:vAlign w:val="bottom"/>
            <w:hideMark/>
          </w:tcPr>
          <w:p w14:paraId="2626B4CC"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0</w:t>
            </w:r>
          </w:p>
        </w:tc>
        <w:tc>
          <w:tcPr>
            <w:tcW w:w="1352" w:type="dxa"/>
            <w:shd w:val="clear" w:color="auto" w:fill="auto"/>
            <w:noWrap/>
            <w:vAlign w:val="bottom"/>
            <w:hideMark/>
          </w:tcPr>
          <w:p w14:paraId="35F2B86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460" w:type="dxa"/>
            <w:shd w:val="clear" w:color="auto" w:fill="auto"/>
            <w:noWrap/>
            <w:vAlign w:val="bottom"/>
            <w:hideMark/>
          </w:tcPr>
          <w:p w14:paraId="3B99D78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r>
      <w:tr w:rsidR="007B11FB" w:rsidRPr="00F525D7" w14:paraId="6F4A1679" w14:textId="77777777" w:rsidTr="00A84C72">
        <w:trPr>
          <w:trHeight w:val="255"/>
          <w:jc w:val="center"/>
        </w:trPr>
        <w:tc>
          <w:tcPr>
            <w:tcW w:w="960" w:type="dxa"/>
            <w:shd w:val="clear" w:color="auto" w:fill="auto"/>
            <w:noWrap/>
            <w:vAlign w:val="bottom"/>
            <w:hideMark/>
          </w:tcPr>
          <w:p w14:paraId="540FC3AD"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1</w:t>
            </w:r>
          </w:p>
        </w:tc>
        <w:tc>
          <w:tcPr>
            <w:tcW w:w="1352" w:type="dxa"/>
            <w:shd w:val="clear" w:color="auto" w:fill="auto"/>
            <w:noWrap/>
            <w:vAlign w:val="bottom"/>
            <w:hideMark/>
          </w:tcPr>
          <w:p w14:paraId="7BD2AF37"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w:t>
            </w:r>
          </w:p>
        </w:tc>
        <w:tc>
          <w:tcPr>
            <w:tcW w:w="1460" w:type="dxa"/>
            <w:shd w:val="clear" w:color="auto" w:fill="auto"/>
            <w:noWrap/>
            <w:vAlign w:val="bottom"/>
            <w:hideMark/>
          </w:tcPr>
          <w:p w14:paraId="5C98DC58"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r>
      <w:tr w:rsidR="007B11FB" w:rsidRPr="00F525D7" w14:paraId="6D77E65B" w14:textId="77777777" w:rsidTr="00A84C72">
        <w:trPr>
          <w:trHeight w:val="255"/>
          <w:jc w:val="center"/>
        </w:trPr>
        <w:tc>
          <w:tcPr>
            <w:tcW w:w="960" w:type="dxa"/>
            <w:shd w:val="clear" w:color="auto" w:fill="auto"/>
            <w:noWrap/>
            <w:vAlign w:val="bottom"/>
            <w:hideMark/>
          </w:tcPr>
          <w:p w14:paraId="084D1F7D"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2</w:t>
            </w:r>
          </w:p>
        </w:tc>
        <w:tc>
          <w:tcPr>
            <w:tcW w:w="1352" w:type="dxa"/>
            <w:shd w:val="clear" w:color="auto" w:fill="auto"/>
            <w:noWrap/>
            <w:vAlign w:val="bottom"/>
            <w:hideMark/>
          </w:tcPr>
          <w:p w14:paraId="11BDB7E2"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c>
          <w:tcPr>
            <w:tcW w:w="1460" w:type="dxa"/>
            <w:shd w:val="clear" w:color="auto" w:fill="auto"/>
            <w:noWrap/>
            <w:vAlign w:val="bottom"/>
            <w:hideMark/>
          </w:tcPr>
          <w:p w14:paraId="364418CB"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r>
      <w:tr w:rsidR="007B11FB" w:rsidRPr="00F525D7" w14:paraId="4D4CE3EB" w14:textId="77777777" w:rsidTr="00A84C72">
        <w:trPr>
          <w:trHeight w:val="255"/>
          <w:jc w:val="center"/>
        </w:trPr>
        <w:tc>
          <w:tcPr>
            <w:tcW w:w="960" w:type="dxa"/>
            <w:shd w:val="clear" w:color="auto" w:fill="auto"/>
            <w:noWrap/>
            <w:vAlign w:val="bottom"/>
            <w:hideMark/>
          </w:tcPr>
          <w:p w14:paraId="2BCD1D42"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3</w:t>
            </w:r>
          </w:p>
        </w:tc>
        <w:tc>
          <w:tcPr>
            <w:tcW w:w="1352" w:type="dxa"/>
            <w:shd w:val="clear" w:color="auto" w:fill="auto"/>
            <w:noWrap/>
            <w:vAlign w:val="bottom"/>
            <w:hideMark/>
          </w:tcPr>
          <w:p w14:paraId="76E82B8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c>
          <w:tcPr>
            <w:tcW w:w="1460" w:type="dxa"/>
            <w:shd w:val="clear" w:color="auto" w:fill="auto"/>
            <w:noWrap/>
            <w:vAlign w:val="bottom"/>
            <w:hideMark/>
          </w:tcPr>
          <w:p w14:paraId="43DB40A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r>
      <w:tr w:rsidR="007B11FB" w:rsidRPr="00F525D7" w14:paraId="6461392B" w14:textId="77777777" w:rsidTr="00A84C72">
        <w:trPr>
          <w:trHeight w:val="255"/>
          <w:jc w:val="center"/>
        </w:trPr>
        <w:tc>
          <w:tcPr>
            <w:tcW w:w="960" w:type="dxa"/>
            <w:shd w:val="clear" w:color="auto" w:fill="auto"/>
            <w:noWrap/>
            <w:vAlign w:val="bottom"/>
            <w:hideMark/>
          </w:tcPr>
          <w:p w14:paraId="19D09B9F"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4</w:t>
            </w:r>
          </w:p>
        </w:tc>
        <w:tc>
          <w:tcPr>
            <w:tcW w:w="1352" w:type="dxa"/>
            <w:shd w:val="clear" w:color="auto" w:fill="auto"/>
            <w:noWrap/>
            <w:vAlign w:val="bottom"/>
            <w:hideMark/>
          </w:tcPr>
          <w:p w14:paraId="72EECFC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c>
          <w:tcPr>
            <w:tcW w:w="1460" w:type="dxa"/>
            <w:shd w:val="clear" w:color="auto" w:fill="auto"/>
            <w:noWrap/>
            <w:vAlign w:val="bottom"/>
            <w:hideMark/>
          </w:tcPr>
          <w:p w14:paraId="4EA67EF4"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r>
      <w:tr w:rsidR="007B11FB" w:rsidRPr="00F525D7" w14:paraId="03F00276" w14:textId="77777777" w:rsidTr="00A84C72">
        <w:trPr>
          <w:trHeight w:val="255"/>
          <w:jc w:val="center"/>
        </w:trPr>
        <w:tc>
          <w:tcPr>
            <w:tcW w:w="960" w:type="dxa"/>
            <w:shd w:val="clear" w:color="auto" w:fill="auto"/>
            <w:noWrap/>
            <w:vAlign w:val="bottom"/>
            <w:hideMark/>
          </w:tcPr>
          <w:p w14:paraId="00DB215C"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5</w:t>
            </w:r>
          </w:p>
        </w:tc>
        <w:tc>
          <w:tcPr>
            <w:tcW w:w="1352" w:type="dxa"/>
            <w:shd w:val="clear" w:color="auto" w:fill="auto"/>
            <w:noWrap/>
            <w:vAlign w:val="bottom"/>
            <w:hideMark/>
          </w:tcPr>
          <w:p w14:paraId="719B67C3"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c>
          <w:tcPr>
            <w:tcW w:w="1460" w:type="dxa"/>
            <w:shd w:val="clear" w:color="auto" w:fill="auto"/>
            <w:noWrap/>
            <w:vAlign w:val="bottom"/>
            <w:hideMark/>
          </w:tcPr>
          <w:p w14:paraId="71E89D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40%</w:t>
            </w:r>
          </w:p>
        </w:tc>
      </w:tr>
      <w:tr w:rsidR="007B11FB" w:rsidRPr="00F525D7" w14:paraId="59FB095B" w14:textId="77777777" w:rsidTr="00A84C72">
        <w:trPr>
          <w:trHeight w:val="255"/>
          <w:jc w:val="center"/>
        </w:trPr>
        <w:tc>
          <w:tcPr>
            <w:tcW w:w="960" w:type="dxa"/>
            <w:shd w:val="clear" w:color="auto" w:fill="auto"/>
            <w:noWrap/>
            <w:vAlign w:val="bottom"/>
            <w:hideMark/>
          </w:tcPr>
          <w:p w14:paraId="299B282F"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6 o más</w:t>
            </w:r>
          </w:p>
        </w:tc>
        <w:tc>
          <w:tcPr>
            <w:tcW w:w="1352" w:type="dxa"/>
            <w:shd w:val="clear" w:color="auto" w:fill="auto"/>
            <w:noWrap/>
            <w:vAlign w:val="bottom"/>
            <w:hideMark/>
          </w:tcPr>
          <w:p w14:paraId="4061593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40%</w:t>
            </w:r>
          </w:p>
        </w:tc>
        <w:tc>
          <w:tcPr>
            <w:tcW w:w="1460" w:type="dxa"/>
            <w:shd w:val="clear" w:color="auto" w:fill="auto"/>
            <w:noWrap/>
            <w:vAlign w:val="bottom"/>
            <w:hideMark/>
          </w:tcPr>
          <w:p w14:paraId="71A820B1"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60%</w:t>
            </w:r>
          </w:p>
        </w:tc>
      </w:tr>
    </w:tbl>
    <w:p w14:paraId="0EA2C6FF" w14:textId="77777777" w:rsidR="007B11FB" w:rsidRPr="00F525D7" w:rsidRDefault="007B11FB" w:rsidP="007B11FB">
      <w:pPr>
        <w:widowControl w:val="0"/>
        <w:numPr>
          <w:ilvl w:val="0"/>
          <w:numId w:val="4"/>
        </w:numPr>
        <w:tabs>
          <w:tab w:val="left" w:pos="1276"/>
          <w:tab w:val="left" w:pos="1418"/>
        </w:tabs>
        <w:spacing w:after="0" w:line="240" w:lineRule="auto"/>
        <w:ind w:left="0" w:firstLine="0"/>
        <w:jc w:val="both"/>
        <w:rPr>
          <w:rFonts w:ascii="Arial" w:hAnsi="Arial" w:cs="Arial"/>
          <w:b/>
          <w:bCs/>
          <w:i/>
          <w:sz w:val="20"/>
          <w:szCs w:val="20"/>
        </w:rPr>
      </w:pPr>
      <w:r w:rsidRPr="00F525D7">
        <w:rPr>
          <w:rFonts w:ascii="Arial" w:hAnsi="Arial" w:cs="Arial"/>
          <w:b/>
          <w:bCs/>
          <w:i/>
          <w:sz w:val="20"/>
          <w:szCs w:val="20"/>
        </w:rPr>
        <w:t>Garantía -</w:t>
      </w:r>
      <w:r w:rsidRPr="00F525D7">
        <w:rPr>
          <w:rFonts w:ascii="Arial" w:hAnsi="Arial" w:cs="Arial"/>
          <w:sz w:val="20"/>
          <w:szCs w:val="20"/>
        </w:rPr>
        <w:t xml:space="preserve"> Las garantías establecidas por el Fondo son:</w:t>
      </w:r>
    </w:p>
    <w:p w14:paraId="15B8DD6F" w14:textId="77777777" w:rsidR="007B11FB" w:rsidRPr="00F525D7" w:rsidRDefault="007B11FB" w:rsidP="007B11FB">
      <w:pPr>
        <w:widowControl w:val="0"/>
        <w:numPr>
          <w:ilvl w:val="0"/>
          <w:numId w:val="5"/>
        </w:numPr>
        <w:spacing w:after="0" w:line="240" w:lineRule="auto"/>
        <w:ind w:left="0" w:firstLine="0"/>
        <w:jc w:val="both"/>
        <w:rPr>
          <w:rFonts w:ascii="Arial" w:hAnsi="Arial" w:cs="Arial"/>
          <w:sz w:val="20"/>
          <w:szCs w:val="20"/>
        </w:rPr>
      </w:pPr>
      <w:r w:rsidRPr="00F525D7">
        <w:rPr>
          <w:rFonts w:ascii="Arial" w:hAnsi="Arial" w:cs="Arial"/>
          <w:sz w:val="20"/>
          <w:szCs w:val="20"/>
        </w:rPr>
        <w:t>Garantía hipotecaria</w:t>
      </w:r>
    </w:p>
    <w:p w14:paraId="7013B906" w14:textId="77777777" w:rsidR="007B11FB" w:rsidRPr="00F525D7" w:rsidRDefault="007B11FB" w:rsidP="007B11FB">
      <w:pPr>
        <w:widowControl w:val="0"/>
        <w:numPr>
          <w:ilvl w:val="0"/>
          <w:numId w:val="5"/>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sz w:val="20"/>
          <w:szCs w:val="20"/>
        </w:rPr>
        <w:t>Aval</w:t>
      </w:r>
    </w:p>
    <w:p w14:paraId="3FAE02E1" w14:textId="77777777" w:rsidR="007B11FB" w:rsidRPr="00F525D7" w:rsidRDefault="007B11FB" w:rsidP="007B11FB">
      <w:pPr>
        <w:pStyle w:val="Prrafodelista"/>
        <w:ind w:left="0"/>
        <w:jc w:val="both"/>
        <w:rPr>
          <w:rFonts w:ascii="Arial" w:hAnsi="Arial" w:cs="Arial"/>
          <w:sz w:val="20"/>
          <w:szCs w:val="20"/>
          <w:lang w:val="es-ES"/>
        </w:rPr>
      </w:pPr>
    </w:p>
    <w:p w14:paraId="11B15A91"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b/>
          <w:i/>
          <w:sz w:val="20"/>
          <w:szCs w:val="20"/>
        </w:rPr>
        <w:t xml:space="preserve">Períodos para su cálculo </w:t>
      </w:r>
      <w:r w:rsidRPr="00F525D7">
        <w:rPr>
          <w:rFonts w:ascii="Arial" w:hAnsi="Arial" w:cs="Arial"/>
          <w:i/>
          <w:sz w:val="20"/>
          <w:szCs w:val="20"/>
        </w:rPr>
        <w:t xml:space="preserve">- </w:t>
      </w:r>
      <w:r w:rsidRPr="00F525D7">
        <w:rPr>
          <w:rFonts w:ascii="Arial" w:hAnsi="Arial" w:cs="Arial"/>
          <w:sz w:val="20"/>
          <w:szCs w:val="20"/>
        </w:rPr>
        <w:t>El Fondo tiene la política de presentar el cálculo de la estimación de cuentas incobrables al 31 de diciembre del ejercicio actual con base en la información de los créditos al 31 de diciembre del ejercicio inmediato anterior.</w:t>
      </w:r>
    </w:p>
    <w:p w14:paraId="5BEC249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D43E23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h)</w:t>
      </w:r>
      <w:r w:rsidRPr="00F525D7">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0049FE0C"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1A3D05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47BE24F"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4FA5D6FA"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28350C6A"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1629FEF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lastRenderedPageBreak/>
        <w:t>i)</w:t>
      </w:r>
      <w:r w:rsidRPr="00F525D7">
        <w:rPr>
          <w:rFonts w:ascii="Arial" w:hAnsi="Arial" w:cs="Arial"/>
          <w:sz w:val="20"/>
          <w:szCs w:val="20"/>
        </w:rPr>
        <w:t xml:space="preserve"> Reclasificaciones: Se deben revelar todos aquellos movimientos entre cuentas por efectos de cambios en los tipos de operaciones:</w:t>
      </w:r>
    </w:p>
    <w:p w14:paraId="64266BD8"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10426D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752089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j)</w:t>
      </w:r>
      <w:r w:rsidRPr="00F525D7">
        <w:rPr>
          <w:rFonts w:ascii="Arial" w:hAnsi="Arial" w:cs="Arial"/>
          <w:sz w:val="20"/>
          <w:szCs w:val="20"/>
        </w:rPr>
        <w:t xml:space="preserve"> Depuración y cancelación de saldos:</w:t>
      </w:r>
    </w:p>
    <w:p w14:paraId="7120CC44"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249421E" w14:textId="77777777" w:rsidR="00E00323" w:rsidRPr="00F525D7" w:rsidRDefault="00E00323" w:rsidP="00CB41C4">
      <w:pPr>
        <w:tabs>
          <w:tab w:val="left" w:leader="underscore" w:pos="9639"/>
        </w:tabs>
        <w:spacing w:after="0" w:line="240" w:lineRule="auto"/>
        <w:jc w:val="both"/>
        <w:rPr>
          <w:rFonts w:ascii="Arial" w:hAnsi="Arial" w:cs="Arial"/>
          <w:sz w:val="20"/>
          <w:szCs w:val="20"/>
        </w:rPr>
      </w:pPr>
    </w:p>
    <w:p w14:paraId="1F7A44A7" w14:textId="77777777" w:rsidR="007D1E76" w:rsidRPr="00F525D7" w:rsidRDefault="00A06826" w:rsidP="000C3365">
      <w:pPr>
        <w:pStyle w:val="Ttulo2"/>
        <w:rPr>
          <w:rFonts w:ascii="Arial" w:hAnsi="Arial" w:cs="Arial"/>
          <w:b/>
          <w:color w:val="auto"/>
          <w:sz w:val="20"/>
          <w:szCs w:val="20"/>
        </w:rPr>
      </w:pPr>
      <w:bookmarkStart w:id="6" w:name="_Toc136601512"/>
      <w:r>
        <w:rPr>
          <w:rFonts w:ascii="Arial" w:hAnsi="Arial" w:cs="Arial"/>
          <w:b/>
          <w:color w:val="auto"/>
          <w:sz w:val="20"/>
          <w:szCs w:val="20"/>
        </w:rPr>
        <w:t>6</w:t>
      </w:r>
      <w:r w:rsidR="007D1E76" w:rsidRPr="00F525D7">
        <w:rPr>
          <w:rFonts w:ascii="Arial" w:hAnsi="Arial" w:cs="Arial"/>
          <w:b/>
          <w:color w:val="auto"/>
          <w:sz w:val="20"/>
          <w:szCs w:val="20"/>
        </w:rPr>
        <w:t>. Posición en Moneda Extranjera y Pro</w:t>
      </w:r>
      <w:r w:rsidR="00E00323" w:rsidRPr="00F525D7">
        <w:rPr>
          <w:rFonts w:ascii="Arial" w:hAnsi="Arial" w:cs="Arial"/>
          <w:b/>
          <w:color w:val="auto"/>
          <w:sz w:val="20"/>
          <w:szCs w:val="20"/>
        </w:rPr>
        <w:t>tección por Riesgo Cambiario:</w:t>
      </w:r>
      <w:bookmarkEnd w:id="6"/>
    </w:p>
    <w:p w14:paraId="30A886A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C4248D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25F09B2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Activos en moneda extranjera:</w:t>
      </w:r>
    </w:p>
    <w:p w14:paraId="1A7DBCA1"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4BA379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6F28FA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Pasivos en moneda extranjera:</w:t>
      </w:r>
    </w:p>
    <w:p w14:paraId="327E4C5E"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244834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96DC99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c) </w:t>
      </w:r>
      <w:r w:rsidRPr="00F525D7">
        <w:rPr>
          <w:rFonts w:ascii="Arial" w:hAnsi="Arial" w:cs="Arial"/>
          <w:sz w:val="20"/>
          <w:szCs w:val="20"/>
        </w:rPr>
        <w:t>Posición en moneda extranjera:</w:t>
      </w:r>
    </w:p>
    <w:p w14:paraId="53DB443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DD4480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3DBCC7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Tipo de cambio:</w:t>
      </w:r>
    </w:p>
    <w:p w14:paraId="523F0914"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574C322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12E20D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e) </w:t>
      </w:r>
      <w:r w:rsidRPr="00F525D7">
        <w:rPr>
          <w:rFonts w:ascii="Arial" w:hAnsi="Arial" w:cs="Arial"/>
          <w:sz w:val="20"/>
          <w:szCs w:val="20"/>
        </w:rPr>
        <w:t>Equivalente en moneda nacional:</w:t>
      </w:r>
    </w:p>
    <w:p w14:paraId="01ADF9C6"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A53E07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ED736A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Lo anterior por cada tipo de moneda extranjera que se encuentre en los rubros de activo y pasivo.</w:t>
      </w:r>
    </w:p>
    <w:p w14:paraId="3157C9E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Adicionalmente se informará sobre los métodos de protección de riesgo por vari</w:t>
      </w:r>
      <w:r w:rsidR="00E00323" w:rsidRPr="00F525D7">
        <w:rPr>
          <w:rFonts w:ascii="Arial" w:hAnsi="Arial" w:cs="Arial"/>
          <w:sz w:val="20"/>
          <w:szCs w:val="20"/>
        </w:rPr>
        <w:t>aciones en el tipo de cambio.</w:t>
      </w:r>
    </w:p>
    <w:p w14:paraId="0FEA2E91" w14:textId="77777777" w:rsidR="00A84C72" w:rsidRPr="00F525D7" w:rsidRDefault="00A84C72" w:rsidP="00CB41C4">
      <w:pPr>
        <w:tabs>
          <w:tab w:val="left" w:leader="underscore" w:pos="9639"/>
        </w:tabs>
        <w:spacing w:after="0" w:line="240" w:lineRule="auto"/>
        <w:jc w:val="both"/>
        <w:rPr>
          <w:rFonts w:ascii="Arial" w:hAnsi="Arial" w:cs="Arial"/>
          <w:sz w:val="20"/>
          <w:szCs w:val="20"/>
        </w:rPr>
      </w:pPr>
    </w:p>
    <w:p w14:paraId="26091D43" w14:textId="77777777" w:rsidR="007D1E76" w:rsidRPr="00F525D7" w:rsidRDefault="00A06826" w:rsidP="000C3365">
      <w:pPr>
        <w:pStyle w:val="Ttulo2"/>
        <w:rPr>
          <w:rFonts w:ascii="Arial" w:hAnsi="Arial" w:cs="Arial"/>
          <w:b/>
          <w:color w:val="auto"/>
          <w:sz w:val="20"/>
          <w:szCs w:val="20"/>
        </w:rPr>
      </w:pPr>
      <w:bookmarkStart w:id="7" w:name="_Toc136601513"/>
      <w:r>
        <w:rPr>
          <w:rFonts w:ascii="Arial" w:hAnsi="Arial" w:cs="Arial"/>
          <w:b/>
          <w:color w:val="auto"/>
          <w:sz w:val="20"/>
          <w:szCs w:val="20"/>
        </w:rPr>
        <w:t>7</w:t>
      </w:r>
      <w:r w:rsidR="007D1E76" w:rsidRPr="00F525D7">
        <w:rPr>
          <w:rFonts w:ascii="Arial" w:hAnsi="Arial" w:cs="Arial"/>
          <w:b/>
          <w:color w:val="auto"/>
          <w:sz w:val="20"/>
          <w:szCs w:val="20"/>
        </w:rPr>
        <w:t xml:space="preserve">. </w:t>
      </w:r>
      <w:r w:rsidR="00E00323" w:rsidRPr="00F525D7">
        <w:rPr>
          <w:rFonts w:ascii="Arial" w:hAnsi="Arial" w:cs="Arial"/>
          <w:b/>
          <w:color w:val="auto"/>
          <w:sz w:val="20"/>
          <w:szCs w:val="20"/>
        </w:rPr>
        <w:t>Reporte Analítico del Activo:</w:t>
      </w:r>
      <w:bookmarkEnd w:id="7"/>
    </w:p>
    <w:p w14:paraId="46B449B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Debe mostrar la siguien</w:t>
      </w:r>
      <w:r w:rsidR="00E00323" w:rsidRPr="00F525D7">
        <w:rPr>
          <w:rFonts w:ascii="Arial" w:hAnsi="Arial" w:cs="Arial"/>
          <w:sz w:val="20"/>
          <w:szCs w:val="20"/>
        </w:rPr>
        <w:t>te información:</w:t>
      </w:r>
    </w:p>
    <w:p w14:paraId="0D7DAC8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95195B6" w14:textId="77777777" w:rsidR="00775160" w:rsidRPr="00F525D7" w:rsidRDefault="007D1E76" w:rsidP="0077516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Vida útil o porcentajes de depreciación, deterioro o amortización utilizados en los diferentes tipos de activos:</w:t>
      </w:r>
    </w:p>
    <w:p w14:paraId="39E91D97" w14:textId="77777777" w:rsidR="00775160" w:rsidRPr="00F525D7" w:rsidRDefault="00775160" w:rsidP="00775160">
      <w:pPr>
        <w:tabs>
          <w:tab w:val="left" w:leader="underscore" w:pos="9639"/>
        </w:tabs>
        <w:spacing w:after="0" w:line="240" w:lineRule="auto"/>
        <w:jc w:val="both"/>
        <w:rPr>
          <w:rFonts w:ascii="Arial" w:hAnsi="Arial" w:cs="Arial"/>
          <w:b/>
          <w:i/>
          <w:sz w:val="20"/>
          <w:szCs w:val="20"/>
          <w:lang w:eastAsia="es-MX"/>
        </w:rPr>
      </w:pPr>
    </w:p>
    <w:p w14:paraId="3F2105B8" w14:textId="77777777" w:rsidR="00775160" w:rsidRPr="00F525D7" w:rsidRDefault="00775160" w:rsidP="00775160">
      <w:pPr>
        <w:tabs>
          <w:tab w:val="left" w:leader="underscore" w:pos="9639"/>
        </w:tabs>
        <w:spacing w:after="0" w:line="240" w:lineRule="auto"/>
        <w:jc w:val="both"/>
        <w:rPr>
          <w:rFonts w:ascii="Arial" w:hAnsi="Arial" w:cs="Arial"/>
          <w:sz w:val="20"/>
          <w:szCs w:val="20"/>
        </w:rPr>
      </w:pPr>
      <w:r w:rsidRPr="00F525D7">
        <w:rPr>
          <w:rFonts w:ascii="Arial" w:hAnsi="Arial" w:cs="Arial"/>
          <w:b/>
          <w:i/>
          <w:sz w:val="20"/>
          <w:szCs w:val="20"/>
          <w:lang w:eastAsia="es-MX"/>
        </w:rPr>
        <w:t>Bienes muebles:</w:t>
      </w:r>
    </w:p>
    <w:p w14:paraId="70E531D7" w14:textId="77777777" w:rsidR="00775160" w:rsidRPr="00F525D7" w:rsidRDefault="00775160" w:rsidP="00775160">
      <w:pPr>
        <w:pStyle w:val="Prrafodelista"/>
        <w:tabs>
          <w:tab w:val="left" w:pos="1134"/>
        </w:tabs>
        <w:ind w:left="0" w:hanging="76"/>
        <w:jc w:val="both"/>
        <w:rPr>
          <w:rFonts w:ascii="Arial" w:eastAsia="Times New Roman" w:hAnsi="Arial" w:cs="Arial"/>
          <w:sz w:val="20"/>
          <w:szCs w:val="20"/>
          <w:lang w:val="es-ES" w:eastAsia="es-MX"/>
        </w:rPr>
      </w:pPr>
      <w:r w:rsidRPr="00F525D7">
        <w:rPr>
          <w:rFonts w:ascii="Arial" w:eastAsia="Times New Roman" w:hAnsi="Arial" w:cs="Arial"/>
          <w:sz w:val="20"/>
          <w:szCs w:val="20"/>
          <w:lang w:val="es-ES" w:eastAsia="es-MX"/>
        </w:rPr>
        <w:t xml:space="preserve">Los bienes muebles, se expresan a su costo de adquisición (histórico). La depreciación se calcula por el método de línea recta con base en las vidas útiles de los activos y porcentajes de depreciación, aplicadas a los valores de los bienes muebles </w:t>
      </w:r>
      <w:r w:rsidRPr="00F525D7">
        <w:rPr>
          <w:rFonts w:ascii="Arial" w:hAnsi="Arial" w:cs="Arial"/>
          <w:color w:val="000000"/>
          <w:sz w:val="20"/>
          <w:szCs w:val="20"/>
        </w:rPr>
        <w:t>como sigue:</w:t>
      </w:r>
    </w:p>
    <w:p w14:paraId="23B608AE" w14:textId="77777777" w:rsidR="00775160" w:rsidRPr="00F525D7" w:rsidRDefault="00775160" w:rsidP="00775160">
      <w:pPr>
        <w:autoSpaceDE w:val="0"/>
        <w:autoSpaceDN w:val="0"/>
        <w:adjustRightInd w:val="0"/>
        <w:ind w:hanging="76"/>
        <w:contextualSpacing/>
        <w:jc w:val="both"/>
        <w:rPr>
          <w:rFonts w:ascii="Arial" w:hAnsi="Arial" w:cs="Arial"/>
          <w:sz w:val="20"/>
          <w:szCs w:val="20"/>
          <w:lang w:eastAsia="es-MX"/>
        </w:rPr>
      </w:pPr>
    </w:p>
    <w:tbl>
      <w:tblPr>
        <w:tblW w:w="7336" w:type="dxa"/>
        <w:tblInd w:w="1455" w:type="dxa"/>
        <w:tblCellMar>
          <w:left w:w="72" w:type="dxa"/>
          <w:right w:w="72" w:type="dxa"/>
        </w:tblCellMar>
        <w:tblLook w:val="0000" w:firstRow="0" w:lastRow="0" w:firstColumn="0" w:lastColumn="0" w:noHBand="0" w:noVBand="0"/>
      </w:tblPr>
      <w:tblGrid>
        <w:gridCol w:w="5068"/>
        <w:gridCol w:w="1134"/>
        <w:gridCol w:w="1134"/>
      </w:tblGrid>
      <w:tr w:rsidR="00775160" w:rsidRPr="00F525D7" w14:paraId="67B748CC" w14:textId="77777777" w:rsidTr="00283450">
        <w:trPr>
          <w:trHeight w:val="329"/>
          <w:tblHeader/>
        </w:trPr>
        <w:tc>
          <w:tcPr>
            <w:tcW w:w="5068" w:type="dxa"/>
            <w:vAlign w:val="bottom"/>
          </w:tcPr>
          <w:p w14:paraId="1977D38E" w14:textId="77777777" w:rsidR="00775160" w:rsidRPr="00F525D7" w:rsidRDefault="00775160" w:rsidP="00283450">
            <w:pPr>
              <w:ind w:hanging="76"/>
              <w:jc w:val="both"/>
              <w:rPr>
                <w:rFonts w:ascii="Arial" w:hAnsi="Arial" w:cs="Arial"/>
                <w:color w:val="000000"/>
                <w:sz w:val="20"/>
                <w:szCs w:val="20"/>
              </w:rPr>
            </w:pPr>
            <w:r w:rsidRPr="00F525D7">
              <w:rPr>
                <w:rFonts w:ascii="Arial" w:hAnsi="Arial" w:cs="Arial"/>
                <w:b/>
                <w:bCs/>
                <w:color w:val="000000"/>
                <w:sz w:val="20"/>
                <w:szCs w:val="20"/>
                <w:lang w:eastAsia="es-MX"/>
              </w:rPr>
              <w:t>Tipo de bien</w:t>
            </w:r>
          </w:p>
        </w:tc>
        <w:tc>
          <w:tcPr>
            <w:tcW w:w="2268" w:type="dxa"/>
            <w:gridSpan w:val="2"/>
            <w:vAlign w:val="bottom"/>
          </w:tcPr>
          <w:p w14:paraId="24FBA7FC" w14:textId="77777777" w:rsidR="00775160" w:rsidRPr="00F525D7" w:rsidRDefault="00775160" w:rsidP="00283450">
            <w:pPr>
              <w:ind w:hanging="76"/>
              <w:jc w:val="both"/>
              <w:rPr>
                <w:rFonts w:ascii="Arial" w:hAnsi="Arial" w:cs="Arial"/>
                <w:b/>
                <w:bCs/>
                <w:color w:val="000000"/>
                <w:sz w:val="20"/>
                <w:szCs w:val="20"/>
                <w:lang w:eastAsia="es-MX"/>
              </w:rPr>
            </w:pPr>
            <w:r w:rsidRPr="00F525D7">
              <w:rPr>
                <w:rFonts w:ascii="Arial" w:hAnsi="Arial" w:cs="Arial"/>
                <w:b/>
                <w:bCs/>
                <w:color w:val="000000"/>
                <w:sz w:val="20"/>
                <w:szCs w:val="20"/>
                <w:lang w:eastAsia="es-MX"/>
              </w:rPr>
              <w:t xml:space="preserve">Años de vida </w:t>
            </w:r>
          </w:p>
          <w:p w14:paraId="65682744" w14:textId="77777777" w:rsidR="00775160" w:rsidRPr="00F525D7" w:rsidRDefault="00775160" w:rsidP="00283450">
            <w:pPr>
              <w:ind w:hanging="76"/>
              <w:jc w:val="both"/>
              <w:rPr>
                <w:rFonts w:ascii="Arial" w:hAnsi="Arial" w:cs="Arial"/>
                <w:b/>
                <w:bCs/>
                <w:color w:val="000000"/>
                <w:sz w:val="20"/>
                <w:szCs w:val="20"/>
                <w:lang w:eastAsia="es-MX"/>
              </w:rPr>
            </w:pPr>
            <w:r w:rsidRPr="00F525D7">
              <w:rPr>
                <w:rFonts w:ascii="Arial" w:hAnsi="Arial" w:cs="Arial"/>
                <w:b/>
                <w:bCs/>
                <w:color w:val="000000"/>
                <w:sz w:val="20"/>
                <w:szCs w:val="20"/>
                <w:lang w:eastAsia="es-MX"/>
              </w:rPr>
              <w:t>útil estimada</w:t>
            </w:r>
          </w:p>
        </w:tc>
      </w:tr>
      <w:tr w:rsidR="00775160" w:rsidRPr="00F525D7" w14:paraId="29CFE7C1" w14:textId="77777777" w:rsidTr="00283450">
        <w:trPr>
          <w:trHeight w:val="235"/>
        </w:trPr>
        <w:tc>
          <w:tcPr>
            <w:tcW w:w="5068" w:type="dxa"/>
            <w:vAlign w:val="bottom"/>
          </w:tcPr>
          <w:p w14:paraId="7D70A5EE"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659A83E9" w14:textId="6C91A83D" w:rsidR="00775160" w:rsidRPr="00F525D7" w:rsidRDefault="00775160" w:rsidP="00163C4B">
            <w:pPr>
              <w:ind w:hanging="76"/>
              <w:jc w:val="both"/>
              <w:rPr>
                <w:rFonts w:ascii="Arial" w:hAnsi="Arial" w:cs="Arial"/>
                <w:b/>
                <w:color w:val="000000"/>
                <w:sz w:val="20"/>
                <w:szCs w:val="20"/>
                <w:lang w:eastAsia="es-MX"/>
              </w:rPr>
            </w:pPr>
            <w:r w:rsidRPr="00F525D7">
              <w:rPr>
                <w:rFonts w:ascii="Arial" w:hAnsi="Arial" w:cs="Arial"/>
                <w:b/>
                <w:color w:val="000000"/>
                <w:sz w:val="20"/>
                <w:szCs w:val="20"/>
                <w:lang w:eastAsia="es-MX"/>
              </w:rPr>
              <w:t>20</w:t>
            </w:r>
            <w:r w:rsidR="00E54EDB" w:rsidRPr="00F525D7">
              <w:rPr>
                <w:rFonts w:ascii="Arial" w:hAnsi="Arial" w:cs="Arial"/>
                <w:b/>
                <w:color w:val="000000"/>
                <w:sz w:val="20"/>
                <w:szCs w:val="20"/>
                <w:lang w:eastAsia="es-MX"/>
              </w:rPr>
              <w:t>2</w:t>
            </w:r>
            <w:r w:rsidR="00D30282">
              <w:rPr>
                <w:rFonts w:ascii="Arial" w:hAnsi="Arial" w:cs="Arial"/>
                <w:b/>
                <w:color w:val="000000"/>
                <w:sz w:val="20"/>
                <w:szCs w:val="20"/>
                <w:lang w:eastAsia="es-MX"/>
              </w:rPr>
              <w:t>4</w:t>
            </w:r>
          </w:p>
        </w:tc>
        <w:tc>
          <w:tcPr>
            <w:tcW w:w="1134" w:type="dxa"/>
            <w:vAlign w:val="bottom"/>
          </w:tcPr>
          <w:p w14:paraId="73C36393" w14:textId="77777777" w:rsidR="00775160" w:rsidRPr="00F525D7" w:rsidRDefault="00775160" w:rsidP="00283450">
            <w:pPr>
              <w:ind w:hanging="76"/>
              <w:jc w:val="both"/>
              <w:rPr>
                <w:rFonts w:ascii="Arial" w:hAnsi="Arial" w:cs="Arial"/>
                <w:b/>
                <w:color w:val="000000"/>
                <w:sz w:val="20"/>
                <w:szCs w:val="20"/>
                <w:lang w:eastAsia="es-MX"/>
              </w:rPr>
            </w:pPr>
            <w:r w:rsidRPr="00F525D7">
              <w:rPr>
                <w:rFonts w:ascii="Arial" w:hAnsi="Arial" w:cs="Arial"/>
                <w:b/>
                <w:color w:val="000000"/>
                <w:sz w:val="20"/>
                <w:szCs w:val="20"/>
                <w:lang w:eastAsia="es-MX"/>
              </w:rPr>
              <w:t>% DEP</w:t>
            </w:r>
          </w:p>
        </w:tc>
      </w:tr>
      <w:tr w:rsidR="00775160" w:rsidRPr="00F525D7" w14:paraId="3C6B911A" w14:textId="77777777" w:rsidTr="00283450">
        <w:trPr>
          <w:trHeight w:val="20"/>
        </w:trPr>
        <w:tc>
          <w:tcPr>
            <w:tcW w:w="5068" w:type="dxa"/>
            <w:vAlign w:val="bottom"/>
          </w:tcPr>
          <w:p w14:paraId="27FA9994"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Bienes muebles</w:t>
            </w:r>
          </w:p>
        </w:tc>
        <w:tc>
          <w:tcPr>
            <w:tcW w:w="1134" w:type="dxa"/>
            <w:vAlign w:val="bottom"/>
          </w:tcPr>
          <w:p w14:paraId="53E27AA9"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32889291"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11013D7E" w14:textId="77777777" w:rsidTr="00283450">
        <w:trPr>
          <w:trHeight w:val="20"/>
        </w:trPr>
        <w:tc>
          <w:tcPr>
            <w:tcW w:w="5068" w:type="dxa"/>
            <w:vAlign w:val="bottom"/>
          </w:tcPr>
          <w:p w14:paraId="05AA76C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Mobiliario y equipo de administración</w:t>
            </w:r>
          </w:p>
        </w:tc>
        <w:tc>
          <w:tcPr>
            <w:tcW w:w="1134" w:type="dxa"/>
            <w:vAlign w:val="bottom"/>
          </w:tcPr>
          <w:p w14:paraId="779B6C15"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208E5FE3"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510BDEF1" w14:textId="77777777" w:rsidTr="00283450">
        <w:trPr>
          <w:trHeight w:val="20"/>
        </w:trPr>
        <w:tc>
          <w:tcPr>
            <w:tcW w:w="5068" w:type="dxa"/>
            <w:vAlign w:val="bottom"/>
          </w:tcPr>
          <w:p w14:paraId="77A0BCD3"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Muebles de oficina y estantería</w:t>
            </w:r>
          </w:p>
        </w:tc>
        <w:tc>
          <w:tcPr>
            <w:tcW w:w="1134" w:type="dxa"/>
            <w:vAlign w:val="bottom"/>
          </w:tcPr>
          <w:p w14:paraId="6C78D160"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72055146"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64FF1D98" w14:textId="77777777" w:rsidTr="00283450">
        <w:trPr>
          <w:trHeight w:val="20"/>
        </w:trPr>
        <w:tc>
          <w:tcPr>
            <w:tcW w:w="5068" w:type="dxa"/>
            <w:vAlign w:val="bottom"/>
          </w:tcPr>
          <w:p w14:paraId="4F74AEC6"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Muebles, excepto de oficina y estantería</w:t>
            </w:r>
          </w:p>
        </w:tc>
        <w:tc>
          <w:tcPr>
            <w:tcW w:w="1134" w:type="dxa"/>
            <w:vAlign w:val="bottom"/>
          </w:tcPr>
          <w:p w14:paraId="4A61B8FF"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2202EB0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1747A8C6" w14:textId="77777777" w:rsidTr="00283450">
        <w:trPr>
          <w:trHeight w:val="20"/>
        </w:trPr>
        <w:tc>
          <w:tcPr>
            <w:tcW w:w="5068" w:type="dxa"/>
            <w:vAlign w:val="bottom"/>
          </w:tcPr>
          <w:p w14:paraId="2A1F36F2"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lastRenderedPageBreak/>
              <w:t>Equipo de cómputo y de tecnologías de la información</w:t>
            </w:r>
          </w:p>
        </w:tc>
        <w:tc>
          <w:tcPr>
            <w:tcW w:w="1134" w:type="dxa"/>
            <w:vAlign w:val="bottom"/>
          </w:tcPr>
          <w:p w14:paraId="0A8BBCE1"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3.3</w:t>
            </w:r>
          </w:p>
        </w:tc>
        <w:tc>
          <w:tcPr>
            <w:tcW w:w="1134" w:type="dxa"/>
            <w:vAlign w:val="bottom"/>
          </w:tcPr>
          <w:p w14:paraId="2DD9CAD9"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30</w:t>
            </w:r>
          </w:p>
        </w:tc>
      </w:tr>
      <w:tr w:rsidR="00775160" w:rsidRPr="00F525D7" w14:paraId="49817069" w14:textId="77777777" w:rsidTr="00283450">
        <w:trPr>
          <w:trHeight w:val="20"/>
        </w:trPr>
        <w:tc>
          <w:tcPr>
            <w:tcW w:w="5068" w:type="dxa"/>
            <w:vAlign w:val="bottom"/>
          </w:tcPr>
          <w:p w14:paraId="3322616A"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Otros mobiliarios y equipos de administración</w:t>
            </w:r>
          </w:p>
        </w:tc>
        <w:tc>
          <w:tcPr>
            <w:tcW w:w="1134" w:type="dxa"/>
            <w:vAlign w:val="bottom"/>
          </w:tcPr>
          <w:p w14:paraId="48FFDCCD"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1AC66E48"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10C5B718" w14:textId="77777777" w:rsidTr="00283450">
        <w:trPr>
          <w:trHeight w:val="20"/>
        </w:trPr>
        <w:tc>
          <w:tcPr>
            <w:tcW w:w="5068" w:type="dxa"/>
            <w:vAlign w:val="bottom"/>
          </w:tcPr>
          <w:p w14:paraId="05C2451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Equipo de transporte</w:t>
            </w:r>
          </w:p>
        </w:tc>
        <w:tc>
          <w:tcPr>
            <w:tcW w:w="1134" w:type="dxa"/>
            <w:vAlign w:val="bottom"/>
          </w:tcPr>
          <w:p w14:paraId="08E127C6"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40BF950C"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1BBC9401" w14:textId="77777777" w:rsidTr="00283450">
        <w:trPr>
          <w:trHeight w:val="20"/>
        </w:trPr>
        <w:tc>
          <w:tcPr>
            <w:tcW w:w="5068" w:type="dxa"/>
            <w:vAlign w:val="bottom"/>
          </w:tcPr>
          <w:p w14:paraId="0C0DBD02"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Automóviles y equipo terrestre</w:t>
            </w:r>
          </w:p>
        </w:tc>
        <w:tc>
          <w:tcPr>
            <w:tcW w:w="1134" w:type="dxa"/>
            <w:vAlign w:val="bottom"/>
          </w:tcPr>
          <w:p w14:paraId="0618AC6E"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4</w:t>
            </w:r>
          </w:p>
        </w:tc>
        <w:tc>
          <w:tcPr>
            <w:tcW w:w="1134" w:type="dxa"/>
            <w:vAlign w:val="bottom"/>
          </w:tcPr>
          <w:p w14:paraId="7B9B9C00"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25</w:t>
            </w:r>
          </w:p>
        </w:tc>
      </w:tr>
    </w:tbl>
    <w:p w14:paraId="2C86A256" w14:textId="77777777" w:rsidR="00163C4B" w:rsidRDefault="00163C4B" w:rsidP="00CB41C4">
      <w:pPr>
        <w:tabs>
          <w:tab w:val="left" w:leader="underscore" w:pos="9639"/>
        </w:tabs>
        <w:spacing w:after="0" w:line="240" w:lineRule="auto"/>
        <w:jc w:val="both"/>
        <w:rPr>
          <w:rFonts w:ascii="Arial" w:hAnsi="Arial" w:cs="Arial"/>
          <w:sz w:val="20"/>
          <w:szCs w:val="20"/>
        </w:rPr>
      </w:pPr>
    </w:p>
    <w:p w14:paraId="440E8B05" w14:textId="77777777" w:rsidR="00163C4B" w:rsidRPr="00F525D7" w:rsidRDefault="00163C4B" w:rsidP="00CB41C4">
      <w:pPr>
        <w:tabs>
          <w:tab w:val="left" w:leader="underscore" w:pos="9639"/>
        </w:tabs>
        <w:spacing w:after="0" w:line="240" w:lineRule="auto"/>
        <w:jc w:val="both"/>
        <w:rPr>
          <w:rFonts w:ascii="Arial" w:hAnsi="Arial" w:cs="Arial"/>
          <w:sz w:val="20"/>
          <w:szCs w:val="20"/>
        </w:rPr>
      </w:pPr>
    </w:p>
    <w:p w14:paraId="7CF8071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Cambios en el porcentaje de depreciación o valor residual de los activos:</w:t>
      </w:r>
    </w:p>
    <w:p w14:paraId="523614F7"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FCF265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8FFA76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Importe de los gastos capitalizados en el ejercicio, tanto financieros como de investigación y desarrollo:</w:t>
      </w:r>
    </w:p>
    <w:p w14:paraId="12C72BA9"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DE2C02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EF3204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Rie</w:t>
      </w:r>
      <w:r w:rsidR="001973A2" w:rsidRPr="00F525D7">
        <w:rPr>
          <w:rFonts w:ascii="Arial" w:hAnsi="Arial" w:cs="Arial"/>
          <w:sz w:val="20"/>
          <w:szCs w:val="20"/>
        </w:rPr>
        <w:t>s</w:t>
      </w:r>
      <w:r w:rsidRPr="00F525D7">
        <w:rPr>
          <w:rFonts w:ascii="Arial" w:hAnsi="Arial" w:cs="Arial"/>
          <w:sz w:val="20"/>
          <w:szCs w:val="20"/>
        </w:rPr>
        <w:t>gos por tipo de cambio o tipo de interés de las inversiones financieras:</w:t>
      </w:r>
    </w:p>
    <w:p w14:paraId="502A9BA9"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DA2881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F4B070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e) </w:t>
      </w:r>
      <w:r w:rsidRPr="00F525D7">
        <w:rPr>
          <w:rFonts w:ascii="Arial" w:hAnsi="Arial" w:cs="Arial"/>
          <w:sz w:val="20"/>
          <w:szCs w:val="20"/>
        </w:rPr>
        <w:t>Valor activado en el ejercicio de los bienes construidos por la entidad:</w:t>
      </w:r>
    </w:p>
    <w:p w14:paraId="6C59BEB5"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9F608CF" w14:textId="77777777" w:rsidR="007D1E76" w:rsidRPr="00F525D7" w:rsidRDefault="007D1E76" w:rsidP="00CB41C4">
      <w:pPr>
        <w:tabs>
          <w:tab w:val="left" w:leader="underscore" w:pos="9639"/>
        </w:tabs>
        <w:spacing w:after="0" w:line="240" w:lineRule="auto"/>
        <w:jc w:val="both"/>
        <w:rPr>
          <w:rFonts w:ascii="Arial" w:hAnsi="Arial" w:cs="Arial"/>
          <w:b/>
          <w:sz w:val="20"/>
          <w:szCs w:val="20"/>
        </w:rPr>
      </w:pPr>
    </w:p>
    <w:p w14:paraId="7EBCCC2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F0138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429567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0E5FC5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Desmantelamiento de Activos, procedimientos, implicaciones, efectos contables:</w:t>
      </w:r>
    </w:p>
    <w:p w14:paraId="020DDCBD"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8D9F74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CF1517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h)</w:t>
      </w:r>
      <w:r w:rsidRPr="00F525D7">
        <w:rPr>
          <w:rFonts w:ascii="Arial" w:hAnsi="Arial" w:cs="Arial"/>
          <w:sz w:val="20"/>
          <w:szCs w:val="20"/>
        </w:rPr>
        <w:t xml:space="preserve"> Administración de activos; planeación con el objetivo de que el ente los utilice de manera más efectiva:</w:t>
      </w:r>
    </w:p>
    <w:p w14:paraId="20CF22D1"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5776492" w14:textId="77777777" w:rsidR="005E231E" w:rsidRPr="00F525D7" w:rsidRDefault="005E231E" w:rsidP="00CB41C4">
      <w:pPr>
        <w:tabs>
          <w:tab w:val="left" w:leader="underscore" w:pos="9639"/>
        </w:tabs>
        <w:spacing w:after="0" w:line="240" w:lineRule="auto"/>
        <w:jc w:val="both"/>
        <w:rPr>
          <w:rFonts w:ascii="Arial" w:hAnsi="Arial" w:cs="Arial"/>
          <w:sz w:val="20"/>
          <w:szCs w:val="20"/>
        </w:rPr>
      </w:pPr>
    </w:p>
    <w:p w14:paraId="105A1B2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Adicionalmente, se deben incluir las explicaciones de las principales variaciones en el activo, en cua</w:t>
      </w:r>
      <w:r w:rsidR="005E231E" w:rsidRPr="00F525D7">
        <w:rPr>
          <w:rFonts w:ascii="Arial" w:hAnsi="Arial" w:cs="Arial"/>
          <w:sz w:val="20"/>
          <w:szCs w:val="20"/>
        </w:rPr>
        <w:t>dros comparativos como sigue:</w:t>
      </w:r>
    </w:p>
    <w:p w14:paraId="6BD10A3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D812E9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Inversiones en valores:</w:t>
      </w:r>
    </w:p>
    <w:p w14:paraId="6FE5AF52"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5983D3C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1603DD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Patrimonio de Organismos descentralizados de Control Presupuestario Indirecto:</w:t>
      </w:r>
    </w:p>
    <w:p w14:paraId="5431B5C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21673A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25E71A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Inversiones en empresas de participación mayoritaria:</w:t>
      </w:r>
    </w:p>
    <w:p w14:paraId="7C3BEEA8"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23FAA0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F6BB1C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Inversiones en empresas de participación minoritaria:</w:t>
      </w:r>
    </w:p>
    <w:p w14:paraId="618FFF3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C3E348C" w14:textId="77777777" w:rsidR="007D1E76" w:rsidRDefault="007D1E76" w:rsidP="00CB41C4">
      <w:pPr>
        <w:tabs>
          <w:tab w:val="left" w:leader="underscore" w:pos="9639"/>
        </w:tabs>
        <w:spacing w:after="0" w:line="240" w:lineRule="auto"/>
        <w:jc w:val="both"/>
        <w:rPr>
          <w:rFonts w:ascii="Arial" w:hAnsi="Arial" w:cs="Arial"/>
          <w:sz w:val="20"/>
          <w:szCs w:val="20"/>
        </w:rPr>
      </w:pPr>
    </w:p>
    <w:p w14:paraId="2972C3B7" w14:textId="77777777" w:rsidR="00AE61EE" w:rsidRDefault="00AE61EE" w:rsidP="00CB41C4">
      <w:pPr>
        <w:tabs>
          <w:tab w:val="left" w:leader="underscore" w:pos="9639"/>
        </w:tabs>
        <w:spacing w:after="0" w:line="240" w:lineRule="auto"/>
        <w:jc w:val="both"/>
        <w:rPr>
          <w:rFonts w:ascii="Arial" w:hAnsi="Arial" w:cs="Arial"/>
          <w:sz w:val="20"/>
          <w:szCs w:val="20"/>
        </w:rPr>
      </w:pPr>
    </w:p>
    <w:p w14:paraId="32CB09D7" w14:textId="77777777" w:rsidR="00AE61EE" w:rsidRPr="00F525D7" w:rsidRDefault="00AE61EE" w:rsidP="00CB41C4">
      <w:pPr>
        <w:tabs>
          <w:tab w:val="left" w:leader="underscore" w:pos="9639"/>
        </w:tabs>
        <w:spacing w:after="0" w:line="240" w:lineRule="auto"/>
        <w:jc w:val="both"/>
        <w:rPr>
          <w:rFonts w:ascii="Arial" w:hAnsi="Arial" w:cs="Arial"/>
          <w:sz w:val="20"/>
          <w:szCs w:val="20"/>
        </w:rPr>
      </w:pPr>
    </w:p>
    <w:p w14:paraId="3245461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Patrimonio de organismos descentralizados de control presupuestario directo, según corresponda:</w:t>
      </w:r>
    </w:p>
    <w:p w14:paraId="269E90B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lastRenderedPageBreak/>
        <w:t>No Aplica.</w:t>
      </w:r>
    </w:p>
    <w:p w14:paraId="2C21697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8D880B5" w14:textId="77777777" w:rsidR="007D1E76" w:rsidRPr="00F525D7" w:rsidRDefault="00A06826" w:rsidP="000C3365">
      <w:pPr>
        <w:pStyle w:val="Ttulo2"/>
        <w:rPr>
          <w:rFonts w:ascii="Arial" w:hAnsi="Arial" w:cs="Arial"/>
          <w:b/>
          <w:color w:val="auto"/>
          <w:sz w:val="20"/>
          <w:szCs w:val="20"/>
        </w:rPr>
      </w:pPr>
      <w:bookmarkStart w:id="8" w:name="_Toc136601514"/>
      <w:r>
        <w:rPr>
          <w:rFonts w:ascii="Arial" w:hAnsi="Arial" w:cs="Arial"/>
          <w:b/>
          <w:color w:val="auto"/>
          <w:sz w:val="20"/>
          <w:szCs w:val="20"/>
        </w:rPr>
        <w:t>8</w:t>
      </w:r>
      <w:r w:rsidR="007D1E76" w:rsidRPr="00F525D7">
        <w:rPr>
          <w:rFonts w:ascii="Arial" w:hAnsi="Arial" w:cs="Arial"/>
          <w:b/>
          <w:color w:val="auto"/>
          <w:sz w:val="20"/>
          <w:szCs w:val="20"/>
        </w:rPr>
        <w:t>. Fidei</w:t>
      </w:r>
      <w:r w:rsidR="005E231E" w:rsidRPr="00F525D7">
        <w:rPr>
          <w:rFonts w:ascii="Arial" w:hAnsi="Arial" w:cs="Arial"/>
          <w:b/>
          <w:color w:val="auto"/>
          <w:sz w:val="20"/>
          <w:szCs w:val="20"/>
        </w:rPr>
        <w:t>comisos, Mandatos y Análogos:</w:t>
      </w:r>
      <w:bookmarkEnd w:id="8"/>
    </w:p>
    <w:p w14:paraId="44CE5E3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deberá informar:</w:t>
      </w:r>
    </w:p>
    <w:p w14:paraId="3C025D1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Por ramo administrativo que los reporta:</w:t>
      </w:r>
    </w:p>
    <w:p w14:paraId="41BA432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1AE019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7EAA1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Enlistar los de mayor monto de disponibilidad, relacionando aquéllos que conforman el 80% de las disponibilidades:</w:t>
      </w:r>
    </w:p>
    <w:p w14:paraId="3550C1E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62A6FB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50C81F1" w14:textId="77777777" w:rsidR="007D1E76" w:rsidRPr="00F525D7" w:rsidRDefault="00A06826" w:rsidP="000C3365">
      <w:pPr>
        <w:pStyle w:val="Ttulo2"/>
        <w:rPr>
          <w:rFonts w:ascii="Arial" w:hAnsi="Arial" w:cs="Arial"/>
          <w:b/>
          <w:color w:val="auto"/>
          <w:sz w:val="20"/>
          <w:szCs w:val="20"/>
        </w:rPr>
      </w:pPr>
      <w:bookmarkStart w:id="9" w:name="_Toc136601515"/>
      <w:r>
        <w:rPr>
          <w:rFonts w:ascii="Arial" w:hAnsi="Arial" w:cs="Arial"/>
          <w:b/>
          <w:color w:val="auto"/>
          <w:sz w:val="20"/>
          <w:szCs w:val="20"/>
        </w:rPr>
        <w:t>9</w:t>
      </w:r>
      <w:r w:rsidR="007D1E76" w:rsidRPr="00F525D7">
        <w:rPr>
          <w:rFonts w:ascii="Arial" w:hAnsi="Arial" w:cs="Arial"/>
          <w:b/>
          <w:color w:val="auto"/>
          <w:sz w:val="20"/>
          <w:szCs w:val="20"/>
        </w:rPr>
        <w:t>. Reporte de la Recaudación:</w:t>
      </w:r>
      <w:bookmarkEnd w:id="9"/>
    </w:p>
    <w:p w14:paraId="5BE1D8E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24A4A3F"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70EF4D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3D34DB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Proyección de la recaudación e ingresos en el mediano plazo:</w:t>
      </w:r>
    </w:p>
    <w:p w14:paraId="2C59818F"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0CC0C2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EFA759B" w14:textId="77777777" w:rsidR="007D1E76" w:rsidRPr="00F525D7" w:rsidRDefault="007D1E76" w:rsidP="000C3365">
      <w:pPr>
        <w:pStyle w:val="Ttulo2"/>
        <w:rPr>
          <w:rFonts w:ascii="Arial" w:hAnsi="Arial" w:cs="Arial"/>
          <w:b/>
          <w:color w:val="auto"/>
          <w:sz w:val="20"/>
          <w:szCs w:val="20"/>
        </w:rPr>
      </w:pPr>
      <w:bookmarkStart w:id="10" w:name="_Toc136601516"/>
      <w:r w:rsidRPr="00F525D7">
        <w:rPr>
          <w:rFonts w:ascii="Arial" w:hAnsi="Arial" w:cs="Arial"/>
          <w:b/>
          <w:color w:val="auto"/>
          <w:sz w:val="20"/>
          <w:szCs w:val="20"/>
        </w:rPr>
        <w:t>1</w:t>
      </w:r>
      <w:r w:rsidR="00A06826">
        <w:rPr>
          <w:rFonts w:ascii="Arial" w:hAnsi="Arial" w:cs="Arial"/>
          <w:b/>
          <w:color w:val="auto"/>
          <w:sz w:val="20"/>
          <w:szCs w:val="20"/>
        </w:rPr>
        <w:t>0</w:t>
      </w:r>
      <w:r w:rsidRPr="00F525D7">
        <w:rPr>
          <w:rFonts w:ascii="Arial" w:hAnsi="Arial" w:cs="Arial"/>
          <w:b/>
          <w:color w:val="auto"/>
          <w:sz w:val="20"/>
          <w:szCs w:val="20"/>
        </w:rPr>
        <w:t>. Información sobre la Deuda y el R</w:t>
      </w:r>
      <w:r w:rsidR="005E231E" w:rsidRPr="00F525D7">
        <w:rPr>
          <w:rFonts w:ascii="Arial" w:hAnsi="Arial" w:cs="Arial"/>
          <w:b/>
          <w:color w:val="auto"/>
          <w:sz w:val="20"/>
          <w:szCs w:val="20"/>
        </w:rPr>
        <w:t>eporte Analítico de la Deuda:</w:t>
      </w:r>
      <w:bookmarkEnd w:id="10"/>
    </w:p>
    <w:p w14:paraId="597E7B7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Utilizar al menos los siguientes indicadores: deuda respecto al PIB y deuda respecto a la recaudación tomando, como mínimo, un período igual o menor a 5 años.</w:t>
      </w:r>
    </w:p>
    <w:p w14:paraId="6452BC5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510116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Información de manera agrupada por tipo de valor gubernamental o instrumento financiero en la que se considere</w:t>
      </w:r>
      <w:r w:rsidR="001973A2" w:rsidRPr="00F525D7">
        <w:rPr>
          <w:rFonts w:ascii="Arial" w:hAnsi="Arial" w:cs="Arial"/>
          <w:sz w:val="20"/>
          <w:szCs w:val="20"/>
        </w:rPr>
        <w:t>n</w:t>
      </w:r>
      <w:r w:rsidRPr="00F525D7">
        <w:rPr>
          <w:rFonts w:ascii="Arial" w:hAnsi="Arial" w:cs="Arial"/>
          <w:sz w:val="20"/>
          <w:szCs w:val="20"/>
        </w:rPr>
        <w:t xml:space="preserve"> intereses, comisiones, tasa, perfil de vencimiento y otros gastos de la deuda.</w:t>
      </w:r>
    </w:p>
    <w:p w14:paraId="64784DF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 Se </w:t>
      </w:r>
      <w:r w:rsidR="000C3365" w:rsidRPr="00F525D7">
        <w:rPr>
          <w:rFonts w:ascii="Arial" w:hAnsi="Arial" w:cs="Arial"/>
          <w:sz w:val="20"/>
          <w:szCs w:val="20"/>
        </w:rPr>
        <w:t>anexará</w:t>
      </w:r>
      <w:r w:rsidRPr="00F525D7">
        <w:rPr>
          <w:rFonts w:ascii="Arial" w:hAnsi="Arial" w:cs="Arial"/>
          <w:sz w:val="20"/>
          <w:szCs w:val="20"/>
        </w:rPr>
        <w:t xml:space="preserve"> la informació</w:t>
      </w:r>
      <w:r w:rsidR="005E231E" w:rsidRPr="00F525D7">
        <w:rPr>
          <w:rFonts w:ascii="Arial" w:hAnsi="Arial" w:cs="Arial"/>
          <w:sz w:val="20"/>
          <w:szCs w:val="20"/>
        </w:rPr>
        <w:t>n en las notas de desglose.</w:t>
      </w:r>
    </w:p>
    <w:p w14:paraId="7653193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CFB9784" w14:textId="77777777" w:rsidR="007D1E76" w:rsidRPr="00F525D7" w:rsidRDefault="00A06826" w:rsidP="000C3365">
      <w:pPr>
        <w:pStyle w:val="Ttulo2"/>
        <w:rPr>
          <w:rFonts w:ascii="Arial" w:hAnsi="Arial" w:cs="Arial"/>
          <w:b/>
          <w:color w:val="auto"/>
          <w:sz w:val="20"/>
          <w:szCs w:val="20"/>
        </w:rPr>
      </w:pPr>
      <w:bookmarkStart w:id="11" w:name="_Toc136601517"/>
      <w:r>
        <w:rPr>
          <w:rFonts w:ascii="Arial" w:hAnsi="Arial" w:cs="Arial"/>
          <w:b/>
          <w:color w:val="auto"/>
          <w:sz w:val="20"/>
          <w:szCs w:val="20"/>
        </w:rPr>
        <w:t>11</w:t>
      </w:r>
      <w:r w:rsidR="007D1E76" w:rsidRPr="00F525D7">
        <w:rPr>
          <w:rFonts w:ascii="Arial" w:hAnsi="Arial" w:cs="Arial"/>
          <w:b/>
          <w:color w:val="auto"/>
          <w:sz w:val="20"/>
          <w:szCs w:val="20"/>
        </w:rPr>
        <w:t>.</w:t>
      </w:r>
      <w:r w:rsidR="005E231E" w:rsidRPr="00F525D7">
        <w:rPr>
          <w:rFonts w:ascii="Arial" w:hAnsi="Arial" w:cs="Arial"/>
          <w:b/>
          <w:color w:val="auto"/>
          <w:sz w:val="20"/>
          <w:szCs w:val="20"/>
        </w:rPr>
        <w:t xml:space="preserve"> Calificaciones otorgadas:</w:t>
      </w:r>
      <w:bookmarkEnd w:id="11"/>
    </w:p>
    <w:p w14:paraId="0AF08DE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Informar, tanto del ente público como cualquier transacción realizada, que haya sido sujeta a una calificación crediticia:</w:t>
      </w:r>
    </w:p>
    <w:p w14:paraId="497FAC02"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1F6963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ED1BB0" w14:textId="77777777" w:rsidR="007D1E76" w:rsidRPr="00F525D7" w:rsidRDefault="00A06826" w:rsidP="000C3365">
      <w:pPr>
        <w:pStyle w:val="Ttulo2"/>
        <w:rPr>
          <w:rFonts w:ascii="Arial" w:hAnsi="Arial" w:cs="Arial"/>
          <w:b/>
          <w:color w:val="auto"/>
          <w:sz w:val="20"/>
          <w:szCs w:val="20"/>
        </w:rPr>
      </w:pPr>
      <w:bookmarkStart w:id="12" w:name="_Toc136601518"/>
      <w:r>
        <w:rPr>
          <w:rFonts w:ascii="Arial" w:hAnsi="Arial" w:cs="Arial"/>
          <w:b/>
          <w:color w:val="auto"/>
          <w:sz w:val="20"/>
          <w:szCs w:val="20"/>
        </w:rPr>
        <w:t>12</w:t>
      </w:r>
      <w:r w:rsidR="007D1E76" w:rsidRPr="00F525D7">
        <w:rPr>
          <w:rFonts w:ascii="Arial" w:hAnsi="Arial" w:cs="Arial"/>
          <w:b/>
          <w:color w:val="auto"/>
          <w:sz w:val="20"/>
          <w:szCs w:val="20"/>
        </w:rPr>
        <w:t>. Proceso de Mejora:</w:t>
      </w:r>
      <w:bookmarkEnd w:id="12"/>
    </w:p>
    <w:p w14:paraId="424BFDC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852FEF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de:</w:t>
      </w:r>
    </w:p>
    <w:p w14:paraId="230C8E3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Principales Políticas de control interno:</w:t>
      </w:r>
    </w:p>
    <w:p w14:paraId="33B7D1D5" w14:textId="77777777" w:rsidR="007D1E76" w:rsidRPr="00F525D7" w:rsidRDefault="00E907BD" w:rsidP="00E907BD">
      <w:pPr>
        <w:jc w:val="both"/>
        <w:rPr>
          <w:rFonts w:ascii="Arial" w:hAnsi="Arial" w:cs="Arial"/>
          <w:sz w:val="20"/>
          <w:szCs w:val="20"/>
        </w:rPr>
      </w:pPr>
      <w:r w:rsidRPr="00F525D7">
        <w:rPr>
          <w:rFonts w:ascii="Arial" w:hAnsi="Arial" w:cs="Arial"/>
          <w:sz w:val="20"/>
          <w:szCs w:val="20"/>
        </w:rPr>
        <w:t>Normativas al interior del Fideicomiso que regulan el apego a los procesos. Implementación de Administración de riegos. Se adjunta.</w:t>
      </w:r>
    </w:p>
    <w:p w14:paraId="2DF99EAA" w14:textId="77777777" w:rsidR="00C8277F" w:rsidRPr="00F525D7" w:rsidRDefault="00C8277F" w:rsidP="00CB41C4">
      <w:pPr>
        <w:tabs>
          <w:tab w:val="left" w:leader="underscore" w:pos="9639"/>
        </w:tabs>
        <w:spacing w:after="0" w:line="240" w:lineRule="auto"/>
        <w:jc w:val="both"/>
        <w:rPr>
          <w:rFonts w:ascii="Arial" w:hAnsi="Arial" w:cs="Arial"/>
          <w:b/>
          <w:sz w:val="20"/>
          <w:szCs w:val="20"/>
        </w:rPr>
      </w:pPr>
    </w:p>
    <w:p w14:paraId="5C48A1C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Medidas de desempeño financiero, metas y alcance:</w:t>
      </w:r>
    </w:p>
    <w:p w14:paraId="6972DD61" w14:textId="77777777" w:rsidR="00E907BD" w:rsidRPr="00F525D7" w:rsidRDefault="00E907BD" w:rsidP="00E907BD">
      <w:pPr>
        <w:spacing w:after="0" w:line="240" w:lineRule="auto"/>
        <w:jc w:val="both"/>
        <w:rPr>
          <w:rFonts w:ascii="Arial" w:hAnsi="Arial" w:cs="Arial"/>
          <w:sz w:val="20"/>
          <w:szCs w:val="20"/>
        </w:rPr>
      </w:pPr>
      <w:r w:rsidRPr="00F525D7">
        <w:rPr>
          <w:rFonts w:ascii="Arial" w:hAnsi="Arial" w:cs="Arial"/>
          <w:sz w:val="20"/>
          <w:szCs w:val="20"/>
        </w:rPr>
        <w:t xml:space="preserve">Se cuenta con un esquema de medición basado en resultados, donde los Ejecutivos de Promoción y Gerentes de Sucursal tienen asignación de metas. Las metas </w:t>
      </w:r>
      <w:r w:rsidR="005208D0" w:rsidRPr="00F525D7">
        <w:rPr>
          <w:rFonts w:ascii="Arial" w:hAnsi="Arial" w:cs="Arial"/>
          <w:sz w:val="20"/>
          <w:szCs w:val="20"/>
        </w:rPr>
        <w:t>son número</w:t>
      </w:r>
      <w:r w:rsidRPr="00F525D7">
        <w:rPr>
          <w:rFonts w:ascii="Arial" w:hAnsi="Arial" w:cs="Arial"/>
          <w:sz w:val="20"/>
          <w:szCs w:val="20"/>
        </w:rPr>
        <w:t xml:space="preserve"> de créditos a colocar y cartera vencida por recuperar. En junta directiva se revisa semanalmente el resultado de productividad de créditos a colocar por </w:t>
      </w:r>
      <w:r w:rsidR="005208D0" w:rsidRPr="00F525D7">
        <w:rPr>
          <w:rFonts w:ascii="Arial" w:hAnsi="Arial" w:cs="Arial"/>
          <w:sz w:val="20"/>
          <w:szCs w:val="20"/>
        </w:rPr>
        <w:t>Ejecutivo de</w:t>
      </w:r>
      <w:r w:rsidRPr="00F525D7">
        <w:rPr>
          <w:rFonts w:ascii="Arial" w:hAnsi="Arial" w:cs="Arial"/>
          <w:sz w:val="20"/>
          <w:szCs w:val="20"/>
        </w:rPr>
        <w:t xml:space="preserve"> Promoción y Gerentes de Sucursal.</w:t>
      </w:r>
    </w:p>
    <w:p w14:paraId="76A3B1C5" w14:textId="77777777" w:rsidR="00E907BD" w:rsidRPr="00F525D7" w:rsidRDefault="00E907BD" w:rsidP="00E907BD">
      <w:pPr>
        <w:spacing w:after="0" w:line="240" w:lineRule="auto"/>
        <w:jc w:val="both"/>
        <w:rPr>
          <w:rFonts w:ascii="Arial" w:hAnsi="Arial" w:cs="Arial"/>
          <w:sz w:val="20"/>
          <w:szCs w:val="20"/>
        </w:rPr>
      </w:pPr>
      <w:r w:rsidRPr="00F525D7">
        <w:rPr>
          <w:rFonts w:ascii="Arial" w:hAnsi="Arial" w:cs="Arial"/>
          <w:sz w:val="20"/>
          <w:szCs w:val="20"/>
        </w:rPr>
        <w:t xml:space="preserve">El resultado de cumplimiento a metas se presenta al Comité Técnico. </w:t>
      </w:r>
    </w:p>
    <w:p w14:paraId="00E7C31D" w14:textId="77777777" w:rsidR="007D1E76" w:rsidRPr="00F525D7" w:rsidRDefault="00E907BD" w:rsidP="00E907BD">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adjunta presentación de cumplimiento a metas, resultado o ranking de Ejecutivos de Promoción y Gerentes de Sucursal.</w:t>
      </w:r>
    </w:p>
    <w:p w14:paraId="5634DC6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4F8C725" w14:textId="77777777" w:rsidR="007D1E76" w:rsidRPr="00F525D7" w:rsidRDefault="007D1E76" w:rsidP="000C3365">
      <w:pPr>
        <w:pStyle w:val="Ttulo2"/>
        <w:rPr>
          <w:rFonts w:ascii="Arial" w:hAnsi="Arial" w:cs="Arial"/>
          <w:b/>
          <w:color w:val="auto"/>
          <w:sz w:val="20"/>
          <w:szCs w:val="20"/>
        </w:rPr>
      </w:pPr>
      <w:bookmarkStart w:id="13" w:name="_Toc136601519"/>
      <w:r w:rsidRPr="00F525D7">
        <w:rPr>
          <w:rFonts w:ascii="Arial" w:hAnsi="Arial" w:cs="Arial"/>
          <w:b/>
          <w:color w:val="auto"/>
          <w:sz w:val="20"/>
          <w:szCs w:val="20"/>
        </w:rPr>
        <w:t>1</w:t>
      </w:r>
      <w:r w:rsidR="00A06826">
        <w:rPr>
          <w:rFonts w:ascii="Arial" w:hAnsi="Arial" w:cs="Arial"/>
          <w:b/>
          <w:color w:val="auto"/>
          <w:sz w:val="20"/>
          <w:szCs w:val="20"/>
        </w:rPr>
        <w:t>3</w:t>
      </w:r>
      <w:r w:rsidR="005E231E" w:rsidRPr="00F525D7">
        <w:rPr>
          <w:rFonts w:ascii="Arial" w:hAnsi="Arial" w:cs="Arial"/>
          <w:b/>
          <w:color w:val="auto"/>
          <w:sz w:val="20"/>
          <w:szCs w:val="20"/>
        </w:rPr>
        <w:t>. Información por Segmentos:</w:t>
      </w:r>
      <w:bookmarkEnd w:id="13"/>
    </w:p>
    <w:p w14:paraId="16FCA65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F525D7">
        <w:rPr>
          <w:rFonts w:ascii="Arial" w:hAnsi="Arial" w:cs="Arial"/>
          <w:sz w:val="20"/>
          <w:szCs w:val="20"/>
        </w:rPr>
        <w:lastRenderedPageBreak/>
        <w:t>que maneja, de las diferentes áreas geográficas, de los grupos homogéneos con el objetivo de entender el desempeño del ente, evaluar mejor los riesgos y beneficios del mismo; y entenderlo como un todo y sus partes integrantes.</w:t>
      </w:r>
    </w:p>
    <w:p w14:paraId="75853D0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38319F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Consecuentemente, esta información contribuye al análisis más preciso de la situación financiera, grados y fuentes de riesgo y crec</w:t>
      </w:r>
      <w:r w:rsidR="005E231E" w:rsidRPr="00F525D7">
        <w:rPr>
          <w:rFonts w:ascii="Arial" w:hAnsi="Arial" w:cs="Arial"/>
          <w:sz w:val="20"/>
          <w:szCs w:val="20"/>
        </w:rPr>
        <w:t>imiento potencial de negocio.</w:t>
      </w:r>
    </w:p>
    <w:p w14:paraId="2787420A" w14:textId="77777777" w:rsidR="00E907BD" w:rsidRPr="00F525D7" w:rsidRDefault="00E907B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AFD4D6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28F451B" w14:textId="77777777" w:rsidR="007D1E76" w:rsidRPr="00F525D7" w:rsidRDefault="007D1E76" w:rsidP="000C3365">
      <w:pPr>
        <w:pStyle w:val="Ttulo2"/>
        <w:rPr>
          <w:rFonts w:ascii="Arial" w:hAnsi="Arial" w:cs="Arial"/>
          <w:b/>
          <w:color w:val="auto"/>
          <w:sz w:val="20"/>
          <w:szCs w:val="20"/>
        </w:rPr>
      </w:pPr>
      <w:bookmarkStart w:id="14" w:name="_Toc136601520"/>
      <w:r w:rsidRPr="00F525D7">
        <w:rPr>
          <w:rFonts w:ascii="Arial" w:hAnsi="Arial" w:cs="Arial"/>
          <w:b/>
          <w:color w:val="auto"/>
          <w:sz w:val="20"/>
          <w:szCs w:val="20"/>
        </w:rPr>
        <w:t>1</w:t>
      </w:r>
      <w:r w:rsidR="00A06826">
        <w:rPr>
          <w:rFonts w:ascii="Arial" w:hAnsi="Arial" w:cs="Arial"/>
          <w:b/>
          <w:color w:val="auto"/>
          <w:sz w:val="20"/>
          <w:szCs w:val="20"/>
        </w:rPr>
        <w:t>4</w:t>
      </w:r>
      <w:r w:rsidRPr="00F525D7">
        <w:rPr>
          <w:rFonts w:ascii="Arial" w:hAnsi="Arial" w:cs="Arial"/>
          <w:b/>
          <w:color w:val="auto"/>
          <w:sz w:val="20"/>
          <w:szCs w:val="20"/>
        </w:rPr>
        <w:t>. E</w:t>
      </w:r>
      <w:r w:rsidR="005E231E" w:rsidRPr="00F525D7">
        <w:rPr>
          <w:rFonts w:ascii="Arial" w:hAnsi="Arial" w:cs="Arial"/>
          <w:b/>
          <w:color w:val="auto"/>
          <w:sz w:val="20"/>
          <w:szCs w:val="20"/>
        </w:rPr>
        <w:t>ventos Posteriores al Cierre:</w:t>
      </w:r>
      <w:bookmarkEnd w:id="14"/>
    </w:p>
    <w:p w14:paraId="3D5AEAB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208D0" w:rsidRPr="00F525D7">
        <w:rPr>
          <w:rFonts w:ascii="Arial" w:hAnsi="Arial" w:cs="Arial"/>
          <w:sz w:val="20"/>
          <w:szCs w:val="20"/>
        </w:rPr>
        <w:t>afectan económicamente</w:t>
      </w:r>
      <w:r w:rsidRPr="00F525D7">
        <w:rPr>
          <w:rFonts w:ascii="Arial" w:hAnsi="Arial" w:cs="Arial"/>
          <w:sz w:val="20"/>
          <w:szCs w:val="20"/>
        </w:rPr>
        <w:t xml:space="preserve"> y que no se cono</w:t>
      </w:r>
      <w:r w:rsidR="005E231E" w:rsidRPr="00F525D7">
        <w:rPr>
          <w:rFonts w:ascii="Arial" w:hAnsi="Arial" w:cs="Arial"/>
          <w:sz w:val="20"/>
          <w:szCs w:val="20"/>
        </w:rPr>
        <w:t>cían a la fecha de cierre.</w:t>
      </w:r>
      <w:r w:rsidR="005E231E" w:rsidRPr="00F525D7">
        <w:rPr>
          <w:rFonts w:ascii="Arial" w:hAnsi="Arial" w:cs="Arial"/>
          <w:sz w:val="20"/>
          <w:szCs w:val="20"/>
        </w:rPr>
        <w:cr/>
      </w:r>
    </w:p>
    <w:p w14:paraId="63EC048A" w14:textId="77777777" w:rsidR="007D1E76" w:rsidRPr="00F525D7" w:rsidRDefault="00A06826" w:rsidP="000C3365">
      <w:pPr>
        <w:pStyle w:val="Ttulo2"/>
        <w:rPr>
          <w:rFonts w:ascii="Arial" w:hAnsi="Arial" w:cs="Arial"/>
          <w:b/>
          <w:color w:val="auto"/>
          <w:sz w:val="20"/>
          <w:szCs w:val="20"/>
        </w:rPr>
      </w:pPr>
      <w:bookmarkStart w:id="15" w:name="_Toc136601521"/>
      <w:r>
        <w:rPr>
          <w:rFonts w:ascii="Arial" w:hAnsi="Arial" w:cs="Arial"/>
          <w:b/>
          <w:color w:val="auto"/>
          <w:sz w:val="20"/>
          <w:szCs w:val="20"/>
        </w:rPr>
        <w:t>15</w:t>
      </w:r>
      <w:r w:rsidR="005E231E" w:rsidRPr="00F525D7">
        <w:rPr>
          <w:rFonts w:ascii="Arial" w:hAnsi="Arial" w:cs="Arial"/>
          <w:b/>
          <w:color w:val="auto"/>
          <w:sz w:val="20"/>
          <w:szCs w:val="20"/>
        </w:rPr>
        <w:t>. Partes Relacionadas:</w:t>
      </w:r>
      <w:bookmarkEnd w:id="15"/>
    </w:p>
    <w:p w14:paraId="7076FE9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debe establecer por escrito que no existen partes relacionadas que pudieran ejercer influencia significativa sobre la toma de decisiones financieras y operativas:</w:t>
      </w:r>
    </w:p>
    <w:p w14:paraId="2011EC9B" w14:textId="77777777" w:rsidR="007D1E76" w:rsidRPr="00F525D7" w:rsidRDefault="00E907B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Existen Partes Relacionadas.</w:t>
      </w:r>
    </w:p>
    <w:p w14:paraId="6AAEB2A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B07866E" w14:textId="77777777" w:rsidR="007D1E76" w:rsidRPr="00F525D7" w:rsidRDefault="00A06826" w:rsidP="00F46719">
      <w:pPr>
        <w:pStyle w:val="Ttulo2"/>
        <w:rPr>
          <w:rFonts w:ascii="Arial" w:hAnsi="Arial" w:cs="Arial"/>
          <w:b/>
          <w:color w:val="auto"/>
          <w:sz w:val="20"/>
          <w:szCs w:val="20"/>
        </w:rPr>
      </w:pPr>
      <w:bookmarkStart w:id="16" w:name="_Toc136601522"/>
      <w:r>
        <w:rPr>
          <w:rFonts w:ascii="Arial" w:hAnsi="Arial" w:cs="Arial"/>
          <w:b/>
          <w:color w:val="auto"/>
          <w:sz w:val="20"/>
          <w:szCs w:val="20"/>
        </w:rPr>
        <w:t>16</w:t>
      </w:r>
      <w:r w:rsidR="007D1E76" w:rsidRPr="00F525D7">
        <w:rPr>
          <w:rFonts w:ascii="Arial" w:hAnsi="Arial" w:cs="Arial"/>
          <w:b/>
          <w:color w:val="auto"/>
          <w:sz w:val="20"/>
          <w:szCs w:val="20"/>
        </w:rPr>
        <w:t xml:space="preserve">. </w:t>
      </w:r>
      <w:r w:rsidR="001973A2" w:rsidRPr="00F525D7">
        <w:rPr>
          <w:rFonts w:ascii="Arial" w:hAnsi="Arial" w:cs="Arial"/>
          <w:b/>
          <w:color w:val="auto"/>
          <w:sz w:val="20"/>
          <w:szCs w:val="20"/>
        </w:rPr>
        <w:t>Responsabilidad Sobre la Presentación Razonable de la Información Contable</w:t>
      </w:r>
      <w:r w:rsidR="005E231E" w:rsidRPr="00F525D7">
        <w:rPr>
          <w:rFonts w:ascii="Arial" w:hAnsi="Arial" w:cs="Arial"/>
          <w:b/>
          <w:color w:val="auto"/>
          <w:sz w:val="20"/>
          <w:szCs w:val="20"/>
        </w:rPr>
        <w:t>:</w:t>
      </w:r>
      <w:bookmarkEnd w:id="16"/>
    </w:p>
    <w:p w14:paraId="7ABD0FC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2138C74" w14:textId="77777777" w:rsidR="007D1E76" w:rsidRPr="00F525D7" w:rsidRDefault="001973A2"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La Información Contable </w:t>
      </w:r>
      <w:r w:rsidR="00040D4F" w:rsidRPr="00F525D7">
        <w:rPr>
          <w:rFonts w:ascii="Arial" w:hAnsi="Arial" w:cs="Arial"/>
          <w:sz w:val="20"/>
          <w:szCs w:val="20"/>
        </w:rPr>
        <w:t xml:space="preserve">está </w:t>
      </w:r>
      <w:r w:rsidRPr="00F525D7">
        <w:rPr>
          <w:rFonts w:ascii="Arial" w:hAnsi="Arial" w:cs="Arial"/>
          <w:sz w:val="20"/>
          <w:szCs w:val="20"/>
        </w:rPr>
        <w:t xml:space="preserve">firmada en cada página de </w:t>
      </w:r>
      <w:proofErr w:type="gramStart"/>
      <w:r w:rsidRPr="00F525D7">
        <w:rPr>
          <w:rFonts w:ascii="Arial" w:hAnsi="Arial" w:cs="Arial"/>
          <w:sz w:val="20"/>
          <w:szCs w:val="20"/>
        </w:rPr>
        <w:t>la misma</w:t>
      </w:r>
      <w:proofErr w:type="gramEnd"/>
      <w:r w:rsidR="00040D4F" w:rsidRPr="00F525D7">
        <w:rPr>
          <w:rFonts w:ascii="Arial" w:hAnsi="Arial" w:cs="Arial"/>
          <w:sz w:val="20"/>
          <w:szCs w:val="20"/>
        </w:rPr>
        <w:t xml:space="preserve"> y se </w:t>
      </w:r>
      <w:r w:rsidRPr="00F525D7">
        <w:rPr>
          <w:rFonts w:ascii="Arial" w:hAnsi="Arial" w:cs="Arial"/>
          <w:sz w:val="20"/>
          <w:szCs w:val="20"/>
        </w:rPr>
        <w:t>inclu</w:t>
      </w:r>
      <w:r w:rsidR="00040D4F" w:rsidRPr="00F525D7">
        <w:rPr>
          <w:rFonts w:ascii="Arial" w:hAnsi="Arial" w:cs="Arial"/>
          <w:sz w:val="20"/>
          <w:szCs w:val="20"/>
        </w:rPr>
        <w:t>ye</w:t>
      </w:r>
      <w:r w:rsidRPr="00F525D7">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F525D7">
        <w:rPr>
          <w:rFonts w:ascii="Arial" w:hAnsi="Arial" w:cs="Arial"/>
          <w:sz w:val="20"/>
          <w:szCs w:val="20"/>
        </w:rPr>
        <w:t>es</w:t>
      </w:r>
      <w:r w:rsidRPr="00F525D7">
        <w:rPr>
          <w:rFonts w:ascii="Arial" w:hAnsi="Arial" w:cs="Arial"/>
          <w:sz w:val="20"/>
          <w:szCs w:val="20"/>
        </w:rPr>
        <w:t xml:space="preserve"> aplicable para la información contable consolidada.</w:t>
      </w:r>
    </w:p>
    <w:p w14:paraId="0300107E" w14:textId="77777777" w:rsidR="007D1E76" w:rsidRPr="00F525D7" w:rsidRDefault="007D1E76" w:rsidP="00CB41C4">
      <w:pPr>
        <w:pBdr>
          <w:bottom w:val="single" w:sz="12" w:space="1" w:color="auto"/>
        </w:pBdr>
        <w:tabs>
          <w:tab w:val="left" w:leader="underscore" w:pos="9639"/>
        </w:tabs>
        <w:spacing w:after="0" w:line="240" w:lineRule="auto"/>
        <w:jc w:val="both"/>
        <w:rPr>
          <w:rFonts w:ascii="Arial" w:hAnsi="Arial" w:cs="Arial"/>
          <w:sz w:val="20"/>
          <w:szCs w:val="20"/>
        </w:rPr>
      </w:pPr>
    </w:p>
    <w:p w14:paraId="348556CA" w14:textId="77777777" w:rsidR="00AE1F6A" w:rsidRPr="00F525D7" w:rsidRDefault="00AE1F6A"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Nota </w:t>
      </w:r>
      <w:r w:rsidR="00CF1316" w:rsidRPr="00F525D7">
        <w:rPr>
          <w:rFonts w:ascii="Arial" w:hAnsi="Arial" w:cs="Arial"/>
          <w:b/>
          <w:sz w:val="20"/>
          <w:szCs w:val="20"/>
        </w:rPr>
        <w:t>1</w:t>
      </w:r>
      <w:r w:rsidRPr="00F525D7">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w:t>
      </w:r>
      <w:r w:rsidR="00D21C42" w:rsidRPr="00F525D7">
        <w:rPr>
          <w:rFonts w:ascii="Arial" w:hAnsi="Arial" w:cs="Arial"/>
          <w:sz w:val="20"/>
          <w:szCs w:val="20"/>
        </w:rPr>
        <w:t xml:space="preserve"> por el cual no le es aplicable.</w:t>
      </w:r>
    </w:p>
    <w:p w14:paraId="7A5F52E1" w14:textId="77777777" w:rsidR="00E54EDB" w:rsidRPr="00F525D7" w:rsidRDefault="00E54EDB" w:rsidP="00CB41C4">
      <w:pPr>
        <w:pBdr>
          <w:bottom w:val="single" w:sz="12" w:space="1" w:color="auto"/>
        </w:pBdr>
        <w:tabs>
          <w:tab w:val="left" w:leader="underscore" w:pos="9639"/>
        </w:tabs>
        <w:spacing w:after="0" w:line="240" w:lineRule="auto"/>
        <w:jc w:val="both"/>
        <w:rPr>
          <w:rFonts w:ascii="Arial" w:hAnsi="Arial" w:cs="Arial"/>
          <w:sz w:val="20"/>
          <w:szCs w:val="20"/>
        </w:rPr>
      </w:pPr>
    </w:p>
    <w:p w14:paraId="35FB8E3B" w14:textId="77777777" w:rsidR="00E54EDB" w:rsidRPr="00F525D7" w:rsidRDefault="00E926EE" w:rsidP="00E54EDB">
      <w:pPr>
        <w:rPr>
          <w:rFonts w:ascii="Arial" w:hAnsi="Arial" w:cs="Arial"/>
          <w:sz w:val="20"/>
          <w:szCs w:val="20"/>
        </w:rPr>
      </w:pPr>
      <w:r w:rsidRPr="00F525D7">
        <w:rPr>
          <w:rFonts w:ascii="Arial" w:hAnsi="Arial" w:cs="Arial"/>
          <w:sz w:val="20"/>
          <w:szCs w:val="20"/>
        </w:rPr>
        <w:t>“Bajo protesta de decir verdad declaramos que los Estados Financieros y sus notas, son razonablemente correctos y son responsabilidad del emisor”</w:t>
      </w:r>
    </w:p>
    <w:p w14:paraId="0E8C3717" w14:textId="77777777" w:rsidR="001E396D" w:rsidRPr="00F525D7" w:rsidRDefault="001E396D" w:rsidP="00E54EDB">
      <w:pPr>
        <w:rPr>
          <w:rFonts w:ascii="Arial" w:hAnsi="Arial" w:cs="Arial"/>
          <w:sz w:val="20"/>
          <w:szCs w:val="20"/>
        </w:rPr>
      </w:pPr>
    </w:p>
    <w:p w14:paraId="342A3609" w14:textId="6FC96B18" w:rsidR="00E54EDB" w:rsidRDefault="0023561F" w:rsidP="00E54EDB">
      <w:pPr>
        <w:rPr>
          <w:rFonts w:cs="Calibri"/>
        </w:rPr>
      </w:pPr>
      <w:r>
        <w:rPr>
          <w:noProof/>
        </w:rPr>
        <mc:AlternateContent>
          <mc:Choice Requires="wps">
            <w:drawing>
              <wp:anchor distT="4294967295" distB="4294967295" distL="114300" distR="114300" simplePos="0" relativeHeight="251660288" behindDoc="0" locked="0" layoutInCell="1" allowOverlap="1" wp14:anchorId="074D9CAB" wp14:editId="7B470CF7">
                <wp:simplePos x="0" y="0"/>
                <wp:positionH relativeFrom="column">
                  <wp:posOffset>3314700</wp:posOffset>
                </wp:positionH>
                <wp:positionV relativeFrom="paragraph">
                  <wp:posOffset>311149</wp:posOffset>
                </wp:positionV>
                <wp:extent cx="2464435" cy="0"/>
                <wp:effectExtent l="0" t="0" r="0" b="0"/>
                <wp:wrapNone/>
                <wp:docPr id="140311970"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EAC959" id="4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5pt" to="45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14:anchorId="47800298" wp14:editId="49FE918B">
                <wp:simplePos x="0" y="0"/>
                <wp:positionH relativeFrom="column">
                  <wp:posOffset>609600</wp:posOffset>
                </wp:positionH>
                <wp:positionV relativeFrom="paragraph">
                  <wp:posOffset>311149</wp:posOffset>
                </wp:positionV>
                <wp:extent cx="2464435" cy="0"/>
                <wp:effectExtent l="0" t="0" r="0"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DAD943" id="4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4.5pt" to="24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" strokecolor="black [3200]" strokeweight=".5pt">
                <v:stroke joinstyle="miter"/>
                <o:lock v:ext="edit" shapetype="f"/>
              </v:line>
            </w:pict>
          </mc:Fallback>
        </mc:AlternateContent>
      </w:r>
    </w:p>
    <w:p w14:paraId="5267D873" w14:textId="0F4A8538" w:rsidR="000D1402" w:rsidRDefault="009C14B5" w:rsidP="000D1402">
      <w:pPr>
        <w:tabs>
          <w:tab w:val="left" w:pos="5310"/>
        </w:tabs>
        <w:jc w:val="center"/>
        <w:rPr>
          <w:rFonts w:cs="Calibri"/>
        </w:rPr>
      </w:pPr>
      <w:r>
        <w:rPr>
          <w:rFonts w:cs="Calibri"/>
        </w:rPr>
        <w:t xml:space="preserve">  Ricardo Martínez </w:t>
      </w:r>
      <w:proofErr w:type="spellStart"/>
      <w:r>
        <w:rPr>
          <w:rFonts w:cs="Calibri"/>
        </w:rPr>
        <w:t>Huaracha</w:t>
      </w:r>
      <w:proofErr w:type="spellEnd"/>
      <w:r w:rsidR="000D1402">
        <w:rPr>
          <w:rFonts w:cs="Calibri"/>
        </w:rPr>
        <w:t xml:space="preserve">                      </w:t>
      </w:r>
      <w:r>
        <w:rPr>
          <w:rFonts w:cs="Calibri"/>
        </w:rPr>
        <w:t xml:space="preserve">     </w:t>
      </w:r>
      <w:r w:rsidR="000D1402">
        <w:rPr>
          <w:rFonts w:cs="Calibri"/>
        </w:rPr>
        <w:t xml:space="preserve"> </w:t>
      </w:r>
      <w:r w:rsidR="00551F03">
        <w:rPr>
          <w:rFonts w:cs="Calibri"/>
        </w:rPr>
        <w:t xml:space="preserve"> </w:t>
      </w:r>
      <w:r>
        <w:rPr>
          <w:rFonts w:cs="Calibri"/>
        </w:rPr>
        <w:t xml:space="preserve">  </w:t>
      </w:r>
      <w:r w:rsidR="00551F03">
        <w:rPr>
          <w:rFonts w:cs="Calibri"/>
        </w:rPr>
        <w:t xml:space="preserve">        Fátima Karina Lópe</w:t>
      </w:r>
      <w:r w:rsidR="000D1402">
        <w:rPr>
          <w:rFonts w:cs="Calibri"/>
        </w:rPr>
        <w:t xml:space="preserve">z </w:t>
      </w:r>
      <w:r w:rsidR="00551F03">
        <w:rPr>
          <w:rFonts w:cs="Calibri"/>
        </w:rPr>
        <w:t>Jiménez</w:t>
      </w:r>
    </w:p>
    <w:p w14:paraId="74E7A42B" w14:textId="77777777" w:rsidR="001E396D" w:rsidRPr="00E54EDB" w:rsidRDefault="00FD13ED" w:rsidP="001E396D">
      <w:pPr>
        <w:tabs>
          <w:tab w:val="left" w:pos="5310"/>
        </w:tabs>
        <w:rPr>
          <w:rFonts w:cs="Calibri"/>
        </w:rPr>
      </w:pPr>
      <w:r>
        <w:rPr>
          <w:rFonts w:cs="Calibri"/>
        </w:rPr>
        <w:t xml:space="preserve">                                      </w:t>
      </w:r>
      <w:r w:rsidR="000D1402">
        <w:rPr>
          <w:rFonts w:cs="Calibri"/>
        </w:rPr>
        <w:t>Direc</w:t>
      </w:r>
      <w:r>
        <w:rPr>
          <w:rFonts w:cs="Calibri"/>
        </w:rPr>
        <w:t>tor</w:t>
      </w:r>
      <w:r w:rsidR="000D1402">
        <w:rPr>
          <w:rFonts w:cs="Calibri"/>
        </w:rPr>
        <w:t xml:space="preserve"> General                      </w:t>
      </w:r>
      <w:r w:rsidR="00F76366">
        <w:rPr>
          <w:rFonts w:cs="Calibri"/>
        </w:rPr>
        <w:t xml:space="preserve">                           Coordinador</w:t>
      </w:r>
      <w:r w:rsidR="000D1402">
        <w:rPr>
          <w:rFonts w:cs="Calibri"/>
        </w:rPr>
        <w:t xml:space="preserve"> de Contabilidad</w:t>
      </w:r>
    </w:p>
    <w:sectPr w:rsidR="001E396D" w:rsidRPr="00E54EDB" w:rsidSect="008C22D1">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7128" w14:textId="77777777" w:rsidR="00D313FA" w:rsidRDefault="00D313FA" w:rsidP="00E00323">
      <w:pPr>
        <w:spacing w:after="0" w:line="240" w:lineRule="auto"/>
      </w:pPr>
      <w:r>
        <w:separator/>
      </w:r>
    </w:p>
  </w:endnote>
  <w:endnote w:type="continuationSeparator" w:id="0">
    <w:p w14:paraId="48517F63" w14:textId="77777777" w:rsidR="00D313FA" w:rsidRDefault="00D313F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67842497" w14:textId="77777777" w:rsidR="002C3233" w:rsidRDefault="002C3233">
        <w:pPr>
          <w:pStyle w:val="Piedepgina"/>
          <w:jc w:val="right"/>
        </w:pPr>
        <w:r>
          <w:fldChar w:fldCharType="begin"/>
        </w:r>
        <w:r>
          <w:instrText>PAGE   \* MERGEFORMAT</w:instrText>
        </w:r>
        <w:r>
          <w:fldChar w:fldCharType="separate"/>
        </w:r>
        <w:r w:rsidR="00AE4502" w:rsidRPr="00AE4502">
          <w:rPr>
            <w:noProof/>
            <w:lang w:val="es-ES"/>
          </w:rPr>
          <w:t>1</w:t>
        </w:r>
        <w:r>
          <w:fldChar w:fldCharType="end"/>
        </w:r>
      </w:p>
    </w:sdtContent>
  </w:sdt>
  <w:p w14:paraId="537C9B95" w14:textId="77777777" w:rsidR="002C3233" w:rsidRDefault="002C3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333F" w14:textId="77777777" w:rsidR="00D313FA" w:rsidRDefault="00D313FA" w:rsidP="00E00323">
      <w:pPr>
        <w:spacing w:after="0" w:line="240" w:lineRule="auto"/>
      </w:pPr>
      <w:r>
        <w:separator/>
      </w:r>
    </w:p>
  </w:footnote>
  <w:footnote w:type="continuationSeparator" w:id="0">
    <w:p w14:paraId="3707549E" w14:textId="77777777" w:rsidR="00D313FA" w:rsidRDefault="00D313F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9409" w14:textId="77777777" w:rsidR="002C3233" w:rsidRDefault="002C3233" w:rsidP="00A4610E">
    <w:pPr>
      <w:pStyle w:val="Encabezado"/>
      <w:spacing w:after="0" w:line="240" w:lineRule="auto"/>
      <w:jc w:val="center"/>
    </w:pPr>
    <w:r>
      <w:t>FONDO GUANAJUATO DE INVERSIÓN EN ZONAS MARGINADAS</w:t>
    </w:r>
  </w:p>
  <w:p w14:paraId="0C9B1B87" w14:textId="7BC78227" w:rsidR="002C3233" w:rsidRDefault="002C3233" w:rsidP="00A4610E">
    <w:pPr>
      <w:pStyle w:val="Encabezado"/>
      <w:spacing w:after="0" w:line="240" w:lineRule="auto"/>
      <w:jc w:val="center"/>
    </w:pPr>
    <w:r>
      <w:t>CORRESPONDIENTES AL</w:t>
    </w:r>
    <w:r w:rsidRPr="00A4610E">
      <w:t xml:space="preserve"> </w:t>
    </w:r>
    <w:r w:rsidR="007A65E9">
      <w:t>31</w:t>
    </w:r>
    <w:r>
      <w:t xml:space="preserve"> DE </w:t>
    </w:r>
    <w:r w:rsidR="007A65E9">
      <w:t>MARZO</w:t>
    </w:r>
    <w:r>
      <w:t xml:space="preserve"> DE </w:t>
    </w:r>
    <w:r w:rsidR="007A65E9">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88F"/>
    <w:multiLevelType w:val="hybridMultilevel"/>
    <w:tmpl w:val="BA422510"/>
    <w:lvl w:ilvl="0" w:tplc="79F2C728">
      <w:start w:val="1"/>
      <w:numFmt w:val="bullet"/>
      <w:lvlText w:val="-"/>
      <w:lvlJc w:val="left"/>
      <w:pPr>
        <w:tabs>
          <w:tab w:val="num" w:pos="2165"/>
        </w:tabs>
        <w:ind w:left="2165"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27A81270"/>
    <w:multiLevelType w:val="hybridMultilevel"/>
    <w:tmpl w:val="ED9AE0E8"/>
    <w:lvl w:ilvl="0" w:tplc="04090019">
      <w:start w:val="1"/>
      <w:numFmt w:val="lowerLetter"/>
      <w:lvlText w:val="%1."/>
      <w:lvlJc w:val="left"/>
      <w:pPr>
        <w:ind w:left="2705" w:hanging="360"/>
      </w:pPr>
      <w:rPr>
        <w:rFonts w:hint="default"/>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 w15:restartNumberingAfterBreak="0">
    <w:nsid w:val="2E4B371D"/>
    <w:multiLevelType w:val="hybridMultilevel"/>
    <w:tmpl w:val="28522916"/>
    <w:lvl w:ilvl="0" w:tplc="7D1653BA">
      <w:start w:val="2"/>
      <w:numFmt w:val="lowerLetter"/>
      <w:lvlText w:val="%1)"/>
      <w:lvlJc w:val="left"/>
      <w:pPr>
        <w:ind w:left="1713"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332331"/>
    <w:multiLevelType w:val="hybridMultilevel"/>
    <w:tmpl w:val="121889B6"/>
    <w:lvl w:ilvl="0" w:tplc="04090019">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7B82947"/>
    <w:multiLevelType w:val="hybridMultilevel"/>
    <w:tmpl w:val="C9E010E6"/>
    <w:lvl w:ilvl="0" w:tplc="79F2C728">
      <w:start w:val="1"/>
      <w:numFmt w:val="bullet"/>
      <w:lvlText w:val="-"/>
      <w:lvlJc w:val="left"/>
      <w:pPr>
        <w:ind w:left="1778" w:hanging="360"/>
      </w:pPr>
      <w:rPr>
        <w:rFonts w:ascii="Symbol" w:hAnsi="Symbol" w:hint="default"/>
      </w:rPr>
    </w:lvl>
    <w:lvl w:ilvl="1" w:tplc="080A0003">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5" w15:restartNumberingAfterBreak="0">
    <w:nsid w:val="55E1595F"/>
    <w:multiLevelType w:val="hybridMultilevel"/>
    <w:tmpl w:val="0EC625CE"/>
    <w:lvl w:ilvl="0" w:tplc="C0E22EBE">
      <w:start w:val="1"/>
      <w:numFmt w:val="lowerLetter"/>
      <w:lvlText w:val="%1)"/>
      <w:lvlJc w:val="left"/>
      <w:pPr>
        <w:ind w:left="1080" w:hanging="360"/>
      </w:pPr>
      <w:rPr>
        <w:rFonts w:ascii="Times New Roman" w:hAnsi="Times New Roman" w:cs="Times New Roman" w:hint="default"/>
        <w:b w:val="0"/>
        <w:i w:val="0"/>
        <w:sz w:val="20"/>
        <w:szCs w:val="20"/>
      </w:rPr>
    </w:lvl>
    <w:lvl w:ilvl="1" w:tplc="080A0019" w:tentative="1">
      <w:start w:val="1"/>
      <w:numFmt w:val="lowerLetter"/>
      <w:lvlText w:val="%2."/>
      <w:lvlJc w:val="left"/>
      <w:pPr>
        <w:ind w:left="807" w:hanging="360"/>
      </w:pPr>
    </w:lvl>
    <w:lvl w:ilvl="2" w:tplc="080A001B" w:tentative="1">
      <w:start w:val="1"/>
      <w:numFmt w:val="lowerRoman"/>
      <w:lvlText w:val="%3."/>
      <w:lvlJc w:val="right"/>
      <w:pPr>
        <w:ind w:left="1527" w:hanging="180"/>
      </w:pPr>
    </w:lvl>
    <w:lvl w:ilvl="3" w:tplc="080A000F" w:tentative="1">
      <w:start w:val="1"/>
      <w:numFmt w:val="decimal"/>
      <w:lvlText w:val="%4."/>
      <w:lvlJc w:val="left"/>
      <w:pPr>
        <w:ind w:left="2247" w:hanging="360"/>
      </w:pPr>
    </w:lvl>
    <w:lvl w:ilvl="4" w:tplc="080A0019" w:tentative="1">
      <w:start w:val="1"/>
      <w:numFmt w:val="lowerLetter"/>
      <w:lvlText w:val="%5."/>
      <w:lvlJc w:val="left"/>
      <w:pPr>
        <w:ind w:left="2967" w:hanging="360"/>
      </w:pPr>
    </w:lvl>
    <w:lvl w:ilvl="5" w:tplc="080A001B" w:tentative="1">
      <w:start w:val="1"/>
      <w:numFmt w:val="lowerRoman"/>
      <w:lvlText w:val="%6."/>
      <w:lvlJc w:val="right"/>
      <w:pPr>
        <w:ind w:left="3687" w:hanging="180"/>
      </w:pPr>
    </w:lvl>
    <w:lvl w:ilvl="6" w:tplc="080A000F" w:tentative="1">
      <w:start w:val="1"/>
      <w:numFmt w:val="decimal"/>
      <w:lvlText w:val="%7."/>
      <w:lvlJc w:val="left"/>
      <w:pPr>
        <w:ind w:left="4407" w:hanging="360"/>
      </w:pPr>
    </w:lvl>
    <w:lvl w:ilvl="7" w:tplc="080A0019" w:tentative="1">
      <w:start w:val="1"/>
      <w:numFmt w:val="lowerLetter"/>
      <w:lvlText w:val="%8."/>
      <w:lvlJc w:val="left"/>
      <w:pPr>
        <w:ind w:left="5127" w:hanging="360"/>
      </w:pPr>
    </w:lvl>
    <w:lvl w:ilvl="8" w:tplc="080A001B" w:tentative="1">
      <w:start w:val="1"/>
      <w:numFmt w:val="lowerRoman"/>
      <w:lvlText w:val="%9."/>
      <w:lvlJc w:val="right"/>
      <w:pPr>
        <w:ind w:left="5847"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3586223">
    <w:abstractNumId w:val="6"/>
  </w:num>
  <w:num w:numId="2" w16cid:durableId="1542746085">
    <w:abstractNumId w:val="0"/>
  </w:num>
  <w:num w:numId="3" w16cid:durableId="1117454447">
    <w:abstractNumId w:val="5"/>
  </w:num>
  <w:num w:numId="4" w16cid:durableId="157617564">
    <w:abstractNumId w:val="4"/>
  </w:num>
  <w:num w:numId="5" w16cid:durableId="195504822">
    <w:abstractNumId w:val="3"/>
  </w:num>
  <w:num w:numId="6" w16cid:durableId="2142574642">
    <w:abstractNumId w:val="1"/>
  </w:num>
  <w:num w:numId="7" w16cid:durableId="79301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6FCA"/>
    <w:rsid w:val="0001116F"/>
    <w:rsid w:val="00024EA7"/>
    <w:rsid w:val="00040D4F"/>
    <w:rsid w:val="000428F3"/>
    <w:rsid w:val="00047907"/>
    <w:rsid w:val="00080E0B"/>
    <w:rsid w:val="00084EAE"/>
    <w:rsid w:val="00091CE6"/>
    <w:rsid w:val="00093331"/>
    <w:rsid w:val="000972E4"/>
    <w:rsid w:val="00097BDF"/>
    <w:rsid w:val="000A150D"/>
    <w:rsid w:val="000A4A0A"/>
    <w:rsid w:val="000B4B73"/>
    <w:rsid w:val="000B7810"/>
    <w:rsid w:val="000C07A6"/>
    <w:rsid w:val="000C3365"/>
    <w:rsid w:val="000D075E"/>
    <w:rsid w:val="000D1402"/>
    <w:rsid w:val="000D6C8F"/>
    <w:rsid w:val="001039E1"/>
    <w:rsid w:val="0010526B"/>
    <w:rsid w:val="0012405A"/>
    <w:rsid w:val="00130AB3"/>
    <w:rsid w:val="00136C10"/>
    <w:rsid w:val="001376CA"/>
    <w:rsid w:val="00154BA3"/>
    <w:rsid w:val="001624F2"/>
    <w:rsid w:val="00163C4B"/>
    <w:rsid w:val="0017473C"/>
    <w:rsid w:val="001750DD"/>
    <w:rsid w:val="001807EF"/>
    <w:rsid w:val="001973A2"/>
    <w:rsid w:val="001A2E96"/>
    <w:rsid w:val="001A5141"/>
    <w:rsid w:val="001B0513"/>
    <w:rsid w:val="001C75F2"/>
    <w:rsid w:val="001C7AFD"/>
    <w:rsid w:val="001D2063"/>
    <w:rsid w:val="001D43E9"/>
    <w:rsid w:val="001E396D"/>
    <w:rsid w:val="002222AA"/>
    <w:rsid w:val="002322CA"/>
    <w:rsid w:val="00233F28"/>
    <w:rsid w:val="0023561F"/>
    <w:rsid w:val="00242ED9"/>
    <w:rsid w:val="00243116"/>
    <w:rsid w:val="00282148"/>
    <w:rsid w:val="00283450"/>
    <w:rsid w:val="002B0504"/>
    <w:rsid w:val="002C3233"/>
    <w:rsid w:val="002C7FE6"/>
    <w:rsid w:val="002D52E4"/>
    <w:rsid w:val="002F7CE1"/>
    <w:rsid w:val="00300DA0"/>
    <w:rsid w:val="00326B64"/>
    <w:rsid w:val="00337069"/>
    <w:rsid w:val="003453CA"/>
    <w:rsid w:val="00370D9F"/>
    <w:rsid w:val="00375F11"/>
    <w:rsid w:val="0039433C"/>
    <w:rsid w:val="003F3524"/>
    <w:rsid w:val="003F7514"/>
    <w:rsid w:val="00400196"/>
    <w:rsid w:val="0040066A"/>
    <w:rsid w:val="00435A87"/>
    <w:rsid w:val="004416FE"/>
    <w:rsid w:val="00445445"/>
    <w:rsid w:val="00450CCF"/>
    <w:rsid w:val="00455094"/>
    <w:rsid w:val="00455478"/>
    <w:rsid w:val="0047267B"/>
    <w:rsid w:val="00476320"/>
    <w:rsid w:val="0049217A"/>
    <w:rsid w:val="004A3FE5"/>
    <w:rsid w:val="004A58C8"/>
    <w:rsid w:val="004B09D9"/>
    <w:rsid w:val="004B101D"/>
    <w:rsid w:val="004D1BED"/>
    <w:rsid w:val="004E21C4"/>
    <w:rsid w:val="004E476F"/>
    <w:rsid w:val="005208D0"/>
    <w:rsid w:val="005308DA"/>
    <w:rsid w:val="00533EF3"/>
    <w:rsid w:val="0054701E"/>
    <w:rsid w:val="005515A8"/>
    <w:rsid w:val="005516CF"/>
    <w:rsid w:val="00551F03"/>
    <w:rsid w:val="0057327E"/>
    <w:rsid w:val="005769B3"/>
    <w:rsid w:val="005B0366"/>
    <w:rsid w:val="005B0C54"/>
    <w:rsid w:val="005C5AA6"/>
    <w:rsid w:val="005C5E65"/>
    <w:rsid w:val="005C73F4"/>
    <w:rsid w:val="005D3E43"/>
    <w:rsid w:val="005E231E"/>
    <w:rsid w:val="005E6471"/>
    <w:rsid w:val="005E7897"/>
    <w:rsid w:val="00631817"/>
    <w:rsid w:val="0063540F"/>
    <w:rsid w:val="00657009"/>
    <w:rsid w:val="00657327"/>
    <w:rsid w:val="0066706C"/>
    <w:rsid w:val="006745FE"/>
    <w:rsid w:val="00676B86"/>
    <w:rsid w:val="00681C79"/>
    <w:rsid w:val="00685F41"/>
    <w:rsid w:val="006C3F9A"/>
    <w:rsid w:val="006D5556"/>
    <w:rsid w:val="006D760D"/>
    <w:rsid w:val="006E42E8"/>
    <w:rsid w:val="006F5306"/>
    <w:rsid w:val="007017ED"/>
    <w:rsid w:val="00726778"/>
    <w:rsid w:val="00740597"/>
    <w:rsid w:val="00746B9F"/>
    <w:rsid w:val="0075655D"/>
    <w:rsid w:val="0076086A"/>
    <w:rsid w:val="007610BC"/>
    <w:rsid w:val="00764849"/>
    <w:rsid w:val="007675C0"/>
    <w:rsid w:val="007709AB"/>
    <w:rsid w:val="007714AB"/>
    <w:rsid w:val="00775160"/>
    <w:rsid w:val="0078595F"/>
    <w:rsid w:val="00787510"/>
    <w:rsid w:val="007930AB"/>
    <w:rsid w:val="007961D5"/>
    <w:rsid w:val="007A3994"/>
    <w:rsid w:val="007A65E9"/>
    <w:rsid w:val="007B11FB"/>
    <w:rsid w:val="007B4820"/>
    <w:rsid w:val="007C646E"/>
    <w:rsid w:val="007D1E76"/>
    <w:rsid w:val="007D4484"/>
    <w:rsid w:val="007E0A4F"/>
    <w:rsid w:val="007F6F2A"/>
    <w:rsid w:val="0083250C"/>
    <w:rsid w:val="00843D3F"/>
    <w:rsid w:val="0086459F"/>
    <w:rsid w:val="00866DB0"/>
    <w:rsid w:val="00892573"/>
    <w:rsid w:val="008C22D1"/>
    <w:rsid w:val="008C3372"/>
    <w:rsid w:val="008C3BB8"/>
    <w:rsid w:val="008D4A52"/>
    <w:rsid w:val="008E076C"/>
    <w:rsid w:val="0090627D"/>
    <w:rsid w:val="009176F1"/>
    <w:rsid w:val="0092765C"/>
    <w:rsid w:val="0094321A"/>
    <w:rsid w:val="009461C8"/>
    <w:rsid w:val="009574B6"/>
    <w:rsid w:val="00980620"/>
    <w:rsid w:val="009C14B5"/>
    <w:rsid w:val="009F583A"/>
    <w:rsid w:val="00A06826"/>
    <w:rsid w:val="00A22419"/>
    <w:rsid w:val="00A225FB"/>
    <w:rsid w:val="00A25E9E"/>
    <w:rsid w:val="00A34B59"/>
    <w:rsid w:val="00A42630"/>
    <w:rsid w:val="00A4610E"/>
    <w:rsid w:val="00A5597C"/>
    <w:rsid w:val="00A71A41"/>
    <w:rsid w:val="00A730E0"/>
    <w:rsid w:val="00A81E49"/>
    <w:rsid w:val="00A84C72"/>
    <w:rsid w:val="00A87D5B"/>
    <w:rsid w:val="00AA10FE"/>
    <w:rsid w:val="00AA41E5"/>
    <w:rsid w:val="00AA5304"/>
    <w:rsid w:val="00AA58D3"/>
    <w:rsid w:val="00AB1265"/>
    <w:rsid w:val="00AB722B"/>
    <w:rsid w:val="00AD08A5"/>
    <w:rsid w:val="00AE1F6A"/>
    <w:rsid w:val="00AE4502"/>
    <w:rsid w:val="00AE61EE"/>
    <w:rsid w:val="00AF6EB9"/>
    <w:rsid w:val="00B16419"/>
    <w:rsid w:val="00B3086A"/>
    <w:rsid w:val="00B326D3"/>
    <w:rsid w:val="00B5548F"/>
    <w:rsid w:val="00B748D2"/>
    <w:rsid w:val="00BA44F6"/>
    <w:rsid w:val="00BA777E"/>
    <w:rsid w:val="00BA786D"/>
    <w:rsid w:val="00BB4DE8"/>
    <w:rsid w:val="00BB6B6F"/>
    <w:rsid w:val="00BC5EC5"/>
    <w:rsid w:val="00BE0FB1"/>
    <w:rsid w:val="00C06DC3"/>
    <w:rsid w:val="00C137AB"/>
    <w:rsid w:val="00C175B6"/>
    <w:rsid w:val="00C818A1"/>
    <w:rsid w:val="00C8277F"/>
    <w:rsid w:val="00C97E1E"/>
    <w:rsid w:val="00CA22E6"/>
    <w:rsid w:val="00CB0183"/>
    <w:rsid w:val="00CB41C4"/>
    <w:rsid w:val="00CC30A1"/>
    <w:rsid w:val="00CC6986"/>
    <w:rsid w:val="00CF1316"/>
    <w:rsid w:val="00D00A52"/>
    <w:rsid w:val="00D13C44"/>
    <w:rsid w:val="00D21C42"/>
    <w:rsid w:val="00D30282"/>
    <w:rsid w:val="00D313FA"/>
    <w:rsid w:val="00D331AF"/>
    <w:rsid w:val="00D47432"/>
    <w:rsid w:val="00D87CE3"/>
    <w:rsid w:val="00D911C4"/>
    <w:rsid w:val="00D975B1"/>
    <w:rsid w:val="00DB5A30"/>
    <w:rsid w:val="00DE588E"/>
    <w:rsid w:val="00DF38D0"/>
    <w:rsid w:val="00E00323"/>
    <w:rsid w:val="00E10074"/>
    <w:rsid w:val="00E10E6F"/>
    <w:rsid w:val="00E223A5"/>
    <w:rsid w:val="00E35B72"/>
    <w:rsid w:val="00E467D3"/>
    <w:rsid w:val="00E5239E"/>
    <w:rsid w:val="00E54EDB"/>
    <w:rsid w:val="00E62ACB"/>
    <w:rsid w:val="00E73D09"/>
    <w:rsid w:val="00E74967"/>
    <w:rsid w:val="00E76E66"/>
    <w:rsid w:val="00E907BD"/>
    <w:rsid w:val="00E926EE"/>
    <w:rsid w:val="00EA37F5"/>
    <w:rsid w:val="00EA6212"/>
    <w:rsid w:val="00EA7915"/>
    <w:rsid w:val="00EC1533"/>
    <w:rsid w:val="00EC161C"/>
    <w:rsid w:val="00EC2080"/>
    <w:rsid w:val="00EE5D12"/>
    <w:rsid w:val="00F0216C"/>
    <w:rsid w:val="00F12DEB"/>
    <w:rsid w:val="00F1344B"/>
    <w:rsid w:val="00F15453"/>
    <w:rsid w:val="00F30447"/>
    <w:rsid w:val="00F44637"/>
    <w:rsid w:val="00F46719"/>
    <w:rsid w:val="00F525D7"/>
    <w:rsid w:val="00F52B3D"/>
    <w:rsid w:val="00F534A1"/>
    <w:rsid w:val="00F54F6F"/>
    <w:rsid w:val="00F612EC"/>
    <w:rsid w:val="00F76366"/>
    <w:rsid w:val="00FA113D"/>
    <w:rsid w:val="00FC3247"/>
    <w:rsid w:val="00FD13ED"/>
    <w:rsid w:val="00FE23B9"/>
    <w:rsid w:val="00FF5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FF5B"/>
  <w15:docId w15:val="{A86CF3D7-D9F9-437F-BB1A-8BF22EDD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0C67718B-2966-4F9F-A213-DF768D361E39}">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6552</Words>
  <Characters>36038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42505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Victor Manuel Juarez Acosta</cp:lastModifiedBy>
  <cp:revision>3</cp:revision>
  <cp:lastPrinted>2024-10-15T18:10:00Z</cp:lastPrinted>
  <dcterms:created xsi:type="dcterms:W3CDTF">2024-10-16T21:29:00Z</dcterms:created>
  <dcterms:modified xsi:type="dcterms:W3CDTF">2025-04-22T18:18:00Z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