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430F2E" w:rsidP="004129D2">
      <w:pPr>
        <w:pStyle w:val="Ttulo3"/>
        <w:spacing w:before="0" w:after="240" w:line="360" w:lineRule="auto"/>
        <w:ind w:left="426" w:firstLine="0"/>
        <w:jc w:val="center"/>
      </w:pPr>
      <w:bookmarkStart w:id="0" w:name="_Toc437843572"/>
      <w:r>
        <w:t>Ficha</w:t>
      </w:r>
      <w:r w:rsidR="00DB5D45" w:rsidRPr="000A128D">
        <w:t>. Di</w:t>
      </w:r>
      <w:r w:rsidR="004129D2">
        <w:t>fusión de los resultados de la E</w:t>
      </w:r>
      <w:r w:rsidR="00DB5D45" w:rsidRPr="000A128D">
        <w:t>valuación</w:t>
      </w:r>
      <w:bookmarkEnd w:id="0"/>
      <w:r w:rsidR="004129D2">
        <w:t xml:space="preserve"> Específica de Desempeño del </w:t>
      </w:r>
      <w:r w:rsidR="004129D2" w:rsidRPr="004129D2">
        <w:t>Programa de Infraestructura y Equipamiento a Centros de Impulso Social</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430F2E" w:rsidP="00430F2E">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Para la difusión de los resultados de la evaluación se</w:t>
            </w:r>
            <w:r>
              <w:rPr>
                <w:rFonts w:ascii="Arial" w:eastAsia="Arial" w:hAnsi="Arial" w:cs="Arial"/>
                <w:i/>
              </w:rPr>
              <w:t xml:space="preserve"> presentan </w:t>
            </w:r>
            <w:r w:rsidR="00DB5D45" w:rsidRPr="00757488">
              <w:rPr>
                <w:rFonts w:ascii="Arial" w:eastAsia="Arial" w:hAnsi="Arial" w:cs="Arial"/>
                <w:i/>
              </w:rPr>
              <w:t>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4129D2" w:rsidRPr="004129D2">
              <w:rPr>
                <w:color w:val="000000"/>
                <w:sz w:val="22"/>
                <w:szCs w:val="22"/>
                <w:lang w:eastAsia="es-MX"/>
              </w:rPr>
              <w:t>Programa de Infraestructura y Equipamiento a Centros de Impulso Social</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430F2E"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430F2E" w:rsidRPr="00CA03D2" w:rsidRDefault="00430F2E" w:rsidP="00430F2E">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430F2E" w:rsidRPr="00CA03D2" w:rsidRDefault="00430F2E" w:rsidP="00430F2E">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4129D2">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4129D2"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4129D2" w:rsidRPr="004129D2" w:rsidRDefault="004129D2" w:rsidP="004129D2">
            <w:pPr>
              <w:pStyle w:val="Texto"/>
              <w:spacing w:line="252" w:lineRule="exact"/>
              <w:ind w:firstLine="0"/>
              <w:rPr>
                <w:color w:val="000000"/>
                <w:sz w:val="22"/>
                <w:szCs w:val="22"/>
                <w:lang w:eastAsia="es-MX"/>
              </w:rPr>
            </w:pPr>
            <w:r w:rsidRPr="004129D2">
              <w:rPr>
                <w:color w:val="000000"/>
                <w:sz w:val="22"/>
                <w:szCs w:val="22"/>
                <w:lang w:eastAsia="es-MX"/>
              </w:rPr>
              <w:t>En evaluaciones y estudios realizados por la Universidad de Guanajuato y BHMC Consultores A.C, se manifiesta la carencia de información para valorar el desempeño o resultados del Programa y la necesidad de generar información para tal fin. Este hallazgo se mantiene vigente dado que el Programa no presenta información sobre las metas y avances de los indicadores de la MIR para valorar el desempeño del Programa en 2015 y tampoco de años anteriores.</w:t>
            </w:r>
          </w:p>
          <w:p w:rsidR="004129D2" w:rsidRPr="004129D2" w:rsidRDefault="004129D2" w:rsidP="004129D2">
            <w:pPr>
              <w:pStyle w:val="Texto"/>
              <w:spacing w:line="252" w:lineRule="exact"/>
              <w:ind w:firstLine="0"/>
              <w:rPr>
                <w:color w:val="000000"/>
                <w:sz w:val="22"/>
                <w:szCs w:val="22"/>
                <w:lang w:eastAsia="es-MX"/>
              </w:rPr>
            </w:pPr>
            <w:r w:rsidRPr="004129D2">
              <w:rPr>
                <w:color w:val="000000"/>
                <w:sz w:val="22"/>
                <w:szCs w:val="22"/>
                <w:lang w:eastAsia="es-MX"/>
              </w:rPr>
              <w:t>La Población Potencial no está definida en algún documento normativo, pero el Programa cuenta con un registro estadístico con las condiciones de rezago y marginación de la población que presenta el problema ubicada en 37 espacios territoriales y de las Zonas de Atención Prioritaria, la cual puede ser utilizada para la cuantificación de esta población.</w:t>
            </w:r>
          </w:p>
          <w:p w:rsidR="00DB5D45" w:rsidRDefault="004129D2" w:rsidP="004129D2">
            <w:pPr>
              <w:pStyle w:val="Texto"/>
              <w:spacing w:line="252" w:lineRule="exact"/>
              <w:ind w:firstLine="0"/>
              <w:rPr>
                <w:color w:val="000000"/>
                <w:sz w:val="22"/>
                <w:szCs w:val="22"/>
                <w:lang w:eastAsia="es-MX"/>
              </w:rPr>
            </w:pPr>
            <w:r w:rsidRPr="004129D2">
              <w:rPr>
                <w:color w:val="000000"/>
                <w:sz w:val="22"/>
                <w:szCs w:val="22"/>
                <w:lang w:eastAsia="es-MX"/>
              </w:rPr>
              <w:t>Debido a que el programa no entrega las obras construidas o equipadas directamente a la población no es posible contar con un Padrón de Beneficiarios (Población Atendida) real dado que por la naturaleza de las obras no se puede establecer qué personas serán las usuarias de los Centros para contar con un padrón, por lo que solamente se cuenta con los listados de nombres de personas que solicitan el Centro al momento de cumplimentar los formatos de la propuesta de inversión.</w:t>
            </w:r>
          </w:p>
          <w:p w:rsidR="004129D2" w:rsidRPr="00757488" w:rsidRDefault="004129D2" w:rsidP="00456994">
            <w:pPr>
              <w:pStyle w:val="Texto"/>
              <w:spacing w:line="252" w:lineRule="exact"/>
              <w:ind w:firstLine="0"/>
              <w:rPr>
                <w:color w:val="000000"/>
                <w:sz w:val="22"/>
                <w:szCs w:val="22"/>
                <w:lang w:eastAsia="es-MX"/>
              </w:rPr>
            </w:pPr>
            <w:r w:rsidRPr="004129D2">
              <w:rPr>
                <w:color w:val="000000"/>
                <w:sz w:val="22"/>
                <w:szCs w:val="22"/>
                <w:lang w:eastAsia="es-MX"/>
              </w:rPr>
              <w:t xml:space="preserve">La construcción y equipamiento de los Centros </w:t>
            </w:r>
            <w:r w:rsidR="00456994">
              <w:rPr>
                <w:color w:val="000000"/>
                <w:sz w:val="22"/>
                <w:szCs w:val="22"/>
                <w:lang w:eastAsia="es-MX"/>
              </w:rPr>
              <w:t xml:space="preserve">ofrece </w:t>
            </w:r>
            <w:r w:rsidRPr="004129D2">
              <w:rPr>
                <w:color w:val="000000"/>
                <w:sz w:val="22"/>
                <w:szCs w:val="22"/>
                <w:lang w:eastAsia="es-MX"/>
              </w:rPr>
              <w:t>el espacio para real</w:t>
            </w:r>
            <w:r w:rsidR="00456994">
              <w:rPr>
                <w:color w:val="000000"/>
                <w:sz w:val="22"/>
                <w:szCs w:val="22"/>
                <w:lang w:eastAsia="es-MX"/>
              </w:rPr>
              <w:t>izar las actividades que ofrece</w:t>
            </w:r>
            <w:r w:rsidRPr="004129D2">
              <w:rPr>
                <w:color w:val="000000"/>
                <w:sz w:val="22"/>
                <w:szCs w:val="22"/>
                <w:lang w:eastAsia="es-MX"/>
              </w:rPr>
              <w:t xml:space="preserve"> el Programa</w:t>
            </w:r>
            <w:r w:rsidR="00456994">
              <w:rPr>
                <w:color w:val="000000"/>
                <w:sz w:val="22"/>
                <w:szCs w:val="22"/>
                <w:lang w:eastAsia="es-MX"/>
              </w:rPr>
              <w:t xml:space="preserve">, </w:t>
            </w:r>
            <w:r w:rsidRPr="004129D2">
              <w:rPr>
                <w:color w:val="000000"/>
                <w:sz w:val="22"/>
                <w:szCs w:val="22"/>
                <w:lang w:eastAsia="es-MX"/>
              </w:rPr>
              <w:t>hay más actividades y los salones son más amplios</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r w:rsidR="006F6CF6">
              <w:rPr>
                <w:color w:val="000000"/>
                <w:sz w:val="22"/>
                <w:szCs w:val="22"/>
                <w:lang w:eastAsia="es-MX"/>
              </w:rPr>
              <w:t xml:space="preserve"> </w:t>
            </w:r>
          </w:p>
          <w:p w:rsidR="00456994" w:rsidRDefault="00456994" w:rsidP="004001FC">
            <w:pPr>
              <w:pStyle w:val="Texto"/>
              <w:spacing w:line="252" w:lineRule="exact"/>
              <w:ind w:firstLine="0"/>
              <w:rPr>
                <w:color w:val="000000"/>
                <w:sz w:val="22"/>
                <w:szCs w:val="22"/>
                <w:lang w:eastAsia="es-MX"/>
              </w:rPr>
            </w:pPr>
            <w:r w:rsidRPr="00456994">
              <w:rPr>
                <w:color w:val="000000"/>
                <w:sz w:val="22"/>
                <w:szCs w:val="22"/>
                <w:lang w:eastAsia="es-MX"/>
              </w:rPr>
              <w:t>Uno de los principales efectos esperados de la construcción y equipamiento de los Centros resultante del taller con el grupo de enfoque es que las personas que viven donde no había un Centro antes no realizaban actividades fuera de casa debido a la inseguridad y a que no había cerca algún sitio de este tipo con actividades culturales o cursos.</w:t>
            </w:r>
          </w:p>
          <w:p w:rsidR="00456994" w:rsidRDefault="00456994" w:rsidP="004001FC">
            <w:pPr>
              <w:pStyle w:val="Texto"/>
              <w:spacing w:line="252" w:lineRule="exact"/>
              <w:ind w:firstLine="0"/>
              <w:rPr>
                <w:color w:val="000000"/>
                <w:sz w:val="22"/>
                <w:szCs w:val="22"/>
                <w:lang w:eastAsia="es-MX"/>
              </w:rPr>
            </w:pPr>
            <w:r w:rsidRPr="00456994">
              <w:rPr>
                <w:color w:val="000000"/>
                <w:sz w:val="22"/>
                <w:szCs w:val="22"/>
                <w:lang w:eastAsia="es-MX"/>
              </w:rPr>
              <w:t xml:space="preserve">Otro de los beneficios de la construcción de los Centros mencionado en el taller con el grupo de enfoque es que estos sitios representan un espacio donde todos los </w:t>
            </w:r>
            <w:r w:rsidRPr="00456994">
              <w:rPr>
                <w:color w:val="000000"/>
                <w:sz w:val="22"/>
                <w:szCs w:val="22"/>
                <w:lang w:eastAsia="es-MX"/>
              </w:rPr>
              <w:lastRenderedPageBreak/>
              <w:t>miembros de la familia pueden realizar alguna actividad recreativa o de capacitación, por lo que la convivencia familiar ha aumentado conforme asisten al Centro.</w:t>
            </w:r>
          </w:p>
          <w:p w:rsidR="00456994" w:rsidRPr="00456994" w:rsidRDefault="00456994" w:rsidP="00456994">
            <w:pPr>
              <w:pStyle w:val="Texto"/>
              <w:spacing w:line="252" w:lineRule="exact"/>
              <w:ind w:firstLine="0"/>
              <w:rPr>
                <w:color w:val="000000"/>
                <w:sz w:val="22"/>
                <w:szCs w:val="22"/>
                <w:lang w:eastAsia="es-MX"/>
              </w:rPr>
            </w:pPr>
            <w:r w:rsidRPr="00456994">
              <w:rPr>
                <w:color w:val="000000"/>
                <w:sz w:val="22"/>
                <w:szCs w:val="22"/>
                <w:lang w:eastAsia="es-MX"/>
              </w:rPr>
              <w:t>El indicador de Fin es adecuado debido a que reporta en qué medida se está eliminando el rezago social en las zonas con alto nivel de rezago social.</w:t>
            </w:r>
          </w:p>
          <w:p w:rsidR="00456994" w:rsidRDefault="00456994" w:rsidP="00456994">
            <w:pPr>
              <w:pStyle w:val="Texto"/>
              <w:spacing w:line="252" w:lineRule="exact"/>
              <w:ind w:firstLine="0"/>
              <w:rPr>
                <w:color w:val="000000"/>
                <w:sz w:val="22"/>
                <w:szCs w:val="22"/>
                <w:lang w:eastAsia="es-MX"/>
              </w:rPr>
            </w:pPr>
            <w:r w:rsidRPr="00456994">
              <w:rPr>
                <w:color w:val="000000"/>
                <w:sz w:val="22"/>
                <w:szCs w:val="22"/>
                <w:lang w:eastAsia="es-MX"/>
              </w:rPr>
              <w:t>Los dos indicadores de Propósito son adecuados porque reflejan en qué medida la población del estado en las zonas con alto rezago social cuenta con instalaciones adecuadas y equipadas para su desarrollo social y humano.</w:t>
            </w:r>
          </w:p>
          <w:p w:rsidR="008C5DCE" w:rsidRPr="00757488" w:rsidRDefault="008C5DCE" w:rsidP="00456994">
            <w:pPr>
              <w:pStyle w:val="Texto"/>
              <w:spacing w:line="252" w:lineRule="exact"/>
              <w:ind w:firstLine="0"/>
              <w:rPr>
                <w:color w:val="000000"/>
                <w:sz w:val="22"/>
                <w:szCs w:val="22"/>
                <w:lang w:eastAsia="es-MX"/>
              </w:rPr>
            </w:pPr>
            <w:r w:rsidRPr="008C5DCE">
              <w:rPr>
                <w:color w:val="000000"/>
                <w:sz w:val="22"/>
                <w:szCs w:val="22"/>
                <w:lang w:eastAsia="es-MX"/>
              </w:rPr>
              <w:t>El presupuesto modificado en 2014 fue de 35 millones de pesos en tanto para 2015 fue de 45 millones 394 mil 70 pesos, lo que representó un crecimiento de 28.7% con respecto a 2014.</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2.2.2 Oportunidades:</w:t>
            </w:r>
            <w:r w:rsidR="006F6CF6">
              <w:rPr>
                <w:color w:val="000000"/>
                <w:sz w:val="22"/>
                <w:szCs w:val="22"/>
                <w:lang w:eastAsia="es-MX"/>
              </w:rPr>
              <w:t xml:space="preserve"> </w:t>
            </w:r>
          </w:p>
          <w:p w:rsidR="008C5DCE" w:rsidRPr="00757488" w:rsidRDefault="008C5DCE" w:rsidP="004001FC">
            <w:pPr>
              <w:pStyle w:val="Texto"/>
              <w:spacing w:line="252" w:lineRule="exact"/>
              <w:ind w:firstLine="0"/>
              <w:rPr>
                <w:color w:val="000000"/>
                <w:sz w:val="22"/>
                <w:szCs w:val="22"/>
                <w:lang w:eastAsia="es-MX"/>
              </w:rPr>
            </w:pPr>
            <w:r w:rsidRPr="00456994">
              <w:rPr>
                <w:color w:val="000000"/>
                <w:sz w:val="22"/>
                <w:szCs w:val="22"/>
                <w:lang w:eastAsia="es-MX"/>
              </w:rPr>
              <w:t>En el taller con el grupo de enfoque se mencionó que cada vez hay más demanda por los servicios que ofrecen los Centros</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r w:rsidR="006F6CF6">
              <w:rPr>
                <w:color w:val="000000"/>
                <w:sz w:val="22"/>
                <w:szCs w:val="22"/>
                <w:lang w:eastAsia="es-MX"/>
              </w:rPr>
              <w:t xml:space="preserve"> </w:t>
            </w:r>
          </w:p>
          <w:p w:rsidR="00456994" w:rsidRDefault="00456994" w:rsidP="004001FC">
            <w:pPr>
              <w:pStyle w:val="Texto"/>
              <w:spacing w:line="252" w:lineRule="exact"/>
              <w:ind w:firstLine="0"/>
              <w:rPr>
                <w:color w:val="000000"/>
                <w:sz w:val="22"/>
                <w:szCs w:val="22"/>
                <w:lang w:eastAsia="es-MX"/>
              </w:rPr>
            </w:pPr>
            <w:r w:rsidRPr="00456994">
              <w:rPr>
                <w:color w:val="000000"/>
                <w:sz w:val="22"/>
                <w:szCs w:val="22"/>
                <w:lang w:eastAsia="es-MX"/>
              </w:rPr>
              <w:t>El Programa no presenta información sobre las metas y avances de los indicadores de la MIR para valorar el desempeño del Programa en 2014 y 2015</w:t>
            </w:r>
            <w:r>
              <w:rPr>
                <w:color w:val="000000"/>
                <w:sz w:val="22"/>
                <w:szCs w:val="22"/>
                <w:lang w:eastAsia="es-MX"/>
              </w:rPr>
              <w:t>.</w:t>
            </w:r>
          </w:p>
          <w:p w:rsidR="00456994" w:rsidRDefault="00456994" w:rsidP="004001FC">
            <w:pPr>
              <w:pStyle w:val="Texto"/>
              <w:spacing w:line="252" w:lineRule="exact"/>
              <w:ind w:firstLine="0"/>
              <w:rPr>
                <w:color w:val="000000"/>
                <w:sz w:val="22"/>
                <w:szCs w:val="22"/>
                <w:lang w:eastAsia="es-MX"/>
              </w:rPr>
            </w:pPr>
            <w:r w:rsidRPr="00456994">
              <w:rPr>
                <w:color w:val="000000"/>
                <w:sz w:val="22"/>
                <w:szCs w:val="22"/>
                <w:lang w:eastAsia="es-MX"/>
              </w:rPr>
              <w:t>La Población Potencial no está definida y cuantificada y por ello no se puede establecer en qué medida la construcción y equipamiento de estos Centros ha ido cubriendo la Población Potencial</w:t>
            </w:r>
            <w:r>
              <w:rPr>
                <w:color w:val="000000"/>
                <w:sz w:val="22"/>
                <w:szCs w:val="22"/>
                <w:lang w:eastAsia="es-MX"/>
              </w:rPr>
              <w:t>.</w:t>
            </w:r>
          </w:p>
          <w:p w:rsidR="008C5DCE" w:rsidRDefault="008C5DCE" w:rsidP="004001FC">
            <w:pPr>
              <w:pStyle w:val="Texto"/>
              <w:spacing w:line="252" w:lineRule="exact"/>
              <w:ind w:firstLine="0"/>
              <w:rPr>
                <w:color w:val="000000"/>
                <w:sz w:val="22"/>
                <w:szCs w:val="22"/>
                <w:lang w:eastAsia="es-MX"/>
              </w:rPr>
            </w:pPr>
            <w:r w:rsidRPr="004129D2">
              <w:rPr>
                <w:color w:val="000000"/>
                <w:sz w:val="22"/>
                <w:szCs w:val="22"/>
                <w:lang w:eastAsia="es-MX"/>
              </w:rPr>
              <w:t>La Población Objetivo en las Reglas de Operación no hace el señalamiento de que se trata de la población que se tiene previsto atender en un periodo de planeación de mediano plazo (de 3 a 6 años) o por alguna característica particular que implique su prioridad.</w:t>
            </w:r>
          </w:p>
          <w:p w:rsidR="00456994" w:rsidRDefault="008C5DCE" w:rsidP="004001FC">
            <w:pPr>
              <w:pStyle w:val="Texto"/>
              <w:spacing w:line="252" w:lineRule="exact"/>
              <w:ind w:firstLine="0"/>
              <w:rPr>
                <w:color w:val="000000"/>
                <w:sz w:val="22"/>
                <w:szCs w:val="22"/>
                <w:lang w:eastAsia="es-MX"/>
              </w:rPr>
            </w:pPr>
            <w:r w:rsidRPr="008C5DCE">
              <w:rPr>
                <w:color w:val="000000"/>
                <w:sz w:val="22"/>
                <w:szCs w:val="22"/>
                <w:lang w:eastAsia="es-MX"/>
              </w:rPr>
              <w:t>En el taller con el grupo de enfoque se mencionó que hace falta una cancha de básquetbol techada, un salón de eventos más grande y más salones para los talleres, así como también hace falta material de audio y video y también hace falta equipamiento para la biblioteca</w:t>
            </w:r>
            <w:r>
              <w:rPr>
                <w:color w:val="000000"/>
                <w:sz w:val="22"/>
                <w:szCs w:val="22"/>
                <w:lang w:eastAsia="es-MX"/>
              </w:rPr>
              <w:t>.</w:t>
            </w:r>
          </w:p>
          <w:p w:rsidR="008C5DCE" w:rsidRPr="00757488" w:rsidRDefault="008C5DCE" w:rsidP="004001FC">
            <w:pPr>
              <w:pStyle w:val="Texto"/>
              <w:spacing w:line="252" w:lineRule="exact"/>
              <w:ind w:firstLine="0"/>
              <w:rPr>
                <w:color w:val="000000"/>
                <w:sz w:val="22"/>
                <w:szCs w:val="22"/>
                <w:lang w:eastAsia="es-MX"/>
              </w:rPr>
            </w:pPr>
            <w:r w:rsidRPr="004129D2">
              <w:rPr>
                <w:color w:val="000000"/>
                <w:sz w:val="22"/>
                <w:szCs w:val="22"/>
                <w:lang w:eastAsia="es-MX"/>
              </w:rPr>
              <w:t>El Programa ha dado seguimiento a las recomendaciones de la evaluación realizada por la Universidad de Guanajuato en 2013, sin embargo, no se cuenta con un documento con el seguimiento a las recomendaciones de la evaluación de diseño realizada en 2014 por BHMC Consultores A.C.</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456994" w:rsidRPr="00757488" w:rsidRDefault="00DB5D45" w:rsidP="008C5DCE">
            <w:pPr>
              <w:pStyle w:val="Texto"/>
              <w:spacing w:line="252" w:lineRule="exact"/>
              <w:ind w:firstLine="0"/>
              <w:rPr>
                <w:color w:val="000000"/>
                <w:sz w:val="22"/>
                <w:szCs w:val="22"/>
                <w:lang w:eastAsia="es-MX"/>
              </w:rPr>
            </w:pPr>
            <w:r w:rsidRPr="00757488">
              <w:rPr>
                <w:color w:val="000000"/>
                <w:sz w:val="22"/>
                <w:szCs w:val="22"/>
                <w:lang w:eastAsia="es-MX"/>
              </w:rPr>
              <w:t>2.2.4 Amenazas:</w:t>
            </w:r>
            <w:r w:rsidR="006F6CF6">
              <w:rPr>
                <w:color w:val="000000"/>
                <w:sz w:val="22"/>
                <w:szCs w:val="22"/>
                <w:lang w:eastAsia="es-MX"/>
              </w:rPr>
              <w:t xml:space="preserve"> </w:t>
            </w:r>
            <w:r w:rsidR="00C0690C">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8C5DCE" w:rsidRDefault="004129D2" w:rsidP="004129D2">
            <w:pPr>
              <w:pStyle w:val="Texto"/>
              <w:spacing w:line="252" w:lineRule="exact"/>
              <w:ind w:firstLine="0"/>
              <w:rPr>
                <w:color w:val="000000"/>
                <w:sz w:val="22"/>
                <w:szCs w:val="22"/>
                <w:lang w:eastAsia="es-MX"/>
              </w:rPr>
            </w:pPr>
            <w:r w:rsidRPr="004129D2">
              <w:rPr>
                <w:color w:val="000000"/>
                <w:sz w:val="22"/>
                <w:szCs w:val="22"/>
                <w:lang w:eastAsia="es-MX"/>
              </w:rPr>
              <w:t>La construcción y equipamiento de los Centros de Impulso Social consolidan en un mismo espacio las actividades consideradas en la oferta de servicios del Programa que anteriormente se ofrecían en casas adaptadas para ello con el inconveniente de la reducida oferta de servicios en cada casa y la consecuente separación física de los miembros de una mis</w:t>
            </w:r>
            <w:r w:rsidR="008C5DCE">
              <w:rPr>
                <w:color w:val="000000"/>
                <w:sz w:val="22"/>
                <w:szCs w:val="22"/>
                <w:lang w:eastAsia="es-MX"/>
              </w:rPr>
              <w:t>ma familia en distintos sitios.</w:t>
            </w:r>
          </w:p>
          <w:p w:rsidR="004129D2" w:rsidRPr="004129D2" w:rsidRDefault="004129D2" w:rsidP="004129D2">
            <w:pPr>
              <w:pStyle w:val="Texto"/>
              <w:spacing w:line="252" w:lineRule="exact"/>
              <w:ind w:firstLine="0"/>
              <w:rPr>
                <w:color w:val="000000"/>
                <w:sz w:val="22"/>
                <w:szCs w:val="22"/>
                <w:lang w:eastAsia="es-MX"/>
              </w:rPr>
            </w:pPr>
            <w:r w:rsidRPr="004129D2">
              <w:rPr>
                <w:color w:val="000000"/>
                <w:sz w:val="22"/>
                <w:szCs w:val="22"/>
                <w:lang w:eastAsia="es-MX"/>
              </w:rPr>
              <w:t>Los Centros de Impulso Social permiten ofrecer en una misma instalación diversos servicios como son las actividades deportivas, culturales y de aprendizaje por lo que todos los miembros de la familia pueden asistir al mismo Centro con seguridad.</w:t>
            </w:r>
          </w:p>
          <w:p w:rsidR="008C5DCE" w:rsidRDefault="004129D2" w:rsidP="008C5DCE">
            <w:pPr>
              <w:pStyle w:val="Texto"/>
              <w:spacing w:line="252" w:lineRule="exact"/>
              <w:ind w:firstLine="0"/>
              <w:rPr>
                <w:color w:val="000000"/>
                <w:sz w:val="22"/>
                <w:szCs w:val="22"/>
                <w:lang w:eastAsia="es-MX"/>
              </w:rPr>
            </w:pPr>
            <w:r w:rsidRPr="004129D2">
              <w:rPr>
                <w:color w:val="000000"/>
                <w:sz w:val="22"/>
                <w:szCs w:val="22"/>
                <w:lang w:eastAsia="es-MX"/>
              </w:rPr>
              <w:lastRenderedPageBreak/>
              <w:t>Por las características de este Programa, es factible cuantificar la Población Potencial y Objetivo, así como hacer una estimación de la población que se encuentra en las zonas de cobertura de los Centros con fines de planeación, sin embargo, por estas características del Programa es imposible cuantificar la Población Atendida dado que este Programa no brinda atención directa a la población.</w:t>
            </w:r>
          </w:p>
          <w:p w:rsidR="004129D2" w:rsidRPr="004129D2" w:rsidRDefault="004129D2" w:rsidP="008C5DCE">
            <w:pPr>
              <w:pStyle w:val="Texto"/>
              <w:spacing w:line="252" w:lineRule="exact"/>
              <w:ind w:firstLine="0"/>
              <w:rPr>
                <w:color w:val="000000"/>
                <w:sz w:val="22"/>
                <w:szCs w:val="22"/>
                <w:lang w:eastAsia="es-MX"/>
              </w:rPr>
            </w:pPr>
            <w:r w:rsidRPr="004129D2">
              <w:rPr>
                <w:color w:val="000000"/>
                <w:sz w:val="22"/>
                <w:szCs w:val="22"/>
                <w:lang w:eastAsia="es-MX"/>
              </w:rPr>
              <w:t>Por lo anterior, el Padrón de Beneficiarios reportado por el Programa consiste en un listado de personas que han manifestado interés en la construcción y equipamiento del Centro, el cual se elabora como requisito para obtener el apoyo del Programa. Por la naturaleza de las obras no se puede establecer qué personas serán las usuarias de los Centros para contar con un Padrón de Beneficiarios por anticipado a su utilización, por lo que en todo caso, se contará con un Padrón de Beneficiarios del Programa Centros de Impulso Social para el Desarrollo Comunitario Integral, una vez que el Centro esté en operación, por lo que para dicho Programa sí se puede establecer con precisión cuál es la Población Atendida.</w:t>
            </w:r>
          </w:p>
          <w:p w:rsidR="004129D2" w:rsidRPr="00757488" w:rsidRDefault="004129D2" w:rsidP="008C5DCE">
            <w:pPr>
              <w:pStyle w:val="Texto"/>
              <w:spacing w:line="252" w:lineRule="exact"/>
              <w:ind w:firstLine="0"/>
              <w:rPr>
                <w:color w:val="000000"/>
                <w:sz w:val="22"/>
                <w:szCs w:val="22"/>
                <w:lang w:eastAsia="es-MX"/>
              </w:rPr>
            </w:pPr>
            <w:r w:rsidRPr="004129D2">
              <w:rPr>
                <w:color w:val="000000"/>
                <w:sz w:val="22"/>
                <w:szCs w:val="22"/>
                <w:lang w:eastAsia="es-MX"/>
              </w:rPr>
              <w:t>Del taller con el grupo de enfoque se puede señalar que antes de la construcción y equipamiento de los Centros el espacio para realizar las actividades que ofrecía el Programa en las casas rentadas era pequeño y no era cómodo asistir a esas instalaciones. Otro de los principales resultados es que si no existieran los Centros de Impulso Social, las personas que viven a su alrededor no asistirían a actividades de este tipo en otros lugares debido al costo del transporte y el tiempo de traslado que ello implicaría.</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456994">
              <w:rPr>
                <w:color w:val="000000"/>
                <w:sz w:val="22"/>
                <w:szCs w:val="22"/>
                <w:lang w:eastAsia="es-MX"/>
              </w:rPr>
              <w:t>S</w:t>
            </w:r>
            <w:r w:rsidR="00456994" w:rsidRPr="00456994">
              <w:rPr>
                <w:color w:val="000000"/>
                <w:sz w:val="22"/>
                <w:szCs w:val="22"/>
                <w:lang w:eastAsia="es-MX"/>
              </w:rPr>
              <w:t>e recomienda que se definan las metas de todos los indicadores de la MIR a principios de cada año y se vaya registrando el avance de las mismas.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456994">
              <w:rPr>
                <w:color w:val="000000"/>
                <w:sz w:val="22"/>
                <w:szCs w:val="22"/>
                <w:lang w:eastAsia="es-MX"/>
              </w:rPr>
              <w:t>S</w:t>
            </w:r>
            <w:r w:rsidR="00456994" w:rsidRPr="00456994">
              <w:rPr>
                <w:color w:val="000000"/>
                <w:sz w:val="22"/>
                <w:szCs w:val="22"/>
                <w:lang w:eastAsia="es-MX"/>
              </w:rPr>
              <w:t>e recomienda se utilice el registro estadístico con las condiciones de rezago y marginación de la población por AGEB con el que cuenta el Programa para cuantificación de la Población Potencial</w:t>
            </w:r>
            <w:r w:rsidR="008C5DCE">
              <w:rPr>
                <w:color w:val="000000"/>
                <w:sz w:val="22"/>
                <w:szCs w:val="22"/>
                <w:lang w:eastAsia="es-MX"/>
              </w:rPr>
              <w:t xml:space="preserve"> y la Población Objetivo</w:t>
            </w:r>
            <w:r w:rsidR="00456994" w:rsidRPr="00456994">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8C5DCE">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8C5DCE">
              <w:rPr>
                <w:color w:val="000000"/>
                <w:sz w:val="22"/>
                <w:szCs w:val="22"/>
                <w:lang w:eastAsia="es-MX"/>
              </w:rPr>
              <w:t>S</w:t>
            </w:r>
            <w:r w:rsidR="008C5DCE" w:rsidRPr="008C5DCE">
              <w:rPr>
                <w:color w:val="000000"/>
                <w:sz w:val="22"/>
                <w:szCs w:val="22"/>
                <w:lang w:eastAsia="es-MX"/>
              </w:rPr>
              <w:t xml:space="preserve">e recomienda que el Programa analice la conveniencia </w:t>
            </w:r>
            <w:r w:rsidR="008C5DCE">
              <w:rPr>
                <w:color w:val="000000"/>
                <w:sz w:val="22"/>
                <w:szCs w:val="22"/>
                <w:lang w:eastAsia="es-MX"/>
              </w:rPr>
              <w:t>techar la cancha de básquetbol</w:t>
            </w:r>
            <w:r w:rsidR="008C5DCE" w:rsidRPr="008C5DCE">
              <w:rPr>
                <w:color w:val="000000"/>
                <w:sz w:val="22"/>
                <w:szCs w:val="22"/>
                <w:lang w:eastAsia="es-MX"/>
              </w:rPr>
              <w:t xml:space="preserve">, </w:t>
            </w:r>
            <w:r w:rsidR="008C5DCE">
              <w:rPr>
                <w:color w:val="000000"/>
                <w:sz w:val="22"/>
                <w:szCs w:val="22"/>
                <w:lang w:eastAsia="es-MX"/>
              </w:rPr>
              <w:t>contar con salo</w:t>
            </w:r>
            <w:r w:rsidR="008C5DCE" w:rsidRPr="008C5DCE">
              <w:rPr>
                <w:color w:val="000000"/>
                <w:sz w:val="22"/>
                <w:szCs w:val="22"/>
                <w:lang w:eastAsia="es-MX"/>
              </w:rPr>
              <w:t>n</w:t>
            </w:r>
            <w:r w:rsidR="008C5DCE">
              <w:rPr>
                <w:color w:val="000000"/>
                <w:sz w:val="22"/>
                <w:szCs w:val="22"/>
                <w:lang w:eastAsia="es-MX"/>
              </w:rPr>
              <w:t>es</w:t>
            </w:r>
            <w:r w:rsidR="008C5DCE" w:rsidRPr="008C5DCE">
              <w:rPr>
                <w:color w:val="000000"/>
                <w:sz w:val="22"/>
                <w:szCs w:val="22"/>
                <w:lang w:eastAsia="es-MX"/>
              </w:rPr>
              <w:t xml:space="preserve"> de eventos más grande y más salones para los talleres, así como también hace falta material de audio y video y también hace falta equipamiento para la biblioteca</w:t>
            </w:r>
            <w:r w:rsidR="008C5DCE">
              <w:rPr>
                <w:color w:val="000000"/>
                <w:sz w:val="22"/>
                <w:szCs w:val="22"/>
                <w:lang w:eastAsia="es-MX"/>
              </w:rPr>
              <w:t xml:space="preserve"> </w:t>
            </w:r>
            <w:r w:rsidR="008C5DCE" w:rsidRPr="008C5DCE">
              <w:rPr>
                <w:color w:val="000000"/>
                <w:sz w:val="22"/>
                <w:szCs w:val="22"/>
                <w:lang w:eastAsia="es-MX"/>
              </w:rPr>
              <w:t>en los Centros que ya existen y en el diseño de los nuevos Centros que se construyan</w:t>
            </w:r>
            <w:r w:rsidR="008C5DCE">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4:</w:t>
            </w:r>
            <w:r w:rsidR="006F6CF6">
              <w:rPr>
                <w:color w:val="000000"/>
                <w:sz w:val="22"/>
                <w:szCs w:val="22"/>
                <w:lang w:eastAsia="es-MX"/>
              </w:rPr>
              <w:t xml:space="preserve"> </w:t>
            </w:r>
            <w:r w:rsidR="008C5DCE">
              <w:rPr>
                <w:color w:val="000000"/>
                <w:sz w:val="22"/>
                <w:szCs w:val="22"/>
                <w:lang w:eastAsia="es-MX"/>
              </w:rPr>
              <w:t>S</w:t>
            </w:r>
            <w:r w:rsidR="008C5DCE" w:rsidRPr="008C5DCE">
              <w:rPr>
                <w:color w:val="000000"/>
                <w:sz w:val="22"/>
                <w:szCs w:val="22"/>
                <w:lang w:eastAsia="es-MX"/>
              </w:rPr>
              <w:t>e recomienda que el Programa revise su planeación y los pronósticos de demanda esperada para la construcción de nuevos Centros y su dimensión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5:</w:t>
            </w:r>
            <w:r w:rsidR="006F6CF6">
              <w:rPr>
                <w:color w:val="000000"/>
                <w:sz w:val="22"/>
                <w:szCs w:val="22"/>
                <w:lang w:eastAsia="es-MX"/>
              </w:rPr>
              <w:t xml:space="preserve"> </w:t>
            </w:r>
            <w:r w:rsidR="008C5DCE">
              <w:rPr>
                <w:color w:val="000000"/>
                <w:sz w:val="22"/>
                <w:szCs w:val="22"/>
                <w:lang w:eastAsia="es-MX"/>
              </w:rPr>
              <w:t xml:space="preserve">Se recomienda elaborar el </w:t>
            </w:r>
            <w:r w:rsidR="008C5DCE" w:rsidRPr="008C5DCE">
              <w:rPr>
                <w:color w:val="000000"/>
                <w:sz w:val="22"/>
                <w:szCs w:val="22"/>
                <w:lang w:eastAsia="es-MX"/>
              </w:rPr>
              <w:t>documento con el seguimiento a las recomendaciones de la evaluación de diseño realizada en 2014 por BHMC Consultores A.C.</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lastRenderedPageBreak/>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4E3076" w:rsidRPr="004129D2">
              <w:rPr>
                <w:color w:val="000000"/>
                <w:sz w:val="22"/>
                <w:szCs w:val="22"/>
                <w:lang w:eastAsia="es-MX"/>
              </w:rPr>
              <w:t>Programa de Infraestructura y Equipamiento a Centros de Impulso Social</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4E3076">
              <w:rPr>
                <w:color w:val="000000"/>
                <w:sz w:val="22"/>
                <w:szCs w:val="22"/>
                <w:lang w:eastAsia="es-MX"/>
              </w:rPr>
              <w:t>PIECIS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4E3076" w:rsidP="004001FC">
            <w:pPr>
              <w:pStyle w:val="Texto"/>
              <w:spacing w:line="268" w:lineRule="exact"/>
              <w:ind w:firstLine="0"/>
              <w:rPr>
                <w:color w:val="000000"/>
                <w:sz w:val="22"/>
                <w:szCs w:val="22"/>
                <w:lang w:eastAsia="es-MX"/>
              </w:rPr>
            </w:pPr>
            <w:r>
              <w:rPr>
                <w:color w:val="000000"/>
                <w:sz w:val="22"/>
                <w:szCs w:val="22"/>
                <w:lang w:eastAsia="es-MX"/>
              </w:rPr>
              <w:t xml:space="preserve">5011 </w:t>
            </w:r>
            <w:r w:rsidR="004129D2" w:rsidRPr="004129D2">
              <w:rPr>
                <w:color w:val="000000"/>
                <w:sz w:val="22"/>
                <w:szCs w:val="22"/>
                <w:lang w:eastAsia="es-MX"/>
              </w:rPr>
              <w:t>Dirección General de Gestoría y Vinculación Interinstitucional</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4129D2" w:rsidP="004129D2">
            <w:pPr>
              <w:pStyle w:val="Texto"/>
              <w:spacing w:line="268" w:lineRule="exact"/>
              <w:ind w:firstLine="0"/>
              <w:rPr>
                <w:color w:val="000000"/>
                <w:sz w:val="22"/>
                <w:szCs w:val="22"/>
                <w:lang w:eastAsia="es-MX"/>
              </w:rPr>
            </w:pPr>
            <w:r>
              <w:rPr>
                <w:color w:val="000000"/>
                <w:sz w:val="22"/>
                <w:szCs w:val="22"/>
                <w:lang w:eastAsia="es-MX"/>
              </w:rPr>
              <w:t xml:space="preserve">Dionisio </w:t>
            </w:r>
            <w:r w:rsidR="00D13AA8">
              <w:rPr>
                <w:color w:val="000000"/>
                <w:sz w:val="22"/>
                <w:szCs w:val="22"/>
                <w:lang w:eastAsia="es-MX"/>
              </w:rPr>
              <w:t>Santibáñez</w:t>
            </w:r>
            <w:r>
              <w:rPr>
                <w:color w:val="000000"/>
                <w:sz w:val="22"/>
                <w:szCs w:val="22"/>
                <w:lang w:eastAsia="es-MX"/>
              </w:rPr>
              <w:t xml:space="preserve"> Ochoa.  dsantibanezo@guanajuato.gob.mx </w:t>
            </w:r>
            <w:r w:rsidRPr="004129D2">
              <w:rPr>
                <w:color w:val="000000"/>
                <w:sz w:val="22"/>
                <w:szCs w:val="22"/>
                <w:lang w:eastAsia="es-MX"/>
              </w:rPr>
              <w:t>(473) 102 04 00</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4129D2">
              <w:rPr>
                <w:color w:val="000000"/>
                <w:sz w:val="22"/>
                <w:szCs w:val="22"/>
                <w:lang w:eastAsia="es-MX"/>
              </w:rPr>
              <w:t xml:space="preserve"> Dionisio </w:t>
            </w:r>
            <w:r w:rsidR="00D13AA8">
              <w:rPr>
                <w:color w:val="000000"/>
                <w:sz w:val="22"/>
                <w:szCs w:val="22"/>
                <w:lang w:eastAsia="es-MX"/>
              </w:rPr>
              <w:t>Santibáñez</w:t>
            </w:r>
            <w:r w:rsidR="004129D2">
              <w:rPr>
                <w:color w:val="000000"/>
                <w:sz w:val="22"/>
                <w:szCs w:val="22"/>
                <w:lang w:eastAsia="es-MX"/>
              </w:rPr>
              <w:t xml:space="preserve"> Ochoa</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4129D2">
              <w:rPr>
                <w:color w:val="000000"/>
                <w:sz w:val="22"/>
                <w:szCs w:val="22"/>
                <w:lang w:eastAsia="es-MX"/>
              </w:rPr>
              <w:t xml:space="preserve"> </w:t>
            </w:r>
            <w:r w:rsidR="004129D2" w:rsidRPr="004129D2">
              <w:rPr>
                <w:color w:val="000000"/>
                <w:sz w:val="22"/>
                <w:szCs w:val="22"/>
                <w:lang w:eastAsia="es-MX"/>
              </w:rPr>
              <w:t>Dirección General de Gestoría y Vinculación Interinstitucional</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430F2E">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430F2E"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30F2E" w:rsidRPr="00757488" w:rsidRDefault="00430F2E" w:rsidP="00430F2E">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Dirección General de Planeación y Evaluación.</w:t>
            </w:r>
          </w:p>
        </w:tc>
      </w:tr>
      <w:tr w:rsidR="00430F2E"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30F2E" w:rsidRPr="00757488" w:rsidRDefault="00430F2E" w:rsidP="00430F2E">
            <w:pPr>
              <w:pStyle w:val="Texto"/>
              <w:spacing w:line="268" w:lineRule="exact"/>
              <w:ind w:firstLine="0"/>
              <w:rPr>
                <w:color w:val="000000"/>
                <w:sz w:val="22"/>
                <w:szCs w:val="22"/>
                <w:lang w:eastAsia="es-MX"/>
              </w:rPr>
            </w:pPr>
            <w:r w:rsidRPr="00757488">
              <w:rPr>
                <w:color w:val="000000"/>
                <w:sz w:val="22"/>
                <w:szCs w:val="22"/>
                <w:lang w:eastAsia="es-MX"/>
              </w:rPr>
              <w:t xml:space="preserve">6.3 Costo total de la evaluación: $ </w:t>
            </w:r>
            <w:r>
              <w:rPr>
                <w:color w:val="000000"/>
                <w:sz w:val="22"/>
                <w:szCs w:val="22"/>
                <w:lang w:eastAsia="es-MX"/>
              </w:rPr>
              <w:t>56,929.23</w:t>
            </w:r>
          </w:p>
        </w:tc>
      </w:tr>
      <w:tr w:rsidR="00430F2E"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30F2E" w:rsidRPr="004E3076" w:rsidRDefault="004E3076" w:rsidP="00430F2E">
            <w:pPr>
              <w:pStyle w:val="Ttulo4"/>
              <w:tabs>
                <w:tab w:val="left" w:pos="426"/>
              </w:tabs>
              <w:rPr>
                <w:rFonts w:ascii="Arial" w:eastAsia="Times New Roman" w:hAnsi="Arial" w:cs="Arial"/>
                <w:i w:val="0"/>
                <w:iCs w:val="0"/>
                <w:color w:val="000000"/>
                <w:lang w:val="es-ES"/>
              </w:rPr>
            </w:pPr>
            <w:r>
              <w:rPr>
                <w:rFonts w:ascii="Arial" w:eastAsia="Times New Roman" w:hAnsi="Arial" w:cs="Arial"/>
                <w:i w:val="0"/>
                <w:iCs w:val="0"/>
                <w:color w:val="000000"/>
                <w:lang w:val="es-ES"/>
              </w:rPr>
              <w:t>6.4 Fuente de Financiamiento</w:t>
            </w:r>
            <w:r w:rsidR="00430F2E" w:rsidRPr="004E3076">
              <w:rPr>
                <w:rFonts w:ascii="Arial" w:eastAsia="Times New Roman" w:hAnsi="Arial" w:cs="Arial"/>
                <w:i w:val="0"/>
                <w:iCs w:val="0"/>
                <w:color w:val="000000"/>
                <w:lang w:val="es-ES"/>
              </w:rPr>
              <w:t xml:space="preserve">: </w:t>
            </w:r>
          </w:p>
          <w:p w:rsidR="00430F2E" w:rsidRPr="00430F2E" w:rsidRDefault="00430F2E" w:rsidP="00430F2E">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430F2E"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E3076" w:rsidRDefault="00430F2E" w:rsidP="004E3076">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r w:rsidR="004E3076">
              <w:rPr>
                <w:color w:val="000000"/>
                <w:sz w:val="22"/>
                <w:szCs w:val="22"/>
                <w:lang w:eastAsia="es-MX"/>
              </w:rPr>
              <w:t>Por publicar en:</w:t>
            </w:r>
          </w:p>
          <w:p w:rsidR="004E3076" w:rsidRDefault="004E3076" w:rsidP="004E3076">
            <w:pPr>
              <w:pStyle w:val="Texto"/>
              <w:numPr>
                <w:ilvl w:val="0"/>
                <w:numId w:val="1"/>
              </w:numPr>
              <w:spacing w:line="268" w:lineRule="exact"/>
              <w:rPr>
                <w:color w:val="000000"/>
                <w:sz w:val="22"/>
                <w:szCs w:val="22"/>
                <w:lang w:eastAsia="es-MX"/>
              </w:rPr>
            </w:pPr>
            <w:r>
              <w:rPr>
                <w:color w:val="000000"/>
                <w:sz w:val="22"/>
                <w:szCs w:val="22"/>
                <w:lang w:eastAsia="es-MX"/>
              </w:rPr>
              <w:t xml:space="preserve">La página oficial de la Secretaría de Desarrollo Social y Humano. </w:t>
            </w:r>
            <w:hyperlink r:id="rId9" w:history="1">
              <w:r w:rsidRPr="008D25BC">
                <w:rPr>
                  <w:rStyle w:val="Hipervnculo"/>
                  <w:sz w:val="22"/>
                  <w:szCs w:val="22"/>
                  <w:lang w:eastAsia="es-MX"/>
                </w:rPr>
                <w:t>http://www.desarrollosocial.guanajuato.gob.mx/</w:t>
              </w:r>
            </w:hyperlink>
          </w:p>
          <w:p w:rsidR="00430F2E" w:rsidRPr="00757488" w:rsidRDefault="00430F2E" w:rsidP="00030304">
            <w:pPr>
              <w:pStyle w:val="Texto"/>
              <w:spacing w:line="268" w:lineRule="exact"/>
              <w:ind w:firstLine="0"/>
              <w:rPr>
                <w:color w:val="000000"/>
                <w:sz w:val="22"/>
                <w:szCs w:val="22"/>
                <w:lang w:eastAsia="es-MX"/>
              </w:rPr>
            </w:pPr>
          </w:p>
        </w:tc>
      </w:tr>
      <w:tr w:rsidR="00430F2E"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E3076" w:rsidRDefault="00430F2E" w:rsidP="004E3076">
            <w:pPr>
              <w:pStyle w:val="Texto"/>
              <w:spacing w:line="268" w:lineRule="exact"/>
              <w:ind w:firstLine="0"/>
              <w:rPr>
                <w:color w:val="000000"/>
                <w:sz w:val="22"/>
                <w:szCs w:val="22"/>
                <w:lang w:eastAsia="es-MX"/>
              </w:rPr>
            </w:pPr>
            <w:r w:rsidRPr="00757488">
              <w:rPr>
                <w:color w:val="000000"/>
                <w:sz w:val="22"/>
                <w:szCs w:val="22"/>
                <w:lang w:eastAsia="es-MX"/>
              </w:rPr>
              <w:lastRenderedPageBreak/>
              <w:t>7.2 Difusión en internet del formato:</w:t>
            </w:r>
            <w:r>
              <w:rPr>
                <w:color w:val="000000"/>
                <w:sz w:val="22"/>
                <w:szCs w:val="22"/>
                <w:lang w:eastAsia="es-MX"/>
              </w:rPr>
              <w:t xml:space="preserve"> </w:t>
            </w:r>
            <w:r w:rsidR="004E3076">
              <w:rPr>
                <w:color w:val="000000"/>
                <w:sz w:val="22"/>
                <w:szCs w:val="22"/>
                <w:lang w:eastAsia="es-MX"/>
              </w:rPr>
              <w:t>Por publicar en:</w:t>
            </w:r>
          </w:p>
          <w:p w:rsidR="004E3076" w:rsidRDefault="004E3076" w:rsidP="004E3076">
            <w:pPr>
              <w:pStyle w:val="Texto"/>
              <w:numPr>
                <w:ilvl w:val="0"/>
                <w:numId w:val="2"/>
              </w:numPr>
              <w:spacing w:line="268" w:lineRule="exact"/>
              <w:rPr>
                <w:color w:val="000000"/>
                <w:sz w:val="22"/>
                <w:szCs w:val="22"/>
                <w:lang w:eastAsia="es-MX"/>
              </w:rPr>
            </w:pPr>
            <w:r>
              <w:rPr>
                <w:color w:val="000000"/>
                <w:sz w:val="22"/>
                <w:szCs w:val="22"/>
                <w:lang w:eastAsia="es-MX"/>
              </w:rPr>
              <w:t xml:space="preserve">La página oficial de la Secretaría de Desarrollo Social y Humano. </w:t>
            </w:r>
            <w:hyperlink r:id="rId10" w:history="1">
              <w:r w:rsidRPr="008D25BC">
                <w:rPr>
                  <w:rStyle w:val="Hipervnculo"/>
                  <w:sz w:val="22"/>
                  <w:szCs w:val="22"/>
                  <w:lang w:eastAsia="es-MX"/>
                </w:rPr>
                <w:t>http://www.desarrollosocial.guanajuato.gob.mx/</w:t>
              </w:r>
            </w:hyperlink>
          </w:p>
          <w:p w:rsidR="00430F2E" w:rsidRDefault="00030304" w:rsidP="004E3076">
            <w:pPr>
              <w:pStyle w:val="Texto"/>
              <w:numPr>
                <w:ilvl w:val="0"/>
                <w:numId w:val="2"/>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p w:rsidR="00030304" w:rsidRPr="00757488" w:rsidRDefault="00030304" w:rsidP="00030304">
            <w:pPr>
              <w:pStyle w:val="Texto"/>
              <w:spacing w:line="268" w:lineRule="exact"/>
              <w:ind w:left="720" w:firstLine="0"/>
              <w:rPr>
                <w:color w:val="000000"/>
                <w:sz w:val="22"/>
                <w:szCs w:val="22"/>
                <w:lang w:eastAsia="es-MX"/>
              </w:rPr>
            </w:pPr>
            <w:hyperlink r:id="rId11" w:history="1">
              <w:r w:rsidRPr="004967A0">
                <w:rPr>
                  <w:rStyle w:val="Hipervnculo"/>
                  <w:sz w:val="22"/>
                  <w:szCs w:val="22"/>
                  <w:lang w:eastAsia="es-MX"/>
                </w:rPr>
                <w:t>http://www.finanzas.guanajuato.gob.mx/</w:t>
              </w:r>
            </w:hyperlink>
            <w:bookmarkStart w:id="1" w:name="_GoBack"/>
            <w:bookmarkEnd w:id="1"/>
          </w:p>
        </w:tc>
      </w:tr>
    </w:tbl>
    <w:p w:rsidR="009D19F9" w:rsidRPr="004E3076" w:rsidRDefault="009D19F9" w:rsidP="00C342DC">
      <w:pPr>
        <w:pStyle w:val="Texto"/>
        <w:spacing w:after="99"/>
        <w:ind w:firstLine="0"/>
        <w:jc w:val="center"/>
        <w:rPr>
          <w:b/>
          <w:highlight w:val="yellow"/>
          <w:lang w:val="es-MX"/>
        </w:rPr>
      </w:pPr>
    </w:p>
    <w:sectPr w:rsidR="009D19F9" w:rsidRPr="004E3076"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81" w:rsidRDefault="002D4581" w:rsidP="000A26AC">
      <w:pPr>
        <w:spacing w:after="0" w:line="240" w:lineRule="auto"/>
      </w:pPr>
      <w:r>
        <w:separator/>
      </w:r>
    </w:p>
  </w:endnote>
  <w:endnote w:type="continuationSeparator" w:id="0">
    <w:p w:rsidR="002D4581" w:rsidRDefault="002D4581"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81" w:rsidRDefault="002D4581" w:rsidP="000A26AC">
      <w:pPr>
        <w:spacing w:after="0" w:line="240" w:lineRule="auto"/>
      </w:pPr>
      <w:r>
        <w:separator/>
      </w:r>
    </w:p>
  </w:footnote>
  <w:footnote w:type="continuationSeparator" w:id="0">
    <w:p w:rsidR="002D4581" w:rsidRDefault="002D4581"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01A3"/>
    <w:multiLevelType w:val="hybridMultilevel"/>
    <w:tmpl w:val="E3BA0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7682F83"/>
    <w:multiLevelType w:val="hybridMultilevel"/>
    <w:tmpl w:val="E3BA0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30304"/>
    <w:rsid w:val="000A26AC"/>
    <w:rsid w:val="000D1A3B"/>
    <w:rsid w:val="00283632"/>
    <w:rsid w:val="002C300E"/>
    <w:rsid w:val="002D4581"/>
    <w:rsid w:val="002E5F15"/>
    <w:rsid w:val="002E7DB9"/>
    <w:rsid w:val="002F4EB4"/>
    <w:rsid w:val="003A29FF"/>
    <w:rsid w:val="003F2A43"/>
    <w:rsid w:val="003F4281"/>
    <w:rsid w:val="004129D2"/>
    <w:rsid w:val="0042398B"/>
    <w:rsid w:val="00430F2E"/>
    <w:rsid w:val="00456994"/>
    <w:rsid w:val="004E3076"/>
    <w:rsid w:val="006113B7"/>
    <w:rsid w:val="00647468"/>
    <w:rsid w:val="00672A96"/>
    <w:rsid w:val="006C2CE0"/>
    <w:rsid w:val="006F6CF6"/>
    <w:rsid w:val="007C1C5E"/>
    <w:rsid w:val="00822656"/>
    <w:rsid w:val="008C40D8"/>
    <w:rsid w:val="008C5DCE"/>
    <w:rsid w:val="008D2FD4"/>
    <w:rsid w:val="00921103"/>
    <w:rsid w:val="0094513D"/>
    <w:rsid w:val="00995B68"/>
    <w:rsid w:val="009A6382"/>
    <w:rsid w:val="009D19F9"/>
    <w:rsid w:val="00A1194C"/>
    <w:rsid w:val="00AB4F67"/>
    <w:rsid w:val="00BE1B56"/>
    <w:rsid w:val="00C0690C"/>
    <w:rsid w:val="00C342DC"/>
    <w:rsid w:val="00C938CD"/>
    <w:rsid w:val="00D13AA8"/>
    <w:rsid w:val="00D57BC9"/>
    <w:rsid w:val="00DB5D45"/>
    <w:rsid w:val="00E27975"/>
    <w:rsid w:val="00EB5D7D"/>
    <w:rsid w:val="00F220CD"/>
    <w:rsid w:val="00FC77F9"/>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unhideWhenUsed/>
    <w:qFormat/>
    <w:rsid w:val="00430F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rsid w:val="00430F2E"/>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unhideWhenUsed/>
    <w:qFormat/>
    <w:rsid w:val="00430F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rsid w:val="00430F2E"/>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2016-09-10T04:20:00Z</dcterms:created>
  <dcterms:modified xsi:type="dcterms:W3CDTF">2016-09-10T04:20:00Z</dcterms:modified>
</cp:coreProperties>
</file>